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4E8BD129" w14:textId="77777777" w:rsidTr="00AD3606">
        <w:trPr>
          <w:cantSplit/>
          <w:trHeight w:val="23"/>
        </w:trPr>
        <w:tc>
          <w:tcPr>
            <w:tcW w:w="3969" w:type="dxa"/>
            <w:vMerge w:val="restart"/>
            <w:tcMar>
              <w:left w:w="0" w:type="dxa"/>
            </w:tcMar>
          </w:tcPr>
          <w:p w14:paraId="6A7B357F"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C02D05" w14:textId="203C96B8" w:rsidR="00AD3606" w:rsidRPr="00194E9A" w:rsidRDefault="00194E9A" w:rsidP="006C032D">
            <w:pPr>
              <w:tabs>
                <w:tab w:val="left" w:pos="851"/>
              </w:tabs>
              <w:spacing w:before="0" w:line="240" w:lineRule="atLeast"/>
              <w:jc w:val="right"/>
              <w:rPr>
                <w:b/>
              </w:rPr>
            </w:pPr>
            <w:r w:rsidRPr="00194E9A">
              <w:rPr>
                <w:b/>
              </w:rPr>
              <w:t>Addendum 8 to</w:t>
            </w:r>
            <w:r w:rsidRPr="00194E9A">
              <w:rPr>
                <w:b/>
              </w:rPr>
              <w:br/>
            </w:r>
            <w:r w:rsidR="00AD3606" w:rsidRPr="00194E9A">
              <w:rPr>
                <w:b/>
              </w:rPr>
              <w:t xml:space="preserve">Document </w:t>
            </w:r>
            <w:r w:rsidR="00A028B5" w:rsidRPr="00194E9A">
              <w:rPr>
                <w:b/>
              </w:rPr>
              <w:t>EG-ITRs</w:t>
            </w:r>
            <w:r w:rsidR="00A52C84" w:rsidRPr="00194E9A">
              <w:rPr>
                <w:b/>
              </w:rPr>
              <w:t>-</w:t>
            </w:r>
            <w:r w:rsidR="00616C10" w:rsidRPr="00194E9A">
              <w:rPr>
                <w:b/>
              </w:rPr>
              <w:t>1</w:t>
            </w:r>
            <w:r w:rsidR="00AD3606" w:rsidRPr="00194E9A">
              <w:rPr>
                <w:b/>
              </w:rPr>
              <w:t>/</w:t>
            </w:r>
          </w:p>
        </w:tc>
      </w:tr>
      <w:tr w:rsidR="00AD3606" w:rsidRPr="00813E5E" w14:paraId="52B42E3E" w14:textId="77777777" w:rsidTr="00AD3606">
        <w:trPr>
          <w:cantSplit/>
        </w:trPr>
        <w:tc>
          <w:tcPr>
            <w:tcW w:w="3969" w:type="dxa"/>
            <w:vMerge/>
          </w:tcPr>
          <w:p w14:paraId="64E40283" w14:textId="77777777" w:rsidR="00AD3606" w:rsidRPr="00194E9A" w:rsidRDefault="00AD3606" w:rsidP="00AD3606">
            <w:pPr>
              <w:tabs>
                <w:tab w:val="left" w:pos="851"/>
              </w:tabs>
              <w:spacing w:line="240" w:lineRule="atLeast"/>
              <w:rPr>
                <w:b/>
              </w:rPr>
            </w:pPr>
            <w:bookmarkStart w:id="6" w:name="ddate" w:colFirst="1" w:colLast="1"/>
            <w:bookmarkEnd w:id="0"/>
            <w:bookmarkEnd w:id="1"/>
          </w:p>
        </w:tc>
        <w:tc>
          <w:tcPr>
            <w:tcW w:w="5245" w:type="dxa"/>
          </w:tcPr>
          <w:p w14:paraId="1A4135A8" w14:textId="306C381F" w:rsidR="00AD3606" w:rsidRPr="00E85629" w:rsidRDefault="00587FD7" w:rsidP="00587FD7">
            <w:pPr>
              <w:tabs>
                <w:tab w:val="left" w:pos="851"/>
              </w:tabs>
              <w:spacing w:before="0"/>
              <w:jc w:val="right"/>
              <w:rPr>
                <w:b/>
              </w:rPr>
            </w:pPr>
            <w:r>
              <w:rPr>
                <w:b/>
              </w:rPr>
              <w:t>7</w:t>
            </w:r>
            <w:r w:rsidR="00AD3606">
              <w:rPr>
                <w:b/>
              </w:rPr>
              <w:t xml:space="preserve"> </w:t>
            </w:r>
            <w:r w:rsidR="005A335D">
              <w:rPr>
                <w:b/>
              </w:rPr>
              <w:t>September</w:t>
            </w:r>
            <w:r w:rsidR="00AD3606">
              <w:rPr>
                <w:b/>
              </w:rPr>
              <w:t xml:space="preserve"> 2023</w:t>
            </w:r>
          </w:p>
        </w:tc>
      </w:tr>
      <w:tr w:rsidR="00AD3606" w:rsidRPr="00813E5E" w14:paraId="14B2B59D" w14:textId="77777777" w:rsidTr="00AD3606">
        <w:trPr>
          <w:cantSplit/>
          <w:trHeight w:val="23"/>
        </w:trPr>
        <w:tc>
          <w:tcPr>
            <w:tcW w:w="3969" w:type="dxa"/>
            <w:vMerge/>
          </w:tcPr>
          <w:p w14:paraId="655EF3E9"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06C0275C"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56F58833" w14:textId="77777777" w:rsidTr="00AD3606">
        <w:trPr>
          <w:cantSplit/>
          <w:trHeight w:val="23"/>
        </w:trPr>
        <w:tc>
          <w:tcPr>
            <w:tcW w:w="3969" w:type="dxa"/>
          </w:tcPr>
          <w:p w14:paraId="26EDFC90" w14:textId="77777777" w:rsidR="00472BAD" w:rsidRPr="00813E5E" w:rsidRDefault="00472BAD" w:rsidP="00AD3606">
            <w:pPr>
              <w:tabs>
                <w:tab w:val="left" w:pos="851"/>
              </w:tabs>
              <w:spacing w:line="240" w:lineRule="atLeast"/>
              <w:rPr>
                <w:b/>
              </w:rPr>
            </w:pPr>
          </w:p>
        </w:tc>
        <w:tc>
          <w:tcPr>
            <w:tcW w:w="5245" w:type="dxa"/>
          </w:tcPr>
          <w:p w14:paraId="12FEE074" w14:textId="77777777" w:rsidR="00472BAD" w:rsidRDefault="00472BAD" w:rsidP="00AD3606">
            <w:pPr>
              <w:tabs>
                <w:tab w:val="left" w:pos="851"/>
              </w:tabs>
              <w:spacing w:before="0" w:line="240" w:lineRule="atLeast"/>
              <w:jc w:val="right"/>
              <w:rPr>
                <w:b/>
              </w:rPr>
            </w:pPr>
          </w:p>
        </w:tc>
      </w:tr>
      <w:tr w:rsidR="00AD3606" w:rsidRPr="00813E5E" w14:paraId="7F7C20CF" w14:textId="77777777" w:rsidTr="00AD3606">
        <w:trPr>
          <w:cantSplit/>
        </w:trPr>
        <w:tc>
          <w:tcPr>
            <w:tcW w:w="9214" w:type="dxa"/>
            <w:gridSpan w:val="2"/>
            <w:tcMar>
              <w:left w:w="0" w:type="dxa"/>
            </w:tcMar>
          </w:tcPr>
          <w:p w14:paraId="2476E000" w14:textId="77777777" w:rsidR="00AD3606" w:rsidRPr="00813E5E" w:rsidRDefault="00244F7F" w:rsidP="00587FD7">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587FD7">
              <w:t>HILL</w:t>
            </w:r>
          </w:p>
        </w:tc>
      </w:tr>
      <w:tr w:rsidR="00AD3606" w:rsidRPr="00813E5E" w14:paraId="1F9C8A34" w14:textId="77777777" w:rsidTr="00AD3606">
        <w:trPr>
          <w:cantSplit/>
        </w:trPr>
        <w:tc>
          <w:tcPr>
            <w:tcW w:w="9214" w:type="dxa"/>
            <w:gridSpan w:val="2"/>
            <w:tcMar>
              <w:left w:w="0" w:type="dxa"/>
            </w:tcMar>
          </w:tcPr>
          <w:p w14:paraId="5803A9F9" w14:textId="3CC02136" w:rsidR="00AD3606" w:rsidRPr="00813E5E" w:rsidRDefault="00194E9A" w:rsidP="006C032D">
            <w:pPr>
              <w:pStyle w:val="Subtitle"/>
              <w:framePr w:hSpace="0" w:wrap="auto" w:hAnchor="text" w:xAlign="left" w:yAlign="inline"/>
            </w:pPr>
            <w:bookmarkStart w:id="9" w:name="dtitle1" w:colFirst="0" w:colLast="0"/>
            <w:bookmarkEnd w:id="8"/>
            <w:r>
              <w:t>ART. 8: CHARGING AND ACCOUNTING</w:t>
            </w:r>
          </w:p>
        </w:tc>
      </w:tr>
      <w:tr w:rsidR="00AD3606" w:rsidRPr="00813E5E" w14:paraId="7527F8F7" w14:textId="77777777" w:rsidTr="00AD3606">
        <w:trPr>
          <w:cantSplit/>
        </w:trPr>
        <w:tc>
          <w:tcPr>
            <w:tcW w:w="9214" w:type="dxa"/>
            <w:gridSpan w:val="2"/>
            <w:tcBorders>
              <w:top w:val="single" w:sz="4" w:space="0" w:color="auto"/>
              <w:bottom w:val="single" w:sz="4" w:space="0" w:color="auto"/>
            </w:tcBorders>
            <w:tcMar>
              <w:left w:w="0" w:type="dxa"/>
            </w:tcMar>
          </w:tcPr>
          <w:p w14:paraId="0AA9F753" w14:textId="77777777" w:rsidR="00194E9A" w:rsidRPr="004D648B" w:rsidRDefault="00194E9A" w:rsidP="00194E9A">
            <w:pPr>
              <w:spacing w:before="160"/>
              <w:rPr>
                <w:b/>
                <w:bCs/>
                <w:sz w:val="26"/>
                <w:szCs w:val="26"/>
              </w:rPr>
            </w:pPr>
            <w:r w:rsidRPr="004D648B">
              <w:rPr>
                <w:b/>
                <w:bCs/>
                <w:sz w:val="26"/>
                <w:szCs w:val="26"/>
              </w:rPr>
              <w:t>Purpose</w:t>
            </w:r>
          </w:p>
          <w:p w14:paraId="3581F016" w14:textId="77777777" w:rsidR="00194E9A" w:rsidRPr="007832AD" w:rsidRDefault="00194E9A" w:rsidP="00194E9A">
            <w:pPr>
              <w:spacing w:before="160"/>
              <w:rPr>
                <w:szCs w:val="24"/>
              </w:rPr>
            </w:pPr>
            <w:r w:rsidRPr="007832AD">
              <w:rPr>
                <w:szCs w:val="24"/>
              </w:rPr>
              <w:t>Discussion</w:t>
            </w:r>
          </w:p>
          <w:p w14:paraId="54E45A07" w14:textId="77777777" w:rsidR="00194E9A" w:rsidRPr="004D648B" w:rsidRDefault="00194E9A" w:rsidP="00194E9A">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575E96CF" w14:textId="77777777" w:rsidR="00194E9A" w:rsidRPr="007832AD" w:rsidRDefault="00194E9A" w:rsidP="00194E9A">
            <w:pPr>
              <w:spacing w:before="160"/>
              <w:rPr>
                <w:szCs w:val="24"/>
              </w:rPr>
            </w:pPr>
            <w:r>
              <w:rPr>
                <w:szCs w:val="24"/>
              </w:rPr>
              <w:t xml:space="preserve">The document is submitted to EG-ITRs </w:t>
            </w:r>
            <w:r w:rsidRPr="007832AD">
              <w:rPr>
                <w:b/>
                <w:bCs/>
                <w:szCs w:val="24"/>
              </w:rPr>
              <w:t>for discussion</w:t>
            </w:r>
            <w:r>
              <w:rPr>
                <w:szCs w:val="24"/>
              </w:rPr>
              <w:t xml:space="preserve">. </w:t>
            </w:r>
          </w:p>
          <w:p w14:paraId="62CC5BFD" w14:textId="77777777" w:rsidR="00194E9A" w:rsidRPr="0052249C" w:rsidRDefault="00194E9A" w:rsidP="00194E9A">
            <w:pPr>
              <w:spacing w:before="160"/>
              <w:rPr>
                <w:sz w:val="26"/>
                <w:szCs w:val="26"/>
              </w:rPr>
            </w:pPr>
            <w:r w:rsidRPr="0052249C">
              <w:rPr>
                <w:sz w:val="26"/>
                <w:szCs w:val="26"/>
              </w:rPr>
              <w:t>____________________________________</w:t>
            </w:r>
          </w:p>
          <w:p w14:paraId="54F1DC1D" w14:textId="77777777" w:rsidR="00194E9A" w:rsidRDefault="00194E9A" w:rsidP="00194E9A">
            <w:pPr>
              <w:spacing w:before="160"/>
              <w:rPr>
                <w:b/>
                <w:bCs/>
                <w:sz w:val="26"/>
                <w:szCs w:val="26"/>
              </w:rPr>
            </w:pPr>
            <w:r w:rsidRPr="004D648B">
              <w:rPr>
                <w:b/>
                <w:bCs/>
                <w:sz w:val="26"/>
                <w:szCs w:val="26"/>
              </w:rPr>
              <w:t>Reference</w:t>
            </w:r>
          </w:p>
          <w:p w14:paraId="23D673DF" w14:textId="5D963141" w:rsidR="00AD3606" w:rsidRDefault="00194E9A" w:rsidP="00194E9A">
            <w:pPr>
              <w:spacing w:after="160"/>
            </w:pPr>
            <w:hyperlink r:id="rId8" w:history="1">
              <w:r w:rsidRPr="007832AD">
                <w:rPr>
                  <w:rStyle w:val="Hyperlink"/>
                </w:rPr>
                <w:t>Council Resolution 1379, revised 2023</w:t>
              </w:r>
            </w:hyperlink>
          </w:p>
        </w:tc>
      </w:tr>
    </w:tbl>
    <w:p w14:paraId="19871C76" w14:textId="77777777" w:rsidR="00E227F3" w:rsidRPr="00194E9A"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F5B90BD" w14:textId="77777777" w:rsidR="0090147A" w:rsidRPr="00194E9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94E9A">
        <w:br w:type="page"/>
      </w:r>
    </w:p>
    <w:bookmarkEnd w:id="5"/>
    <w:bookmarkEnd w:id="10"/>
    <w:p w14:paraId="26CC9381" w14:textId="77777777" w:rsidR="00587FD7" w:rsidRPr="00194E9A" w:rsidRDefault="00587FD7" w:rsidP="00587FD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94E9A">
        <w:rPr>
          <w:rFonts w:asciiTheme="minorHAnsi" w:eastAsiaTheme="minorHAnsi" w:hAnsiTheme="minorHAnsi" w:cstheme="minorHAnsi"/>
          <w:szCs w:val="24"/>
          <w:lang w:val="en-US"/>
        </w:rPr>
        <w:lastRenderedPageBreak/>
        <w:t>1. The work of the current ITR-EG is specified in its Terms of Reference</w:t>
      </w:r>
      <w:r w:rsidRPr="00194E9A">
        <w:rPr>
          <w:rFonts w:asciiTheme="minorHAnsi" w:eastAsiaTheme="minorHAnsi" w:hAnsiTheme="minorHAnsi" w:cstheme="minorHAnsi"/>
          <w:vertAlign w:val="superscript"/>
          <w:lang w:val="en-US"/>
        </w:rPr>
        <w:footnoteReference w:id="1"/>
      </w:r>
      <w:r w:rsidRPr="00194E9A">
        <w:rPr>
          <w:rFonts w:asciiTheme="minorHAnsi" w:eastAsiaTheme="minorHAnsi" w:hAnsiTheme="minorHAnsi" w:cstheme="minorHAnsi"/>
          <w:szCs w:val="24"/>
          <w:lang w:val="en-US"/>
        </w:rPr>
        <w:t>:</w:t>
      </w:r>
    </w:p>
    <w:p w14:paraId="1143849F" w14:textId="77777777" w:rsidR="00587FD7" w:rsidRPr="00194E9A" w:rsidRDefault="00587FD7" w:rsidP="00587FD7">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i/>
          <w:iCs/>
          <w:szCs w:val="24"/>
        </w:rPr>
      </w:pPr>
      <w:r w:rsidRPr="00194E9A">
        <w:rPr>
          <w:rFonts w:asciiTheme="minorHAnsi" w:eastAsiaTheme="minorHAnsi" w:hAnsiTheme="minorHAnsi" w:cstheme="minorHAnsi"/>
          <w:i/>
          <w:iCs/>
          <w:szCs w:val="24"/>
        </w:rPr>
        <w:t>2</w:t>
      </w:r>
      <w:r w:rsidRPr="00194E9A">
        <w:rPr>
          <w:rFonts w:asciiTheme="minorHAnsi" w:eastAsiaTheme="minorHAnsi" w:hAnsiTheme="minorHAnsi" w:cstheme="minorHAnsi"/>
          <w:i/>
          <w:iCs/>
          <w:szCs w:val="24"/>
        </w:rPr>
        <w:tab/>
        <w:t xml:space="preserve">Taking into consideration the work of the previous two Expert Groups, the review may consider, among others: </w:t>
      </w:r>
    </w:p>
    <w:p w14:paraId="6643898C" w14:textId="77777777" w:rsidR="00587FD7" w:rsidRPr="00194E9A"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194E9A">
        <w:rPr>
          <w:rFonts w:asciiTheme="minorHAnsi" w:eastAsiaTheme="minorHAnsi" w:hAnsiTheme="minorHAnsi" w:cstheme="minorHAnsi"/>
          <w:i/>
          <w:iCs/>
          <w:szCs w:val="24"/>
        </w:rPr>
        <w:t>a)</w:t>
      </w:r>
      <w:r w:rsidRPr="00194E9A">
        <w:rPr>
          <w:rFonts w:asciiTheme="minorHAnsi" w:eastAsiaTheme="minorHAnsi" w:hAnsiTheme="minorHAnsi" w:cstheme="minorHAnsi"/>
          <w:i/>
          <w:iCs/>
          <w:szCs w:val="24"/>
        </w:rPr>
        <w:tab/>
        <w:t>new trends in telecommunications/ICT and emerging issues in international telecommunications/ICT environment which may impact the ITRs,</w:t>
      </w:r>
    </w:p>
    <w:p w14:paraId="4800AC21" w14:textId="77777777" w:rsidR="00587FD7" w:rsidRPr="00194E9A"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194E9A">
        <w:rPr>
          <w:rFonts w:asciiTheme="minorHAnsi" w:eastAsiaTheme="minorHAnsi" w:hAnsiTheme="minorHAnsi" w:cstheme="minorHAnsi"/>
          <w:i/>
          <w:iCs/>
          <w:szCs w:val="24"/>
        </w:rPr>
        <w:t>b)</w:t>
      </w:r>
      <w:r w:rsidRPr="00194E9A">
        <w:rPr>
          <w:rFonts w:asciiTheme="minorHAnsi" w:eastAsiaTheme="minorHAnsi" w:hAnsiTheme="minorHAnsi" w:cstheme="minorHAnsi"/>
          <w:i/>
          <w:iCs/>
          <w:szCs w:val="24"/>
        </w:rPr>
        <w:tab/>
        <w:t>empirical data on the current use of the ITRs by operating agencies and/or administrations and the proportion of global telecommunication services which now rely on the ITRs, and</w:t>
      </w:r>
    </w:p>
    <w:p w14:paraId="5CD859E2" w14:textId="77777777" w:rsidR="00587FD7" w:rsidRPr="00194E9A"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194E9A">
        <w:rPr>
          <w:rFonts w:asciiTheme="minorHAnsi" w:eastAsiaTheme="minorHAnsi" w:hAnsiTheme="minorHAnsi" w:cstheme="minorHAnsi"/>
          <w:i/>
          <w:iCs/>
          <w:szCs w:val="24"/>
        </w:rPr>
        <w:t>c)</w:t>
      </w:r>
      <w:r w:rsidRPr="00194E9A">
        <w:rPr>
          <w:rFonts w:asciiTheme="minorHAnsi" w:eastAsiaTheme="minorHAnsi" w:hAnsiTheme="minorHAnsi" w:cstheme="minorHAnsi"/>
          <w:i/>
          <w:iCs/>
          <w:szCs w:val="24"/>
        </w:rPr>
        <w:tab/>
        <w:t>the relevance of the ITRs which “consist of high-level guiding principles” in the current telecommunication/ICT environment.</w:t>
      </w:r>
    </w:p>
    <w:p w14:paraId="72FD2284"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94E9A">
        <w:rPr>
          <w:rFonts w:asciiTheme="minorHAnsi" w:eastAsiaTheme="minorHAnsi" w:hAnsiTheme="minorHAnsi" w:cstheme="minorHAnsi"/>
          <w:szCs w:val="24"/>
          <w:lang w:val="en-US"/>
        </w:rPr>
        <w:t>2. This contribution focuses on Art. 8 of the 2012 ITRs, Charging and accounting, which states:</w:t>
      </w:r>
    </w:p>
    <w:p w14:paraId="742225F9"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b/>
          <w:bCs/>
          <w:i/>
          <w:iCs/>
          <w:szCs w:val="24"/>
          <w:lang w:val="en-US"/>
        </w:rPr>
      </w:pPr>
      <w:r w:rsidRPr="00194E9A">
        <w:rPr>
          <w:rFonts w:asciiTheme="minorHAnsi" w:hAnsiTheme="minorHAnsi" w:cstheme="minorHAnsi"/>
          <w:b/>
          <w:bCs/>
          <w:i/>
          <w:iCs/>
          <w:szCs w:val="24"/>
          <w:lang w:val="en-US"/>
        </w:rPr>
        <w:t>8.1</w:t>
      </w:r>
      <w:r w:rsidRPr="00194E9A">
        <w:rPr>
          <w:rFonts w:asciiTheme="minorHAnsi" w:hAnsiTheme="minorHAnsi" w:cstheme="minorHAnsi"/>
          <w:b/>
          <w:bCs/>
          <w:i/>
          <w:iCs/>
          <w:szCs w:val="24"/>
          <w:lang w:val="en-US"/>
        </w:rPr>
        <w:tab/>
        <w:t>International telecommunication arrangements</w:t>
      </w:r>
    </w:p>
    <w:p w14:paraId="5D17C3C2"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94E9A">
        <w:rPr>
          <w:rFonts w:asciiTheme="minorHAnsi" w:hAnsiTheme="minorHAnsi" w:cstheme="minorHAnsi"/>
          <w:i/>
          <w:iCs/>
          <w:szCs w:val="24"/>
          <w:lang w:val="en-US"/>
        </w:rPr>
        <w:t>8.1.1</w:t>
      </w:r>
      <w:r w:rsidRPr="00194E9A">
        <w:rPr>
          <w:rFonts w:asciiTheme="minorHAnsi" w:hAnsiTheme="minorHAnsi" w:cstheme="minorHAnsi"/>
          <w:i/>
          <w:iCs/>
          <w:szCs w:val="24"/>
          <w:lang w:val="en-US"/>
        </w:rPr>
        <w:tab/>
        <w:t>Subject to applicable national law, the terms and conditions for international telecommunication service arrangements may be established through commercial agreements or through accounting-rate principles established pursuant to national regulation.</w:t>
      </w:r>
    </w:p>
    <w:p w14:paraId="73BDBE84"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bCs/>
          <w:i/>
          <w:iCs/>
          <w:szCs w:val="24"/>
          <w:lang w:val="en-US"/>
        </w:rPr>
      </w:pPr>
      <w:r w:rsidRPr="00194E9A">
        <w:rPr>
          <w:rFonts w:asciiTheme="minorHAnsi" w:hAnsiTheme="minorHAnsi" w:cstheme="minorHAnsi"/>
          <w:bCs/>
          <w:i/>
          <w:iCs/>
          <w:szCs w:val="24"/>
          <w:lang w:val="en-US"/>
        </w:rPr>
        <w:t>8.1.2</w:t>
      </w:r>
      <w:r w:rsidRPr="00194E9A">
        <w:rPr>
          <w:rFonts w:asciiTheme="minorHAnsi" w:hAnsiTheme="minorHAnsi" w:cstheme="minorHAnsi"/>
          <w:bCs/>
          <w:i/>
          <w:iCs/>
          <w:szCs w:val="24"/>
          <w:lang w:val="en-US"/>
        </w:rPr>
        <w:tab/>
        <w:t>Member States shall endeavour to encourage investments in international telecommunication networks and promote competitive wholesale pricing for traffic carried on such telecommunication networks.</w:t>
      </w:r>
    </w:p>
    <w:p w14:paraId="5142D460"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b/>
          <w:bCs/>
          <w:i/>
          <w:iCs/>
          <w:szCs w:val="24"/>
          <w:lang w:val="en-US"/>
        </w:rPr>
      </w:pPr>
      <w:r w:rsidRPr="00194E9A">
        <w:rPr>
          <w:rFonts w:asciiTheme="minorHAnsi" w:hAnsiTheme="minorHAnsi" w:cstheme="minorHAnsi"/>
          <w:b/>
          <w:bCs/>
          <w:i/>
          <w:iCs/>
          <w:szCs w:val="24"/>
          <w:lang w:val="en-US"/>
        </w:rPr>
        <w:t>8.2</w:t>
      </w:r>
      <w:r w:rsidRPr="00194E9A">
        <w:rPr>
          <w:rFonts w:asciiTheme="minorHAnsi" w:hAnsiTheme="minorHAnsi" w:cstheme="minorHAnsi"/>
          <w:b/>
          <w:bCs/>
          <w:i/>
          <w:iCs/>
          <w:szCs w:val="24"/>
          <w:lang w:val="en-US"/>
        </w:rPr>
        <w:tab/>
        <w:t>Accounting-rate principles</w:t>
      </w:r>
    </w:p>
    <w:p w14:paraId="0BDA3B9F"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94E9A">
        <w:rPr>
          <w:rFonts w:asciiTheme="minorHAnsi" w:hAnsiTheme="minorHAnsi" w:cstheme="minorHAnsi"/>
          <w:b/>
          <w:bCs/>
          <w:i/>
          <w:iCs/>
          <w:szCs w:val="24"/>
          <w:lang w:val="en-US"/>
        </w:rPr>
        <w:t>Terms and conditions</w:t>
      </w:r>
    </w:p>
    <w:p w14:paraId="4E2E06F2"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94E9A">
        <w:rPr>
          <w:rFonts w:asciiTheme="minorHAnsi" w:hAnsiTheme="minorHAnsi" w:cstheme="minorHAnsi"/>
          <w:i/>
          <w:iCs/>
          <w:szCs w:val="24"/>
          <w:lang w:val="en-US"/>
        </w:rPr>
        <w:t>8.2.1</w:t>
      </w:r>
      <w:r w:rsidRPr="00194E9A">
        <w:rPr>
          <w:rFonts w:asciiTheme="minorHAnsi" w:hAnsiTheme="minorHAnsi" w:cstheme="minorHAnsi"/>
          <w:i/>
          <w:iCs/>
          <w:szCs w:val="24"/>
          <w:lang w:val="en-US"/>
        </w:rPr>
        <w:tab/>
        <w:t>The following provisions may apply where the terms and conditions of international telecommunication service arrangements are established through accounting-rate principles, established pursuant to national regulation. These provisions do not apply to arrangements established through commercial agreements.</w:t>
      </w:r>
    </w:p>
    <w:p w14:paraId="56CD56FE"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94E9A">
        <w:rPr>
          <w:rFonts w:asciiTheme="minorHAnsi" w:hAnsiTheme="minorHAnsi" w:cstheme="minorHAnsi"/>
          <w:i/>
          <w:iCs/>
          <w:szCs w:val="24"/>
          <w:lang w:val="en-US"/>
        </w:rPr>
        <w:t>8.2.2</w:t>
      </w:r>
      <w:r w:rsidRPr="00194E9A">
        <w:rPr>
          <w:rFonts w:asciiTheme="minorHAnsi" w:hAnsiTheme="minorHAnsi" w:cstheme="minorHAnsi"/>
          <w:i/>
          <w:iCs/>
          <w:szCs w:val="24"/>
          <w:lang w:val="en-US"/>
        </w:rPr>
        <w:tab/>
        <w:t xml:space="preserve">For each applicable service </w:t>
      </w:r>
      <w:proofErr w:type="gramStart"/>
      <w:r w:rsidRPr="00194E9A">
        <w:rPr>
          <w:rFonts w:asciiTheme="minorHAnsi" w:hAnsiTheme="minorHAnsi" w:cstheme="minorHAnsi"/>
          <w:i/>
          <w:iCs/>
          <w:szCs w:val="24"/>
          <w:lang w:val="en-US"/>
        </w:rPr>
        <w:t>in a given</w:t>
      </w:r>
      <w:proofErr w:type="gramEnd"/>
      <w:r w:rsidRPr="00194E9A">
        <w:rPr>
          <w:rFonts w:asciiTheme="minorHAnsi" w:hAnsiTheme="minorHAnsi" w:cstheme="minorHAnsi"/>
          <w:i/>
          <w:iCs/>
          <w:szCs w:val="24"/>
          <w:lang w:val="en-US"/>
        </w:rPr>
        <w:t xml:space="preserve"> relation, authorized operating agencies shall, by mutual agreement, establish and revise accounting rates to be applied between them, in accordance with the provisions of Appendix 1 and taking into account the relevant ITU-T Recommendations.</w:t>
      </w:r>
    </w:p>
    <w:p w14:paraId="1E8F2963"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94E9A">
        <w:rPr>
          <w:rFonts w:asciiTheme="minorHAnsi" w:hAnsiTheme="minorHAnsi" w:cstheme="minorHAnsi"/>
          <w:i/>
          <w:iCs/>
          <w:szCs w:val="24"/>
          <w:lang w:val="en-US"/>
        </w:rPr>
        <w:t>8.2.3</w:t>
      </w:r>
      <w:r w:rsidRPr="00194E9A">
        <w:rPr>
          <w:rFonts w:asciiTheme="minorHAnsi" w:hAnsiTheme="minorHAnsi" w:cstheme="minorHAnsi"/>
          <w:i/>
          <w:iCs/>
          <w:szCs w:val="24"/>
          <w:lang w:val="en-US"/>
        </w:rPr>
        <w:tab/>
        <w:t>Unless otherwise agreed, parties engaged in the provision of international telecommunication services shall follow the relevant provisions as set out in Appendices 1 and 2.</w:t>
      </w:r>
    </w:p>
    <w:p w14:paraId="75339001"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94E9A">
        <w:rPr>
          <w:rFonts w:asciiTheme="minorHAnsi" w:hAnsiTheme="minorHAnsi" w:cstheme="minorHAnsi"/>
          <w:i/>
          <w:iCs/>
          <w:szCs w:val="24"/>
          <w:lang w:val="en-US"/>
        </w:rPr>
        <w:t>8.2.4</w:t>
      </w:r>
      <w:r w:rsidRPr="00194E9A">
        <w:rPr>
          <w:rFonts w:asciiTheme="minorHAnsi" w:hAnsiTheme="minorHAnsi" w:cstheme="minorHAnsi"/>
          <w:i/>
          <w:iCs/>
          <w:szCs w:val="24"/>
          <w:lang w:val="en-US"/>
        </w:rPr>
        <w:tab/>
        <w:t>In the absence of special arrangements concluded between authorized operating agencies, the monetary unit to be used in the composition of accounting rates for international telecommunication services and in the establishment of international accounts shall be:</w:t>
      </w:r>
    </w:p>
    <w:p w14:paraId="56287CC9"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2160" w:hanging="720"/>
        <w:jc w:val="both"/>
        <w:textAlignment w:val="auto"/>
        <w:rPr>
          <w:rFonts w:asciiTheme="minorHAnsi" w:hAnsiTheme="minorHAnsi" w:cstheme="minorHAnsi"/>
          <w:i/>
          <w:iCs/>
          <w:szCs w:val="24"/>
          <w:lang w:val="en-US"/>
        </w:rPr>
      </w:pPr>
      <w:r w:rsidRPr="00194E9A">
        <w:rPr>
          <w:rFonts w:asciiTheme="minorHAnsi" w:hAnsiTheme="minorHAnsi" w:cstheme="minorHAnsi"/>
          <w:i/>
          <w:iCs/>
          <w:szCs w:val="24"/>
          <w:lang w:val="en-US"/>
        </w:rPr>
        <w:lastRenderedPageBreak/>
        <w:t>–</w:t>
      </w:r>
      <w:r w:rsidRPr="00194E9A">
        <w:rPr>
          <w:rFonts w:asciiTheme="minorHAnsi" w:hAnsiTheme="minorHAnsi" w:cstheme="minorHAnsi"/>
          <w:i/>
          <w:iCs/>
          <w:szCs w:val="24"/>
          <w:lang w:val="en-US"/>
        </w:rPr>
        <w:tab/>
        <w:t xml:space="preserve">either the monetary unit of the International Monetary Fund (IMF), currently the Special Drawing Right (SDR), as defined by that </w:t>
      </w:r>
      <w:proofErr w:type="gramStart"/>
      <w:r w:rsidRPr="00194E9A">
        <w:rPr>
          <w:rFonts w:asciiTheme="minorHAnsi" w:hAnsiTheme="minorHAnsi" w:cstheme="minorHAnsi"/>
          <w:i/>
          <w:iCs/>
          <w:szCs w:val="24"/>
          <w:lang w:val="en-US"/>
        </w:rPr>
        <w:t>organization;</w:t>
      </w:r>
      <w:proofErr w:type="gramEnd"/>
    </w:p>
    <w:p w14:paraId="6A47FFC3"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2160" w:hanging="720"/>
        <w:jc w:val="both"/>
        <w:textAlignment w:val="auto"/>
        <w:rPr>
          <w:rFonts w:asciiTheme="minorHAnsi" w:hAnsiTheme="minorHAnsi" w:cstheme="minorHAnsi"/>
          <w:i/>
          <w:iCs/>
          <w:szCs w:val="24"/>
          <w:lang w:val="en-US"/>
        </w:rPr>
      </w:pPr>
      <w:r w:rsidRPr="00194E9A">
        <w:rPr>
          <w:rFonts w:asciiTheme="minorHAnsi" w:hAnsiTheme="minorHAnsi" w:cstheme="minorHAnsi"/>
          <w:i/>
          <w:iCs/>
          <w:szCs w:val="24"/>
          <w:lang w:val="en-US"/>
        </w:rPr>
        <w:t>–</w:t>
      </w:r>
      <w:r w:rsidRPr="00194E9A">
        <w:rPr>
          <w:rFonts w:asciiTheme="minorHAnsi" w:hAnsiTheme="minorHAnsi" w:cstheme="minorHAnsi"/>
          <w:i/>
          <w:iCs/>
          <w:szCs w:val="24"/>
          <w:lang w:val="en-US"/>
        </w:rPr>
        <w:tab/>
        <w:t>or freely convertible currencies or other monetary unit agreed between the authorized operating agencies.</w:t>
      </w:r>
    </w:p>
    <w:p w14:paraId="672BC663"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94E9A">
        <w:rPr>
          <w:rFonts w:asciiTheme="minorHAnsi" w:hAnsiTheme="minorHAnsi" w:cstheme="minorHAnsi"/>
          <w:b/>
          <w:bCs/>
          <w:i/>
          <w:iCs/>
          <w:szCs w:val="24"/>
          <w:lang w:val="en-US"/>
        </w:rPr>
        <w:t>Collection charges</w:t>
      </w:r>
    </w:p>
    <w:p w14:paraId="1566A90C"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94E9A">
        <w:rPr>
          <w:rFonts w:asciiTheme="minorHAnsi" w:hAnsiTheme="minorHAnsi" w:cstheme="minorHAnsi"/>
          <w:i/>
          <w:iCs/>
          <w:szCs w:val="24"/>
          <w:lang w:val="en-US"/>
        </w:rPr>
        <w:t>8.2.5</w:t>
      </w:r>
      <w:r w:rsidRPr="00194E9A">
        <w:rPr>
          <w:rFonts w:asciiTheme="minorHAnsi" w:hAnsiTheme="minorHAnsi" w:cstheme="minorHAnsi"/>
          <w:i/>
          <w:iCs/>
          <w:szCs w:val="24"/>
          <w:lang w:val="en-US"/>
        </w:rPr>
        <w:tab/>
        <w:t xml:space="preserve">The charges levied on customers for a particular communication should in principle be the same </w:t>
      </w:r>
      <w:proofErr w:type="gramStart"/>
      <w:r w:rsidRPr="00194E9A">
        <w:rPr>
          <w:rFonts w:asciiTheme="minorHAnsi" w:hAnsiTheme="minorHAnsi" w:cstheme="minorHAnsi"/>
          <w:i/>
          <w:iCs/>
          <w:szCs w:val="24"/>
          <w:lang w:val="en-US"/>
        </w:rPr>
        <w:t>in a given</w:t>
      </w:r>
      <w:proofErr w:type="gramEnd"/>
      <w:r w:rsidRPr="00194E9A">
        <w:rPr>
          <w:rFonts w:asciiTheme="minorHAnsi" w:hAnsiTheme="minorHAnsi" w:cstheme="minorHAnsi"/>
          <w:i/>
          <w:iCs/>
          <w:szCs w:val="24"/>
          <w:lang w:val="en-US"/>
        </w:rPr>
        <w:t xml:space="preserve"> relation, regardless of the </w:t>
      </w:r>
      <w:r w:rsidRPr="00194E9A">
        <w:rPr>
          <w:rFonts w:asciiTheme="minorHAnsi" w:hAnsiTheme="minorHAnsi" w:cstheme="minorHAnsi"/>
          <w:i/>
          <w:iCs/>
          <w:szCs w:val="24"/>
          <w:u w:val="single"/>
          <w:lang w:val="en-US"/>
        </w:rPr>
        <w:t>i</w:t>
      </w:r>
      <w:r w:rsidRPr="00194E9A">
        <w:rPr>
          <w:rFonts w:asciiTheme="minorHAnsi" w:hAnsiTheme="minorHAnsi" w:cstheme="minorHAnsi"/>
          <w:i/>
          <w:iCs/>
          <w:szCs w:val="24"/>
          <w:lang w:val="en-US"/>
        </w:rPr>
        <w:t>nternational route used for that communication. In establishing these charges, Member States should try to avoid dissymmetry between the charges applicable in each direction of the same relation.</w:t>
      </w:r>
    </w:p>
    <w:p w14:paraId="1E6FE61C"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94E9A">
        <w:rPr>
          <w:rFonts w:asciiTheme="minorHAnsi" w:hAnsiTheme="minorHAnsi" w:cstheme="minorHAnsi"/>
          <w:b/>
          <w:bCs/>
          <w:i/>
          <w:iCs/>
          <w:szCs w:val="24"/>
          <w:lang w:val="en-US"/>
        </w:rPr>
        <w:t>8.3</w:t>
      </w:r>
      <w:r w:rsidRPr="00194E9A">
        <w:rPr>
          <w:rFonts w:asciiTheme="minorHAnsi" w:hAnsiTheme="minorHAnsi" w:cstheme="minorHAnsi"/>
          <w:b/>
          <w:bCs/>
          <w:i/>
          <w:iCs/>
          <w:szCs w:val="24"/>
          <w:lang w:val="en-US"/>
        </w:rPr>
        <w:tab/>
        <w:t>Taxation</w:t>
      </w:r>
    </w:p>
    <w:p w14:paraId="45DB9537"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94E9A">
        <w:rPr>
          <w:rFonts w:asciiTheme="minorHAnsi" w:hAnsiTheme="minorHAnsi" w:cstheme="minorHAnsi"/>
          <w:i/>
          <w:iCs/>
          <w:szCs w:val="24"/>
          <w:lang w:val="en-US"/>
        </w:rPr>
        <w:t>8.3.1</w:t>
      </w:r>
      <w:r w:rsidRPr="00194E9A">
        <w:rPr>
          <w:rFonts w:asciiTheme="minorHAnsi" w:hAnsiTheme="minorHAnsi" w:cstheme="minorHAnsi"/>
          <w:i/>
          <w:iCs/>
          <w:szCs w:val="24"/>
          <w:lang w:val="en-US"/>
        </w:rPr>
        <w:tab/>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p w14:paraId="13F83F0B" w14:textId="77777777" w:rsidR="006C032D" w:rsidRPr="00194E9A" w:rsidRDefault="006C032D" w:rsidP="006C032D">
      <w:pPr>
        <w:keepNext/>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b/>
          <w:bCs/>
          <w:i/>
          <w:iCs/>
          <w:szCs w:val="24"/>
          <w:lang w:val="en-US"/>
        </w:rPr>
      </w:pPr>
      <w:r w:rsidRPr="00194E9A">
        <w:rPr>
          <w:rFonts w:asciiTheme="minorHAnsi" w:hAnsiTheme="minorHAnsi" w:cstheme="minorHAnsi"/>
          <w:b/>
          <w:bCs/>
          <w:i/>
          <w:iCs/>
          <w:szCs w:val="24"/>
          <w:lang w:val="en-US"/>
        </w:rPr>
        <w:t>8.4</w:t>
      </w:r>
      <w:r w:rsidRPr="00194E9A">
        <w:rPr>
          <w:rFonts w:asciiTheme="minorHAnsi" w:hAnsiTheme="minorHAnsi" w:cstheme="minorHAnsi"/>
          <w:b/>
          <w:bCs/>
          <w:i/>
          <w:iCs/>
          <w:szCs w:val="24"/>
          <w:lang w:val="en-US"/>
        </w:rPr>
        <w:tab/>
        <w:t>Service telecommunications</w:t>
      </w:r>
    </w:p>
    <w:p w14:paraId="3597373A"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94E9A">
        <w:rPr>
          <w:rFonts w:asciiTheme="minorHAnsi" w:hAnsiTheme="minorHAnsi" w:cstheme="minorHAnsi"/>
          <w:i/>
          <w:iCs/>
          <w:szCs w:val="24"/>
          <w:lang w:val="en-US"/>
        </w:rPr>
        <w:t>8.4.1</w:t>
      </w:r>
      <w:r w:rsidRPr="00194E9A">
        <w:rPr>
          <w:rFonts w:asciiTheme="minorHAnsi" w:hAnsiTheme="minorHAnsi" w:cstheme="minorHAnsi"/>
          <w:i/>
          <w:iCs/>
          <w:szCs w:val="24"/>
          <w:lang w:val="en-US"/>
        </w:rPr>
        <w:tab/>
        <w:t>Authorized operating agencies may in principle forgo the inclusion of service telecommunications in international accounting, under the relevant provisions of the Constitution and the Convention and these Regulations, having due regard for the need for reciprocal arrangements. Authorized operating agencies may provide service telecommunications free of charge.</w:t>
      </w:r>
    </w:p>
    <w:p w14:paraId="052E88B0"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94E9A">
        <w:rPr>
          <w:rFonts w:asciiTheme="minorHAnsi" w:hAnsiTheme="minorHAnsi" w:cstheme="minorHAnsi"/>
          <w:i/>
          <w:iCs/>
          <w:szCs w:val="24"/>
          <w:lang w:val="en-US"/>
        </w:rPr>
        <w:t>8.4.2</w:t>
      </w:r>
      <w:r w:rsidRPr="00194E9A">
        <w:rPr>
          <w:rFonts w:asciiTheme="minorHAnsi" w:hAnsiTheme="minorHAnsi" w:cstheme="minorHAnsi"/>
          <w:i/>
          <w:iCs/>
          <w:szCs w:val="24"/>
          <w:lang w:val="en-US"/>
        </w:rPr>
        <w:tab/>
        <w:t>The general operational, charging and accounting principles applicable to service telecommunications should take account of the relevant ITU-T Recommendations.</w:t>
      </w:r>
    </w:p>
    <w:p w14:paraId="263D03C6" w14:textId="77777777" w:rsidR="006C032D" w:rsidRPr="00194E9A" w:rsidRDefault="006C032D" w:rsidP="00194E9A">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Theme="minorHAnsi" w:hAnsiTheme="minorHAnsi" w:cstheme="minorHAnsi"/>
          <w:b/>
          <w:szCs w:val="24"/>
          <w:lang w:val="en-US"/>
        </w:rPr>
      </w:pPr>
      <w:r w:rsidRPr="00194E9A">
        <w:rPr>
          <w:rFonts w:asciiTheme="minorHAnsi" w:eastAsiaTheme="minorHAnsi" w:hAnsiTheme="minorHAnsi" w:cstheme="minorHAnsi"/>
          <w:b/>
          <w:szCs w:val="24"/>
          <w:lang w:val="en-US"/>
        </w:rPr>
        <w:t>Discussion of Article 8</w:t>
      </w:r>
    </w:p>
    <w:p w14:paraId="0DC678A8"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94E9A">
        <w:rPr>
          <w:rFonts w:asciiTheme="minorHAnsi" w:eastAsiaTheme="minorHAnsi" w:hAnsiTheme="minorHAnsi" w:cstheme="minorHAnsi"/>
          <w:szCs w:val="24"/>
          <w:lang w:val="en-US"/>
        </w:rPr>
        <w:t xml:space="preserve">3. As stated in an academic writing </w:t>
      </w:r>
      <w:r w:rsidRPr="00194E9A">
        <w:rPr>
          <w:rFonts w:asciiTheme="minorHAnsi" w:eastAsiaTheme="minorHAnsi" w:hAnsiTheme="minorHAnsi" w:cstheme="minorHAnsi"/>
          <w:vertAlign w:val="superscript"/>
          <w:lang w:val="en-US"/>
        </w:rPr>
        <w:footnoteReference w:id="2"/>
      </w:r>
      <w:r w:rsidRPr="00194E9A">
        <w:rPr>
          <w:rFonts w:asciiTheme="minorHAnsi" w:eastAsiaTheme="minorHAnsi" w:hAnsiTheme="minorHAnsi" w:cstheme="minorHAnsi"/>
          <w:szCs w:val="24"/>
          <w:lang w:val="en-US"/>
        </w:rPr>
        <w:t xml:space="preserve"> article 8.1.1 does nothing other than to recognize the current reality: most telecommunication charging and accounting is negotiated by private sector entities, possibility with some conditions imposed by some national regulations (e.g. for roaming).</w:t>
      </w:r>
    </w:p>
    <w:p w14:paraId="120F8194"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94E9A">
        <w:rPr>
          <w:rFonts w:asciiTheme="minorHAnsi" w:eastAsiaTheme="minorHAnsi" w:hAnsiTheme="minorHAnsi" w:cstheme="minorHAnsi"/>
          <w:szCs w:val="24"/>
          <w:lang w:val="en-US"/>
        </w:rPr>
        <w:t>4. Since the provision is a mere statement of fact, and does not impose any rights or obligations on Member States, it does not, in our view, belong in a treaty.</w:t>
      </w:r>
    </w:p>
    <w:p w14:paraId="77EAB53F"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94E9A">
        <w:rPr>
          <w:rFonts w:asciiTheme="minorHAnsi" w:eastAsiaTheme="minorHAnsi" w:hAnsiTheme="minorHAnsi" w:cstheme="minorHAnsi"/>
          <w:szCs w:val="24"/>
          <w:lang w:val="en-US"/>
        </w:rPr>
        <w:t>5. Article 8.1.2 encourages states to take measures to encourage investments in telecommunications. In our view, this is a useful provision and it should remain unchanged.</w:t>
      </w:r>
    </w:p>
    <w:p w14:paraId="023831B8"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94E9A">
        <w:rPr>
          <w:rFonts w:asciiTheme="minorHAnsi" w:eastAsiaTheme="minorHAnsi" w:hAnsiTheme="minorHAnsi" w:cstheme="minorHAnsi"/>
          <w:szCs w:val="24"/>
          <w:lang w:val="en-US"/>
        </w:rPr>
        <w:t>6. The provisions under 8.2 (8.2.1-8.2.5) refer to accounting and charging methods that are used only in certain jurisdictions. Those jurisdictions can enshrine such methods in national law, or in regional agreements, if they so wish. In our view, these provisions are no longer useful.</w:t>
      </w:r>
    </w:p>
    <w:p w14:paraId="40D80ED3"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94E9A">
        <w:rPr>
          <w:rFonts w:asciiTheme="minorHAnsi" w:eastAsiaTheme="minorHAnsi" w:hAnsiTheme="minorHAnsi" w:cstheme="minorHAnsi"/>
          <w:szCs w:val="24"/>
          <w:lang w:val="en-US"/>
        </w:rPr>
        <w:lastRenderedPageBreak/>
        <w:t xml:space="preserve">7. The provisions under 8.4 (8.4.1-8.4.2) do not create rights or obligations for Member States: they purport to apply to private sector entities. As such, in our view, they do not belong in the ITRs, see the discussion regarding </w:t>
      </w:r>
      <w:r w:rsidR="006F4729" w:rsidRPr="00194E9A">
        <w:rPr>
          <w:rFonts w:asciiTheme="minorHAnsi" w:eastAsiaTheme="minorHAnsi" w:hAnsiTheme="minorHAnsi" w:cstheme="minorHAnsi"/>
          <w:szCs w:val="24"/>
          <w:lang w:val="en-US"/>
        </w:rPr>
        <w:t>A</w:t>
      </w:r>
      <w:r w:rsidRPr="00194E9A">
        <w:rPr>
          <w:rFonts w:asciiTheme="minorHAnsi" w:eastAsiaTheme="minorHAnsi" w:hAnsiTheme="minorHAnsi" w:cstheme="minorHAnsi"/>
          <w:szCs w:val="24"/>
          <w:lang w:val="en-US"/>
        </w:rPr>
        <w:t>rticle 1, Purpose and Scope.</w:t>
      </w:r>
    </w:p>
    <w:p w14:paraId="3BBD8A39"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94E9A">
        <w:rPr>
          <w:rFonts w:asciiTheme="minorHAnsi" w:eastAsiaTheme="minorHAnsi" w:hAnsiTheme="minorHAnsi" w:cstheme="minorHAnsi"/>
          <w:szCs w:val="24"/>
          <w:lang w:val="en-US"/>
        </w:rPr>
        <w:t>8. Article 8.3.1, on taxation, is notoriously difficult to understand, interpret, and apply. If there is a desire to specify something about double taxation, then it should be stated clearly. In our view, the current provision is not useful and does not provide appropriate high-level guiding principles in the current telecommunication/ICT environment.</w:t>
      </w:r>
    </w:p>
    <w:p w14:paraId="716C87D1" w14:textId="77777777" w:rsidR="006C032D" w:rsidRPr="00194E9A" w:rsidRDefault="006C032D" w:rsidP="006C032D">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94E9A">
        <w:rPr>
          <w:rFonts w:asciiTheme="minorHAnsi" w:eastAsiaTheme="minorHAnsi" w:hAnsiTheme="minorHAnsi" w:cstheme="minorHAnsi"/>
          <w:szCs w:val="24"/>
          <w:lang w:val="en-US"/>
        </w:rPr>
        <w:t>9. In light of the above, Member States are invited to consider the situation and to consider how to address it in the context of the review of the ITRs: Member States could consider abrogating all provisions of this article, except for 8.1.2, and, if desired, develop clear language regarding taxation to replace the current article 8.3.1.</w:t>
      </w:r>
    </w:p>
    <w:p w14:paraId="6BA35855" w14:textId="30DB2BF5" w:rsidR="006C032D" w:rsidRPr="00194E9A" w:rsidRDefault="006C032D" w:rsidP="00194E9A">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eastAsiaTheme="minorHAnsi" w:hAnsiTheme="minorHAnsi" w:cstheme="minorHAnsi"/>
          <w:szCs w:val="24"/>
          <w:lang w:val="en-US"/>
        </w:rPr>
      </w:pPr>
      <w:r w:rsidRPr="00194E9A">
        <w:rPr>
          <w:rFonts w:asciiTheme="minorHAnsi" w:eastAsiaTheme="minorHAnsi" w:hAnsiTheme="minorHAnsi" w:cstheme="minorHAnsi"/>
          <w:szCs w:val="24"/>
          <w:lang w:val="en-US"/>
        </w:rPr>
        <w:t>___________</w:t>
      </w:r>
      <w:r w:rsidR="00194E9A">
        <w:rPr>
          <w:rFonts w:asciiTheme="minorHAnsi" w:eastAsiaTheme="minorHAnsi" w:hAnsiTheme="minorHAnsi" w:cstheme="minorHAnsi"/>
          <w:szCs w:val="24"/>
          <w:lang w:val="en-US"/>
        </w:rPr>
        <w:t>________</w:t>
      </w:r>
    </w:p>
    <w:sectPr w:rsidR="006C032D" w:rsidRPr="00194E9A"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10CE" w14:textId="77777777" w:rsidR="000646F4" w:rsidRDefault="000646F4">
      <w:r>
        <w:separator/>
      </w:r>
    </w:p>
  </w:endnote>
  <w:endnote w:type="continuationSeparator" w:id="0">
    <w:p w14:paraId="53BF0B81" w14:textId="77777777" w:rsidR="000646F4" w:rsidRDefault="0006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D8DC9EC" w14:textId="77777777" w:rsidTr="0042469C">
      <w:trPr>
        <w:jc w:val="center"/>
      </w:trPr>
      <w:tc>
        <w:tcPr>
          <w:tcW w:w="1803" w:type="dxa"/>
          <w:vAlign w:val="center"/>
        </w:tcPr>
        <w:p w14:paraId="41E174FD" w14:textId="4F9F3B4D" w:rsidR="00EE49E8" w:rsidRDefault="00EE49E8" w:rsidP="00EE49E8">
          <w:pPr>
            <w:pStyle w:val="Header"/>
            <w:jc w:val="left"/>
            <w:rPr>
              <w:noProof/>
            </w:rPr>
          </w:pPr>
          <w:r>
            <w:rPr>
              <w:noProof/>
            </w:rPr>
            <w:t xml:space="preserve">DPS </w:t>
          </w:r>
          <w:r w:rsidR="00194E9A">
            <w:rPr>
              <w:noProof/>
            </w:rPr>
            <w:t>528172</w:t>
          </w:r>
        </w:p>
      </w:tc>
      <w:tc>
        <w:tcPr>
          <w:tcW w:w="8261" w:type="dxa"/>
        </w:tcPr>
        <w:p w14:paraId="0151E368" w14:textId="524F930D" w:rsidR="00EE49E8" w:rsidRPr="00E06FD5" w:rsidRDefault="00EE49E8" w:rsidP="00587FD7">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194E9A">
            <w:rPr>
              <w:bCs/>
            </w:rPr>
            <w:t>2</w:t>
          </w:r>
          <w:r w:rsidR="00587FD7">
            <w:rPr>
              <w:bCs/>
            </w:rPr>
            <w:t>Add</w:t>
          </w:r>
          <w:r w:rsidR="00194E9A">
            <w:rPr>
              <w:bCs/>
            </w:rPr>
            <w:t>8</w:t>
          </w:r>
          <w:r>
            <w:rPr>
              <w:bCs/>
            </w:rPr>
            <w:tab/>
          </w:r>
          <w:r w:rsidR="009F42F8">
            <w:fldChar w:fldCharType="begin"/>
          </w:r>
          <w:r>
            <w:instrText>PAGE</w:instrText>
          </w:r>
          <w:r w:rsidR="009F42F8">
            <w:fldChar w:fldCharType="separate"/>
          </w:r>
          <w:r w:rsidR="006F4729">
            <w:rPr>
              <w:noProof/>
            </w:rPr>
            <w:t>3</w:t>
          </w:r>
          <w:r w:rsidR="009F42F8">
            <w:rPr>
              <w:noProof/>
            </w:rPr>
            <w:fldChar w:fldCharType="end"/>
          </w:r>
        </w:p>
      </w:tc>
    </w:tr>
  </w:tbl>
  <w:p w14:paraId="038844F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54F36A15" w14:textId="77777777" w:rsidTr="00A52C84">
      <w:trPr>
        <w:jc w:val="center"/>
      </w:trPr>
      <w:tc>
        <w:tcPr>
          <w:tcW w:w="3107" w:type="dxa"/>
          <w:vAlign w:val="center"/>
        </w:tcPr>
        <w:p w14:paraId="58BAA64A" w14:textId="77777777" w:rsidR="00EE49E8" w:rsidRDefault="00A52C84" w:rsidP="00EE49E8">
          <w:pPr>
            <w:pStyle w:val="Header"/>
            <w:jc w:val="left"/>
            <w:rPr>
              <w:noProof/>
            </w:rPr>
          </w:pPr>
          <w:r w:rsidRPr="00293B38">
            <w:rPr>
              <w:color w:val="0070C0"/>
            </w:rPr>
            <w:t>https://council.itu.int/working-groups</w:t>
          </w:r>
        </w:p>
      </w:tc>
      <w:tc>
        <w:tcPr>
          <w:tcW w:w="6957" w:type="dxa"/>
        </w:tcPr>
        <w:p w14:paraId="0B8A5534" w14:textId="629A4482" w:rsidR="00EE49E8" w:rsidRPr="00E06FD5" w:rsidRDefault="00EE49E8" w:rsidP="00B16B01">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194E9A">
            <w:rPr>
              <w:bCs/>
            </w:rPr>
            <w:t>2</w:t>
          </w:r>
          <w:r w:rsidR="00935AF3">
            <w:rPr>
              <w:bCs/>
            </w:rPr>
            <w:t>Add</w:t>
          </w:r>
          <w:r w:rsidR="00194E9A">
            <w:rPr>
              <w:bCs/>
            </w:rPr>
            <w:t>8</w:t>
          </w:r>
          <w:r>
            <w:rPr>
              <w:bCs/>
            </w:rPr>
            <w:tab/>
          </w:r>
          <w:r w:rsidR="009F42F8">
            <w:fldChar w:fldCharType="begin"/>
          </w:r>
          <w:r>
            <w:instrText>PAGE</w:instrText>
          </w:r>
          <w:r w:rsidR="009F42F8">
            <w:fldChar w:fldCharType="separate"/>
          </w:r>
          <w:r w:rsidR="006F4729">
            <w:rPr>
              <w:noProof/>
            </w:rPr>
            <w:t>1</w:t>
          </w:r>
          <w:r w:rsidR="009F42F8">
            <w:rPr>
              <w:noProof/>
            </w:rPr>
            <w:fldChar w:fldCharType="end"/>
          </w:r>
        </w:p>
      </w:tc>
    </w:tr>
  </w:tbl>
  <w:p w14:paraId="1939785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6FBB" w14:textId="77777777" w:rsidR="000646F4" w:rsidRDefault="000646F4">
      <w:r>
        <w:t>____________________</w:t>
      </w:r>
    </w:p>
  </w:footnote>
  <w:footnote w:type="continuationSeparator" w:id="0">
    <w:p w14:paraId="512B5FFD" w14:textId="77777777" w:rsidR="000646F4" w:rsidRDefault="000646F4">
      <w:r>
        <w:continuationSeparator/>
      </w:r>
    </w:p>
  </w:footnote>
  <w:footnote w:id="1">
    <w:p w14:paraId="4C269C4C" w14:textId="77777777" w:rsidR="00587FD7" w:rsidRDefault="00587FD7" w:rsidP="00587FD7">
      <w:pPr>
        <w:pStyle w:val="FootnoteText"/>
      </w:pPr>
      <w:r>
        <w:rPr>
          <w:rStyle w:val="FootnoteReference"/>
        </w:rPr>
        <w:footnoteRef/>
      </w:r>
      <w:r>
        <w:t xml:space="preserve"> </w:t>
      </w:r>
      <w:hyperlink r:id="rId1" w:history="1">
        <w:r w:rsidRPr="004515CB">
          <w:rPr>
            <w:rStyle w:val="Hyperlink"/>
          </w:rPr>
          <w:t>https://www.itu.int/md/S23-CL-C-0121/en</w:t>
        </w:r>
      </w:hyperlink>
      <w:r>
        <w:t xml:space="preserve"> </w:t>
      </w:r>
    </w:p>
  </w:footnote>
  <w:footnote w:id="2">
    <w:p w14:paraId="0046E016" w14:textId="77777777" w:rsidR="006C032D" w:rsidRDefault="006C032D" w:rsidP="006C032D">
      <w:pPr>
        <w:pStyle w:val="FootnoteText"/>
      </w:pPr>
      <w:r>
        <w:rPr>
          <w:rStyle w:val="FootnoteReference"/>
        </w:rPr>
        <w:footnoteRef/>
      </w:r>
      <w:r>
        <w:t xml:space="preserve"> Hill, Richard (2013) </w:t>
      </w:r>
      <w:r w:rsidRPr="00206DCC">
        <w:rPr>
          <w:i/>
          <w:iCs/>
        </w:rPr>
        <w:t xml:space="preserve">The New International Telecommunications Regulations and the Internet: A Commentary and Legislative </w:t>
      </w:r>
      <w:proofErr w:type="spellStart"/>
      <w:proofErr w:type="gramStart"/>
      <w:r w:rsidRPr="00206DCC">
        <w:rPr>
          <w:i/>
          <w:iCs/>
        </w:rPr>
        <w:t>History</w:t>
      </w:r>
      <w:r>
        <w:t>,S</w:t>
      </w:r>
      <w:r w:rsidRPr="00206DCC">
        <w:t>chulthess</w:t>
      </w:r>
      <w:proofErr w:type="spellEnd"/>
      <w:proofErr w:type="gramEnd"/>
      <w:r w:rsidRPr="00206DCC">
        <w:t>/Springer</w:t>
      </w:r>
      <w:r>
        <w:t>, p. 104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35BBAE0" w14:textId="77777777" w:rsidTr="00F74694">
      <w:trPr>
        <w:trHeight w:val="1304"/>
        <w:jc w:val="center"/>
      </w:trPr>
      <w:tc>
        <w:tcPr>
          <w:tcW w:w="6546" w:type="dxa"/>
        </w:tcPr>
        <w:p w14:paraId="01B7C343" w14:textId="7A719471" w:rsidR="00AD3606" w:rsidRPr="009621F8" w:rsidRDefault="004327C0"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04FC4A36" wp14:editId="03D0C065">
                    <wp:simplePos x="0" y="0"/>
                    <wp:positionH relativeFrom="column">
                      <wp:posOffset>570230</wp:posOffset>
                    </wp:positionH>
                    <wp:positionV relativeFrom="paragraph">
                      <wp:posOffset>63500</wp:posOffset>
                    </wp:positionV>
                    <wp:extent cx="1652905" cy="541020"/>
                    <wp:effectExtent l="0" t="0" r="0" b="0"/>
                    <wp:wrapNone/>
                    <wp:docPr id="8087667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FBFC7"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5DB7A6CC" wp14:editId="6986CE40">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01CAA275" w14:textId="77777777" w:rsidR="00AD3606" w:rsidRDefault="00AD3606" w:rsidP="00AD3606">
          <w:pPr>
            <w:pStyle w:val="Header"/>
            <w:jc w:val="right"/>
            <w:rPr>
              <w:rFonts w:ascii="Arial" w:hAnsi="Arial" w:cs="Arial"/>
              <w:b/>
              <w:bCs/>
              <w:color w:val="009CD6"/>
              <w:szCs w:val="18"/>
            </w:rPr>
          </w:pPr>
        </w:p>
        <w:p w14:paraId="55C71010" w14:textId="77777777" w:rsidR="00AD3606" w:rsidRDefault="00AD3606" w:rsidP="00AD3606">
          <w:pPr>
            <w:pStyle w:val="Header"/>
            <w:jc w:val="right"/>
            <w:rPr>
              <w:rFonts w:ascii="Arial" w:hAnsi="Arial" w:cs="Arial"/>
              <w:b/>
              <w:bCs/>
              <w:color w:val="009CD6"/>
              <w:szCs w:val="18"/>
            </w:rPr>
          </w:pPr>
        </w:p>
        <w:p w14:paraId="50C0111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211D0D53" w14:textId="7705DFA2" w:rsidR="00AD3606" w:rsidRDefault="004327C0">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3A36DE6" wp14:editId="5ACFF564">
              <wp:simplePos x="0" y="0"/>
              <wp:positionH relativeFrom="page">
                <wp:posOffset>14605</wp:posOffset>
              </wp:positionH>
              <wp:positionV relativeFrom="topMargin">
                <wp:posOffset>555625</wp:posOffset>
              </wp:positionV>
              <wp:extent cx="93345" cy="431800"/>
              <wp:effectExtent l="0" t="0" r="0" b="0"/>
              <wp:wrapNone/>
              <wp:docPr id="2672736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73473"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5FBC0C09" wp14:editId="67E48017">
              <wp:simplePos x="0" y="0"/>
              <wp:positionH relativeFrom="column">
                <wp:posOffset>306705</wp:posOffset>
              </wp:positionH>
              <wp:positionV relativeFrom="paragraph">
                <wp:posOffset>-835660</wp:posOffset>
              </wp:positionV>
              <wp:extent cx="3999230" cy="618490"/>
              <wp:effectExtent l="0" t="0" r="0" b="0"/>
              <wp:wrapNone/>
              <wp:docPr id="19338907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7B470AD5"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BC0C09"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7B470AD5"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013333C"/>
    <w:multiLevelType w:val="multilevel"/>
    <w:tmpl w:val="6CE0354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093874">
    <w:abstractNumId w:val="0"/>
  </w:num>
  <w:num w:numId="2" w16cid:durableId="1273324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46F4"/>
    <w:rsid w:val="00066795"/>
    <w:rsid w:val="00076AF6"/>
    <w:rsid w:val="00085CF2"/>
    <w:rsid w:val="000B1705"/>
    <w:rsid w:val="000D75B2"/>
    <w:rsid w:val="000E6BA5"/>
    <w:rsid w:val="001121F5"/>
    <w:rsid w:val="00130599"/>
    <w:rsid w:val="001400DC"/>
    <w:rsid w:val="00140CE1"/>
    <w:rsid w:val="0017539C"/>
    <w:rsid w:val="00175AC2"/>
    <w:rsid w:val="0017609F"/>
    <w:rsid w:val="00194E9A"/>
    <w:rsid w:val="001A7D1D"/>
    <w:rsid w:val="001B51DD"/>
    <w:rsid w:val="001C628E"/>
    <w:rsid w:val="001E0F7B"/>
    <w:rsid w:val="002119FD"/>
    <w:rsid w:val="002130E0"/>
    <w:rsid w:val="00244F7F"/>
    <w:rsid w:val="00257973"/>
    <w:rsid w:val="00264425"/>
    <w:rsid w:val="00265875"/>
    <w:rsid w:val="0027303B"/>
    <w:rsid w:val="0028109B"/>
    <w:rsid w:val="00291CBF"/>
    <w:rsid w:val="00293B38"/>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27C0"/>
    <w:rsid w:val="00433CE8"/>
    <w:rsid w:val="00434A5C"/>
    <w:rsid w:val="004544D9"/>
    <w:rsid w:val="00472BAD"/>
    <w:rsid w:val="00477D43"/>
    <w:rsid w:val="00484009"/>
    <w:rsid w:val="00490E72"/>
    <w:rsid w:val="00491157"/>
    <w:rsid w:val="004921C8"/>
    <w:rsid w:val="00495B0B"/>
    <w:rsid w:val="004A1B8B"/>
    <w:rsid w:val="004C39C1"/>
    <w:rsid w:val="004D1851"/>
    <w:rsid w:val="004D599D"/>
    <w:rsid w:val="004D648B"/>
    <w:rsid w:val="004E2EA5"/>
    <w:rsid w:val="004E3AEB"/>
    <w:rsid w:val="0050223C"/>
    <w:rsid w:val="0052249C"/>
    <w:rsid w:val="005243FF"/>
    <w:rsid w:val="00564FBC"/>
    <w:rsid w:val="005800BC"/>
    <w:rsid w:val="00580EB9"/>
    <w:rsid w:val="00582442"/>
    <w:rsid w:val="00587FD7"/>
    <w:rsid w:val="005A335D"/>
    <w:rsid w:val="005E2BD5"/>
    <w:rsid w:val="005E57F6"/>
    <w:rsid w:val="005F3269"/>
    <w:rsid w:val="00616C10"/>
    <w:rsid w:val="00623AE3"/>
    <w:rsid w:val="00636853"/>
    <w:rsid w:val="0064737F"/>
    <w:rsid w:val="006535F1"/>
    <w:rsid w:val="0065557D"/>
    <w:rsid w:val="00660D50"/>
    <w:rsid w:val="00662984"/>
    <w:rsid w:val="006716BB"/>
    <w:rsid w:val="006819A4"/>
    <w:rsid w:val="006B1859"/>
    <w:rsid w:val="006B6680"/>
    <w:rsid w:val="006B6DCC"/>
    <w:rsid w:val="006C032D"/>
    <w:rsid w:val="006C11BB"/>
    <w:rsid w:val="006F4729"/>
    <w:rsid w:val="00702DEF"/>
    <w:rsid w:val="00706861"/>
    <w:rsid w:val="00745D44"/>
    <w:rsid w:val="0075051B"/>
    <w:rsid w:val="00775655"/>
    <w:rsid w:val="00793188"/>
    <w:rsid w:val="00794D34"/>
    <w:rsid w:val="00794DFC"/>
    <w:rsid w:val="00813E5E"/>
    <w:rsid w:val="008210AF"/>
    <w:rsid w:val="008321DD"/>
    <w:rsid w:val="0083581B"/>
    <w:rsid w:val="00863874"/>
    <w:rsid w:val="00864283"/>
    <w:rsid w:val="00864AFF"/>
    <w:rsid w:val="00865925"/>
    <w:rsid w:val="0088630E"/>
    <w:rsid w:val="008B056B"/>
    <w:rsid w:val="008B4A6A"/>
    <w:rsid w:val="008C7E27"/>
    <w:rsid w:val="008F7448"/>
    <w:rsid w:val="0090147A"/>
    <w:rsid w:val="0090547E"/>
    <w:rsid w:val="009173EF"/>
    <w:rsid w:val="00932906"/>
    <w:rsid w:val="00935AF3"/>
    <w:rsid w:val="00950BC7"/>
    <w:rsid w:val="00961B0B"/>
    <w:rsid w:val="00962D33"/>
    <w:rsid w:val="00987A8E"/>
    <w:rsid w:val="009B38C3"/>
    <w:rsid w:val="009E17BD"/>
    <w:rsid w:val="009E485A"/>
    <w:rsid w:val="009F42F8"/>
    <w:rsid w:val="00A028B5"/>
    <w:rsid w:val="00A04CEC"/>
    <w:rsid w:val="00A27F92"/>
    <w:rsid w:val="00A32257"/>
    <w:rsid w:val="00A36D20"/>
    <w:rsid w:val="00A377D7"/>
    <w:rsid w:val="00A514A4"/>
    <w:rsid w:val="00A52C84"/>
    <w:rsid w:val="00A55622"/>
    <w:rsid w:val="00A83502"/>
    <w:rsid w:val="00AA12A2"/>
    <w:rsid w:val="00AB44C3"/>
    <w:rsid w:val="00AD15B3"/>
    <w:rsid w:val="00AD3606"/>
    <w:rsid w:val="00AD4A3D"/>
    <w:rsid w:val="00AF6E49"/>
    <w:rsid w:val="00B04A67"/>
    <w:rsid w:val="00B0583C"/>
    <w:rsid w:val="00B16B01"/>
    <w:rsid w:val="00B40A81"/>
    <w:rsid w:val="00B4436B"/>
    <w:rsid w:val="00B44910"/>
    <w:rsid w:val="00B72267"/>
    <w:rsid w:val="00B76EB6"/>
    <w:rsid w:val="00B7737B"/>
    <w:rsid w:val="00B824C8"/>
    <w:rsid w:val="00B84B9D"/>
    <w:rsid w:val="00BC251A"/>
    <w:rsid w:val="00BD032B"/>
    <w:rsid w:val="00BE2640"/>
    <w:rsid w:val="00BF0749"/>
    <w:rsid w:val="00C01189"/>
    <w:rsid w:val="00C139BA"/>
    <w:rsid w:val="00C34A7F"/>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A692C"/>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F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F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587FD7"/>
    <w:pPr>
      <w:tabs>
        <w:tab w:val="left" w:pos="256"/>
      </w:tabs>
      <w:spacing w:before="0"/>
    </w:pPr>
    <w:rPr>
      <w:sz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3-CL-C-012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26F5-B86F-44B4-BAB3-F89C45E9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 Art.8: Charging and accounting</dc:title>
  <dc:subject>Expert Group on the International Telecommunication Regulations</dc:subject>
  <dc:creator/>
  <cp:keywords>EG-ITRs, C23, Council-23, C23-ADD</cp:keywords>
  <dc:description/>
  <cp:lastModifiedBy/>
  <cp:revision>1</cp:revision>
  <dcterms:created xsi:type="dcterms:W3CDTF">2023-09-18T15:00:00Z</dcterms:created>
  <dcterms:modified xsi:type="dcterms:W3CDTF">2023-09-18T16:47:00Z</dcterms:modified>
  <cp:category>Conference document</cp:category>
</cp:coreProperties>
</file>