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6445FAD5" w14:textId="77777777" w:rsidTr="00AD3606">
        <w:trPr>
          <w:cantSplit/>
          <w:trHeight w:val="23"/>
        </w:trPr>
        <w:tc>
          <w:tcPr>
            <w:tcW w:w="3969" w:type="dxa"/>
            <w:vMerge w:val="restart"/>
            <w:tcMar>
              <w:left w:w="0" w:type="dxa"/>
            </w:tcMar>
          </w:tcPr>
          <w:p w14:paraId="7995E19E"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5FD5F84" w14:textId="10FBCFED" w:rsidR="00AD3606" w:rsidRPr="00A52C84" w:rsidRDefault="00AD3606" w:rsidP="00E15C3A">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616C10">
              <w:rPr>
                <w:b/>
                <w:lang w:val="fr-CH"/>
              </w:rPr>
              <w:t>1</w:t>
            </w:r>
            <w:r w:rsidRPr="00A52C84">
              <w:rPr>
                <w:b/>
                <w:lang w:val="fr-CH"/>
              </w:rPr>
              <w:t>/</w:t>
            </w:r>
            <w:r w:rsidR="00E15C3A">
              <w:rPr>
                <w:b/>
                <w:lang w:val="fr-CH"/>
              </w:rPr>
              <w:t>3</w:t>
            </w:r>
          </w:p>
        </w:tc>
      </w:tr>
      <w:tr w:rsidR="00AD3606" w:rsidRPr="00813E5E" w14:paraId="38AC1A17" w14:textId="77777777" w:rsidTr="00AD3606">
        <w:trPr>
          <w:cantSplit/>
        </w:trPr>
        <w:tc>
          <w:tcPr>
            <w:tcW w:w="3969" w:type="dxa"/>
            <w:vMerge/>
          </w:tcPr>
          <w:p w14:paraId="6BB499D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0A7EAC7E" w14:textId="77777777" w:rsidR="00AD3606" w:rsidRPr="00E85629" w:rsidRDefault="00734FAC" w:rsidP="00734FAC">
            <w:pPr>
              <w:tabs>
                <w:tab w:val="left" w:pos="851"/>
              </w:tabs>
              <w:spacing w:before="0"/>
              <w:jc w:val="right"/>
              <w:rPr>
                <w:b/>
              </w:rPr>
            </w:pPr>
            <w:r w:rsidRPr="00734FAC">
              <w:rPr>
                <w:b/>
              </w:rPr>
              <w:t>18</w:t>
            </w:r>
            <w:r w:rsidR="00AD3606">
              <w:rPr>
                <w:b/>
              </w:rPr>
              <w:t xml:space="preserve"> </w:t>
            </w:r>
            <w:r w:rsidR="005A335D">
              <w:rPr>
                <w:b/>
              </w:rPr>
              <w:t>September</w:t>
            </w:r>
            <w:r w:rsidR="00AD3606">
              <w:rPr>
                <w:b/>
              </w:rPr>
              <w:t xml:space="preserve"> 2023</w:t>
            </w:r>
          </w:p>
        </w:tc>
      </w:tr>
      <w:tr w:rsidR="00AD3606" w:rsidRPr="00813E5E" w14:paraId="1BF089C7" w14:textId="77777777" w:rsidTr="00AD3606">
        <w:trPr>
          <w:cantSplit/>
          <w:trHeight w:val="23"/>
        </w:trPr>
        <w:tc>
          <w:tcPr>
            <w:tcW w:w="3969" w:type="dxa"/>
            <w:vMerge/>
          </w:tcPr>
          <w:p w14:paraId="3D71C6A9"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0DF2739"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347549B9" w14:textId="77777777" w:rsidTr="00AD3606">
        <w:trPr>
          <w:cantSplit/>
          <w:trHeight w:val="23"/>
        </w:trPr>
        <w:tc>
          <w:tcPr>
            <w:tcW w:w="3969" w:type="dxa"/>
          </w:tcPr>
          <w:p w14:paraId="75E2697D" w14:textId="77777777" w:rsidR="00472BAD" w:rsidRPr="00813E5E" w:rsidRDefault="00472BAD" w:rsidP="00AD3606">
            <w:pPr>
              <w:tabs>
                <w:tab w:val="left" w:pos="851"/>
              </w:tabs>
              <w:spacing w:line="240" w:lineRule="atLeast"/>
              <w:rPr>
                <w:b/>
              </w:rPr>
            </w:pPr>
          </w:p>
        </w:tc>
        <w:tc>
          <w:tcPr>
            <w:tcW w:w="5245" w:type="dxa"/>
          </w:tcPr>
          <w:p w14:paraId="09F5C438" w14:textId="77777777" w:rsidR="00472BAD" w:rsidRDefault="00472BAD" w:rsidP="00AD3606">
            <w:pPr>
              <w:tabs>
                <w:tab w:val="left" w:pos="851"/>
              </w:tabs>
              <w:spacing w:before="0" w:line="240" w:lineRule="atLeast"/>
              <w:jc w:val="right"/>
              <w:rPr>
                <w:b/>
              </w:rPr>
            </w:pPr>
          </w:p>
        </w:tc>
      </w:tr>
      <w:tr w:rsidR="00AD3606" w:rsidRPr="00813E5E" w14:paraId="3AE189D2" w14:textId="77777777" w:rsidTr="00AD3606">
        <w:trPr>
          <w:cantSplit/>
        </w:trPr>
        <w:tc>
          <w:tcPr>
            <w:tcW w:w="9214" w:type="dxa"/>
            <w:gridSpan w:val="2"/>
            <w:tcMar>
              <w:left w:w="0" w:type="dxa"/>
            </w:tcMar>
          </w:tcPr>
          <w:p w14:paraId="129A0C96" w14:textId="77777777" w:rsidR="00AD3606" w:rsidRPr="00813E5E" w:rsidRDefault="00244F7F" w:rsidP="00E15C3A">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E15C3A">
              <w:t>Hill</w:t>
            </w:r>
          </w:p>
        </w:tc>
      </w:tr>
      <w:tr w:rsidR="00AD3606" w:rsidRPr="00813E5E" w14:paraId="7F4124CF" w14:textId="77777777" w:rsidTr="00AD3606">
        <w:trPr>
          <w:cantSplit/>
        </w:trPr>
        <w:tc>
          <w:tcPr>
            <w:tcW w:w="9214" w:type="dxa"/>
            <w:gridSpan w:val="2"/>
            <w:tcMar>
              <w:left w:w="0" w:type="dxa"/>
            </w:tcMar>
          </w:tcPr>
          <w:p w14:paraId="79710105" w14:textId="5E0FF88E" w:rsidR="00AD3606" w:rsidRPr="00813E5E" w:rsidRDefault="0053640F" w:rsidP="00DF0189">
            <w:pPr>
              <w:pStyle w:val="Subtitle"/>
              <w:framePr w:hSpace="0" w:wrap="auto" w:hAnchor="text" w:xAlign="left" w:yAlign="inline"/>
            </w:pPr>
            <w:bookmarkStart w:id="9" w:name="dtitle1" w:colFirst="0" w:colLast="0"/>
            <w:bookmarkEnd w:id="8"/>
            <w:r>
              <w:t>PROPOSAL FOR WORKING METHODS AND WORK PLAN OF EG-ITRS</w:t>
            </w:r>
          </w:p>
        </w:tc>
      </w:tr>
      <w:tr w:rsidR="00AD3606" w:rsidRPr="00813E5E" w14:paraId="288305D7" w14:textId="77777777" w:rsidTr="00AD3606">
        <w:trPr>
          <w:cantSplit/>
        </w:trPr>
        <w:tc>
          <w:tcPr>
            <w:tcW w:w="9214" w:type="dxa"/>
            <w:gridSpan w:val="2"/>
            <w:tcBorders>
              <w:top w:val="single" w:sz="4" w:space="0" w:color="auto"/>
              <w:bottom w:val="single" w:sz="4" w:space="0" w:color="auto"/>
            </w:tcBorders>
            <w:tcMar>
              <w:left w:w="0" w:type="dxa"/>
            </w:tcMar>
          </w:tcPr>
          <w:p w14:paraId="012E0D1E" w14:textId="77777777" w:rsidR="004D648B" w:rsidRPr="004D648B" w:rsidRDefault="004D648B" w:rsidP="004D648B">
            <w:pPr>
              <w:spacing w:before="160"/>
              <w:rPr>
                <w:b/>
                <w:bCs/>
                <w:sz w:val="26"/>
                <w:szCs w:val="26"/>
              </w:rPr>
            </w:pPr>
            <w:r w:rsidRPr="004D648B">
              <w:rPr>
                <w:b/>
                <w:bCs/>
                <w:sz w:val="26"/>
                <w:szCs w:val="26"/>
              </w:rPr>
              <w:t>Purpose</w:t>
            </w:r>
          </w:p>
          <w:p w14:paraId="5EB9EB5F" w14:textId="77777777" w:rsidR="004D648B" w:rsidRPr="0053640F" w:rsidRDefault="00E15C3A" w:rsidP="004D648B">
            <w:pPr>
              <w:spacing w:before="160"/>
              <w:rPr>
                <w:szCs w:val="24"/>
              </w:rPr>
            </w:pPr>
            <w:r w:rsidRPr="0053640F">
              <w:rPr>
                <w:szCs w:val="24"/>
              </w:rPr>
              <w:t>Discussion</w:t>
            </w:r>
          </w:p>
          <w:p w14:paraId="1D87938D" w14:textId="77777777" w:rsidR="004D648B" w:rsidRPr="004D648B" w:rsidRDefault="004D648B" w:rsidP="004D648B">
            <w:pPr>
              <w:spacing w:before="160"/>
              <w:rPr>
                <w:b/>
                <w:bCs/>
                <w:sz w:val="26"/>
                <w:szCs w:val="26"/>
              </w:rPr>
            </w:pPr>
            <w:r w:rsidRPr="004D648B">
              <w:rPr>
                <w:b/>
                <w:bCs/>
                <w:sz w:val="26"/>
                <w:szCs w:val="26"/>
              </w:rPr>
              <w:t>Action required</w:t>
            </w:r>
          </w:p>
          <w:p w14:paraId="753446B6" w14:textId="2CD2CE02" w:rsidR="004D648B" w:rsidRPr="004D648B" w:rsidRDefault="0053640F" w:rsidP="004D648B">
            <w:pPr>
              <w:spacing w:before="160"/>
              <w:rPr>
                <w:b/>
                <w:bCs/>
                <w:szCs w:val="24"/>
              </w:rPr>
            </w:pPr>
            <w:r>
              <w:rPr>
                <w:szCs w:val="24"/>
              </w:rPr>
              <w:t xml:space="preserve">The document is submitted to EG-ITRs </w:t>
            </w:r>
            <w:r w:rsidRPr="007832AD">
              <w:rPr>
                <w:b/>
                <w:bCs/>
                <w:szCs w:val="24"/>
              </w:rPr>
              <w:t>for discussion</w:t>
            </w:r>
            <w:r>
              <w:rPr>
                <w:szCs w:val="24"/>
              </w:rPr>
              <w:t>.</w:t>
            </w:r>
          </w:p>
          <w:p w14:paraId="7189A0B0" w14:textId="77777777" w:rsidR="004D648B" w:rsidRPr="0052249C" w:rsidRDefault="004D648B" w:rsidP="004D648B">
            <w:pPr>
              <w:spacing w:before="160"/>
              <w:rPr>
                <w:sz w:val="26"/>
                <w:szCs w:val="26"/>
              </w:rPr>
            </w:pPr>
            <w:r w:rsidRPr="0052249C">
              <w:rPr>
                <w:sz w:val="26"/>
                <w:szCs w:val="26"/>
              </w:rPr>
              <w:t>____________________________________</w:t>
            </w:r>
          </w:p>
          <w:p w14:paraId="47E6616B" w14:textId="0F50272E" w:rsidR="00AD3606" w:rsidRDefault="004D648B" w:rsidP="004D648B">
            <w:pPr>
              <w:spacing w:before="160"/>
              <w:rPr>
                <w:b/>
                <w:bCs/>
                <w:sz w:val="26"/>
                <w:szCs w:val="26"/>
              </w:rPr>
            </w:pPr>
            <w:r w:rsidRPr="004D648B">
              <w:rPr>
                <w:b/>
                <w:bCs/>
                <w:sz w:val="26"/>
                <w:szCs w:val="26"/>
              </w:rPr>
              <w:t>Reference</w:t>
            </w:r>
          </w:p>
          <w:p w14:paraId="6C342BD9" w14:textId="3E98852D" w:rsidR="00AD3606" w:rsidRDefault="0053640F" w:rsidP="00F16BAB">
            <w:pPr>
              <w:spacing w:after="160"/>
            </w:pPr>
            <w:hyperlink r:id="rId8" w:history="1">
              <w:r w:rsidR="00E15C3A" w:rsidRPr="0053640F">
                <w:rPr>
                  <w:rStyle w:val="Hyperlink"/>
                  <w:b/>
                  <w:lang w:val="en-US"/>
                </w:rPr>
                <w:t>EG-ITRs-1/1 : Draft Agenda</w:t>
              </w:r>
            </w:hyperlink>
          </w:p>
        </w:tc>
      </w:tr>
    </w:tbl>
    <w:p w14:paraId="4583D30F" w14:textId="77777777"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D44CB00" w14:textId="77777777"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0"/>
    <w:p w14:paraId="032CB611" w14:textId="77777777" w:rsidR="00AF29E2"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sidRPr="0053640F">
        <w:rPr>
          <w:rFonts w:asciiTheme="minorHAnsi" w:hAnsiTheme="minorHAnsi" w:cstheme="minorHAnsi"/>
          <w:b/>
        </w:rPr>
        <w:lastRenderedPageBreak/>
        <w:t>Background</w:t>
      </w:r>
    </w:p>
    <w:p w14:paraId="7B6079E9" w14:textId="77777777" w:rsidR="00A514A4"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sidRPr="0053640F">
        <w:rPr>
          <w:rFonts w:asciiTheme="minorHAnsi" w:hAnsiTheme="minorHAnsi" w:cstheme="minorHAnsi"/>
        </w:rPr>
        <w:t xml:space="preserve">1. </w:t>
      </w:r>
      <w:r w:rsidR="00E15C3A" w:rsidRPr="0053640F">
        <w:rPr>
          <w:rFonts w:asciiTheme="minorHAnsi" w:hAnsiTheme="minorHAnsi" w:cstheme="minorHAnsi"/>
        </w:rPr>
        <w:t>Items 3 and 4 of the Draft Agenda of the first meeting of the ITR-EG are:</w:t>
      </w:r>
    </w:p>
    <w:p w14:paraId="776279C8" w14:textId="77777777" w:rsidR="00E15C3A" w:rsidRPr="0053640F" w:rsidRDefault="00E15C3A"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3. Discussion on working methods and terms of reference of EG-ITRs, based on PP Res. 146 (Rev. Dubai, 2022) and Council Res. 1379 (Mod. 2023), based on the contributions received</w:t>
      </w:r>
    </w:p>
    <w:p w14:paraId="0E23A692" w14:textId="77777777" w:rsidR="00E15C3A" w:rsidRPr="0053640F" w:rsidRDefault="00E15C3A"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4. Discussion of the work plan of EG-ITRs, taking into account the contributions received</w:t>
      </w:r>
    </w:p>
    <w:p w14:paraId="5ED1CC83" w14:textId="77777777" w:rsidR="00E15C3A"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sidRPr="0053640F">
        <w:rPr>
          <w:rFonts w:asciiTheme="minorHAnsi" w:hAnsiTheme="minorHAnsi" w:cstheme="minorHAnsi"/>
        </w:rPr>
        <w:t xml:space="preserve">2. </w:t>
      </w:r>
      <w:r w:rsidR="00E15C3A" w:rsidRPr="0053640F">
        <w:rPr>
          <w:rFonts w:asciiTheme="minorHAnsi" w:hAnsiTheme="minorHAnsi" w:cstheme="minorHAnsi"/>
        </w:rPr>
        <w:t>This contribution proposes working methods and a work plan for the EG-ITR, based on its Terms of Reference.</w:t>
      </w:r>
    </w:p>
    <w:p w14:paraId="52F70354" w14:textId="77777777" w:rsidR="00734FAC"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sidRPr="0053640F">
        <w:rPr>
          <w:rFonts w:asciiTheme="minorHAnsi" w:hAnsiTheme="minorHAnsi" w:cstheme="minorHAnsi"/>
        </w:rPr>
        <w:t>3</w:t>
      </w:r>
      <w:r w:rsidR="00734FAC" w:rsidRPr="0053640F">
        <w:rPr>
          <w:rFonts w:asciiTheme="minorHAnsi" w:hAnsiTheme="minorHAnsi" w:cstheme="minorHAnsi"/>
        </w:rPr>
        <w:t>. Council Resolution 1379 (modified 2023) “</w:t>
      </w:r>
      <w:r w:rsidR="00734FAC" w:rsidRPr="0053640F">
        <w:rPr>
          <w:rFonts w:asciiTheme="minorHAnsi" w:hAnsiTheme="minorHAnsi" w:cstheme="minorHAnsi"/>
          <w:i/>
          <w:iCs/>
        </w:rPr>
        <w:t>resolves that that an Expert Group on the International Telecommunication Regulations (EG-ITRs), open to the ITU Member States and Sector Members, be reconvened to continue consideration of issues relating to the ITRs, including their review, with the Terms of Reference shown in Annex 1 of this resolution</w:t>
      </w:r>
      <w:r w:rsidR="00734FAC" w:rsidRPr="0053640F">
        <w:rPr>
          <w:rFonts w:asciiTheme="minorHAnsi" w:hAnsiTheme="minorHAnsi" w:cstheme="minorHAnsi"/>
        </w:rPr>
        <w:t>”</w:t>
      </w:r>
      <w:r w:rsidR="00734FAC" w:rsidRPr="0053640F">
        <w:rPr>
          <w:rFonts w:asciiTheme="minorHAnsi" w:hAnsiTheme="minorHAnsi" w:cstheme="minorHAnsi"/>
          <w:vertAlign w:val="superscript"/>
          <w:lang w:val="en-US"/>
        </w:rPr>
        <w:t xml:space="preserve"> </w:t>
      </w:r>
      <w:r w:rsidR="00734FAC" w:rsidRPr="0053640F">
        <w:rPr>
          <w:rFonts w:asciiTheme="minorHAnsi" w:hAnsiTheme="minorHAnsi" w:cstheme="minorHAnsi"/>
          <w:vertAlign w:val="superscript"/>
          <w:lang w:val="en-US"/>
        </w:rPr>
        <w:footnoteReference w:id="1"/>
      </w:r>
      <w:r w:rsidR="00734FAC" w:rsidRPr="0053640F">
        <w:rPr>
          <w:rFonts w:asciiTheme="minorHAnsi" w:hAnsiTheme="minorHAnsi" w:cstheme="minorHAnsi"/>
        </w:rPr>
        <w:t xml:space="preserve">. </w:t>
      </w:r>
    </w:p>
    <w:p w14:paraId="7B7BF90F" w14:textId="77777777" w:rsidR="00734FAC"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sidRPr="0053640F">
        <w:rPr>
          <w:rFonts w:asciiTheme="minorHAnsi" w:hAnsiTheme="minorHAnsi" w:cstheme="minorHAnsi"/>
        </w:rPr>
        <w:t>4</w:t>
      </w:r>
      <w:r w:rsidR="00734FAC" w:rsidRPr="0053640F">
        <w:rPr>
          <w:rFonts w:asciiTheme="minorHAnsi" w:hAnsiTheme="minorHAnsi" w:cstheme="minorHAnsi"/>
        </w:rPr>
        <w:t>. The term review is defined as follows in various dictionaries:</w:t>
      </w:r>
    </w:p>
    <w:p w14:paraId="7474A500" w14:textId="77777777" w:rsidR="00734FAC" w:rsidRPr="0053640F" w:rsidRDefault="00734FAC"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Cambridge: to think or talk about something again, in order to make changes to it or to make a decision about it</w:t>
      </w:r>
      <w:r w:rsidRPr="0053640F">
        <w:rPr>
          <w:rStyle w:val="FootnoteReference"/>
          <w:rFonts w:asciiTheme="minorHAnsi" w:hAnsiTheme="minorHAnsi" w:cstheme="minorHAnsi"/>
        </w:rPr>
        <w:footnoteReference w:id="2"/>
      </w:r>
    </w:p>
    <w:p w14:paraId="06453D6E" w14:textId="77777777" w:rsidR="00734FAC" w:rsidRPr="0053640F" w:rsidRDefault="00734FAC"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Webster-Merriam: to go over or examine critically or deliberately</w:t>
      </w:r>
      <w:r w:rsidR="006638C3" w:rsidRPr="0053640F">
        <w:rPr>
          <w:rStyle w:val="FootnoteReference"/>
          <w:rFonts w:asciiTheme="minorHAnsi" w:hAnsiTheme="minorHAnsi" w:cstheme="minorHAnsi"/>
        </w:rPr>
        <w:footnoteReference w:id="3"/>
      </w:r>
    </w:p>
    <w:p w14:paraId="57EF28A9" w14:textId="77777777" w:rsidR="00734FAC" w:rsidRPr="0053640F" w:rsidRDefault="00734FAC"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Collins: If you review a situation or system, you consider it carefully to see what is wrong with it or how it could be improved</w:t>
      </w:r>
      <w:r w:rsidRPr="0053640F">
        <w:rPr>
          <w:rStyle w:val="FootnoteReference"/>
          <w:rFonts w:asciiTheme="minorHAnsi" w:hAnsiTheme="minorHAnsi" w:cstheme="minorHAnsi"/>
        </w:rPr>
        <w:footnoteReference w:id="4"/>
      </w:r>
    </w:p>
    <w:p w14:paraId="158BF4FF" w14:textId="77777777" w:rsidR="006638C3" w:rsidRPr="0053640F" w:rsidRDefault="006638C3"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Britannica: to look at or examine (something) carefully especially before making a decision or judgment</w:t>
      </w:r>
      <w:r w:rsidRPr="0053640F">
        <w:rPr>
          <w:rStyle w:val="FootnoteReference"/>
          <w:rFonts w:asciiTheme="minorHAnsi" w:hAnsiTheme="minorHAnsi" w:cstheme="minorHAnsi"/>
        </w:rPr>
        <w:footnoteReference w:id="5"/>
      </w:r>
    </w:p>
    <w:p w14:paraId="599FAEAD" w14:textId="77777777" w:rsidR="006638C3"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sidRPr="0053640F">
        <w:rPr>
          <w:rFonts w:asciiTheme="minorHAnsi" w:hAnsiTheme="minorHAnsi" w:cstheme="minorHAnsi"/>
        </w:rPr>
        <w:t>5</w:t>
      </w:r>
      <w:r w:rsidR="006638C3" w:rsidRPr="0053640F">
        <w:rPr>
          <w:rFonts w:asciiTheme="minorHAnsi" w:hAnsiTheme="minorHAnsi" w:cstheme="minorHAnsi"/>
        </w:rPr>
        <w:t xml:space="preserve">. The </w:t>
      </w:r>
      <w:r w:rsidRPr="0053640F">
        <w:rPr>
          <w:rFonts w:asciiTheme="minorHAnsi" w:hAnsiTheme="minorHAnsi" w:cstheme="minorHAnsi"/>
        </w:rPr>
        <w:t xml:space="preserve">authoritative </w:t>
      </w:r>
      <w:r w:rsidR="006638C3" w:rsidRPr="0053640F">
        <w:rPr>
          <w:rFonts w:asciiTheme="minorHAnsi" w:hAnsiTheme="minorHAnsi" w:cstheme="minorHAnsi"/>
        </w:rPr>
        <w:t xml:space="preserve">French version of the cited Council Resolution uses the term “examen”. That has a similar connotation to the definitions of </w:t>
      </w:r>
      <w:r w:rsidRPr="0053640F">
        <w:rPr>
          <w:rFonts w:asciiTheme="minorHAnsi" w:hAnsiTheme="minorHAnsi" w:cstheme="minorHAnsi"/>
        </w:rPr>
        <w:t>“</w:t>
      </w:r>
      <w:r w:rsidR="006638C3" w:rsidRPr="0053640F">
        <w:rPr>
          <w:rFonts w:asciiTheme="minorHAnsi" w:hAnsiTheme="minorHAnsi" w:cstheme="minorHAnsi"/>
        </w:rPr>
        <w:t>review</w:t>
      </w:r>
      <w:r w:rsidRPr="0053640F">
        <w:rPr>
          <w:rFonts w:asciiTheme="minorHAnsi" w:hAnsiTheme="minorHAnsi" w:cstheme="minorHAnsi"/>
        </w:rPr>
        <w:t>”</w:t>
      </w:r>
      <w:r w:rsidR="006638C3" w:rsidRPr="0053640F">
        <w:rPr>
          <w:rFonts w:asciiTheme="minorHAnsi" w:hAnsiTheme="minorHAnsi" w:cstheme="minorHAnsi"/>
        </w:rPr>
        <w:t xml:space="preserve"> cited above. </w:t>
      </w:r>
      <w:r w:rsidR="006638C3" w:rsidRPr="0053640F">
        <w:rPr>
          <w:rFonts w:asciiTheme="minorHAnsi" w:hAnsiTheme="minorHAnsi" w:cstheme="minorHAnsi"/>
          <w:lang w:val="en-US"/>
        </w:rPr>
        <w:t>For example, Larousse defines the verb “</w:t>
      </w:r>
      <w:r w:rsidR="006638C3" w:rsidRPr="0053640F">
        <w:rPr>
          <w:rFonts w:asciiTheme="minorHAnsi" w:hAnsiTheme="minorHAnsi" w:cstheme="minorHAnsi"/>
          <w:i/>
          <w:lang w:val="en-US"/>
        </w:rPr>
        <w:t>examiner</w:t>
      </w:r>
      <w:r w:rsidR="006638C3" w:rsidRPr="0053640F">
        <w:rPr>
          <w:rFonts w:asciiTheme="minorHAnsi" w:hAnsiTheme="minorHAnsi" w:cstheme="minorHAnsi"/>
          <w:lang w:val="en-US"/>
        </w:rPr>
        <w:t>” as “</w:t>
      </w:r>
      <w:proofErr w:type="spellStart"/>
      <w:r w:rsidRPr="0053640F">
        <w:rPr>
          <w:rFonts w:asciiTheme="minorHAnsi" w:hAnsiTheme="minorHAnsi" w:cstheme="minorHAnsi"/>
          <w:i/>
          <w:lang w:val="en-US"/>
        </w:rPr>
        <w:t>é</w:t>
      </w:r>
      <w:r w:rsidR="006638C3" w:rsidRPr="0053640F">
        <w:rPr>
          <w:rFonts w:asciiTheme="minorHAnsi" w:hAnsiTheme="minorHAnsi" w:cstheme="minorHAnsi"/>
          <w:i/>
          <w:lang w:val="en-US"/>
        </w:rPr>
        <w:t>tudier</w:t>
      </w:r>
      <w:proofErr w:type="spellEnd"/>
      <w:r w:rsidR="006638C3" w:rsidRPr="0053640F">
        <w:rPr>
          <w:rFonts w:asciiTheme="minorHAnsi" w:hAnsiTheme="minorHAnsi" w:cstheme="minorHAnsi"/>
          <w:i/>
          <w:lang w:val="en-US"/>
        </w:rPr>
        <w:t xml:space="preserve"> </w:t>
      </w:r>
      <w:proofErr w:type="spellStart"/>
      <w:r w:rsidR="006638C3" w:rsidRPr="0053640F">
        <w:rPr>
          <w:rFonts w:asciiTheme="minorHAnsi" w:hAnsiTheme="minorHAnsi" w:cstheme="minorHAnsi"/>
          <w:i/>
          <w:lang w:val="en-US"/>
        </w:rPr>
        <w:t>attentivement</w:t>
      </w:r>
      <w:proofErr w:type="spellEnd"/>
      <w:r w:rsidR="006638C3" w:rsidRPr="0053640F">
        <w:rPr>
          <w:rFonts w:asciiTheme="minorHAnsi" w:hAnsiTheme="minorHAnsi" w:cstheme="minorHAnsi"/>
          <w:i/>
          <w:lang w:val="en-US"/>
        </w:rPr>
        <w:t xml:space="preserve">, </w:t>
      </w:r>
      <w:proofErr w:type="spellStart"/>
      <w:r w:rsidR="006638C3" w:rsidRPr="0053640F">
        <w:rPr>
          <w:rFonts w:asciiTheme="minorHAnsi" w:hAnsiTheme="minorHAnsi" w:cstheme="minorHAnsi"/>
          <w:i/>
          <w:lang w:val="en-US"/>
        </w:rPr>
        <w:t>minutieusement</w:t>
      </w:r>
      <w:proofErr w:type="spellEnd"/>
      <w:r w:rsidR="006638C3" w:rsidRPr="0053640F">
        <w:rPr>
          <w:rFonts w:asciiTheme="minorHAnsi" w:hAnsiTheme="minorHAnsi" w:cstheme="minorHAnsi"/>
          <w:i/>
          <w:lang w:val="en-US"/>
        </w:rPr>
        <w:t xml:space="preserve"> </w:t>
      </w:r>
      <w:proofErr w:type="spellStart"/>
      <w:r w:rsidR="006638C3" w:rsidRPr="0053640F">
        <w:rPr>
          <w:rFonts w:asciiTheme="minorHAnsi" w:hAnsiTheme="minorHAnsi" w:cstheme="minorHAnsi"/>
          <w:i/>
          <w:lang w:val="en-US"/>
        </w:rPr>
        <w:t>quelque</w:t>
      </w:r>
      <w:proofErr w:type="spellEnd"/>
      <w:r w:rsidR="006638C3" w:rsidRPr="0053640F">
        <w:rPr>
          <w:rFonts w:asciiTheme="minorHAnsi" w:hAnsiTheme="minorHAnsi" w:cstheme="minorHAnsi"/>
          <w:i/>
          <w:lang w:val="en-US"/>
        </w:rPr>
        <w:t xml:space="preserve"> chose</w:t>
      </w:r>
      <w:r w:rsidR="006638C3" w:rsidRPr="0053640F">
        <w:rPr>
          <w:rFonts w:asciiTheme="minorHAnsi" w:hAnsiTheme="minorHAnsi" w:cstheme="minorHAnsi"/>
          <w:lang w:val="en-US"/>
        </w:rPr>
        <w:t>”</w:t>
      </w:r>
      <w:r w:rsidRPr="0053640F">
        <w:rPr>
          <w:rStyle w:val="FootnoteReference"/>
          <w:rFonts w:asciiTheme="minorHAnsi" w:hAnsiTheme="minorHAnsi" w:cstheme="minorHAnsi"/>
          <w:lang w:val="en-US"/>
        </w:rPr>
        <w:footnoteReference w:id="6"/>
      </w:r>
      <w:r w:rsidR="006638C3" w:rsidRPr="0053640F">
        <w:rPr>
          <w:rFonts w:asciiTheme="minorHAnsi" w:hAnsiTheme="minorHAnsi" w:cstheme="minorHAnsi"/>
          <w:lang w:val="en-US"/>
        </w:rPr>
        <w:t xml:space="preserve">, which means </w:t>
      </w:r>
      <w:r w:rsidR="006638C3" w:rsidRPr="0053640F">
        <w:rPr>
          <w:rFonts w:asciiTheme="minorHAnsi" w:hAnsiTheme="minorHAnsi" w:cstheme="minorHAnsi"/>
        </w:rPr>
        <w:t>“</w:t>
      </w:r>
      <w:r w:rsidR="006638C3" w:rsidRPr="0053640F">
        <w:rPr>
          <w:rFonts w:asciiTheme="minorHAnsi" w:hAnsiTheme="minorHAnsi" w:cstheme="minorHAnsi"/>
          <w:lang w:val="en-US"/>
        </w:rPr>
        <w:t xml:space="preserve">to study something </w:t>
      </w:r>
      <w:r w:rsidRPr="0053640F">
        <w:rPr>
          <w:rFonts w:asciiTheme="minorHAnsi" w:hAnsiTheme="minorHAnsi" w:cstheme="minorHAnsi"/>
          <w:lang w:val="en-US"/>
        </w:rPr>
        <w:t>carefully, minutely</w:t>
      </w:r>
      <w:r w:rsidR="006638C3" w:rsidRPr="0053640F">
        <w:rPr>
          <w:rFonts w:asciiTheme="minorHAnsi" w:hAnsiTheme="minorHAnsi" w:cstheme="minorHAnsi"/>
        </w:rPr>
        <w:t>”</w:t>
      </w:r>
      <w:r w:rsidR="006638C3" w:rsidRPr="0053640F">
        <w:rPr>
          <w:rFonts w:asciiTheme="minorHAnsi" w:hAnsiTheme="minorHAnsi" w:cstheme="minorHAnsi"/>
          <w:lang w:val="en-US"/>
        </w:rPr>
        <w:t>.</w:t>
      </w:r>
      <w:r w:rsidRPr="0053640F">
        <w:rPr>
          <w:rFonts w:asciiTheme="minorHAnsi" w:hAnsiTheme="minorHAnsi" w:cstheme="minorHAnsi"/>
          <w:lang w:val="en-US"/>
        </w:rPr>
        <w:t xml:space="preserve"> The definition in the French dictionary Le Robert is similar</w:t>
      </w:r>
      <w:r w:rsidRPr="0053640F">
        <w:rPr>
          <w:rStyle w:val="FootnoteReference"/>
          <w:rFonts w:asciiTheme="minorHAnsi" w:hAnsiTheme="minorHAnsi" w:cstheme="minorHAnsi"/>
          <w:lang w:val="en-US"/>
        </w:rPr>
        <w:footnoteReference w:id="7"/>
      </w:r>
      <w:r w:rsidRPr="0053640F">
        <w:rPr>
          <w:rFonts w:asciiTheme="minorHAnsi" w:hAnsiTheme="minorHAnsi" w:cstheme="minorHAnsi"/>
          <w:lang w:val="en-US"/>
        </w:rPr>
        <w:t>.</w:t>
      </w:r>
    </w:p>
    <w:p w14:paraId="4C93A7D3" w14:textId="77777777" w:rsidR="007C01FB"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sidRPr="0053640F">
        <w:rPr>
          <w:rFonts w:asciiTheme="minorHAnsi" w:hAnsiTheme="minorHAnsi" w:cstheme="minorHAnsi"/>
          <w:lang w:val="en-US"/>
        </w:rPr>
        <w:t>6</w:t>
      </w:r>
      <w:r w:rsidR="00AF29E2" w:rsidRPr="0053640F">
        <w:rPr>
          <w:rFonts w:asciiTheme="minorHAnsi" w:hAnsiTheme="minorHAnsi" w:cstheme="minorHAnsi"/>
          <w:lang w:val="en-US"/>
        </w:rPr>
        <w:t xml:space="preserve">. </w:t>
      </w:r>
      <w:r w:rsidR="007C01FB" w:rsidRPr="0053640F">
        <w:rPr>
          <w:rFonts w:asciiTheme="minorHAnsi" w:hAnsiTheme="minorHAnsi" w:cstheme="minorHAnsi"/>
          <w:lang w:val="en-US"/>
        </w:rPr>
        <w:t>The work of the current ITR-EG is specified in its Terms of Reference:</w:t>
      </w:r>
    </w:p>
    <w:p w14:paraId="579A35B3" w14:textId="77777777" w:rsidR="007C01FB" w:rsidRPr="0053640F" w:rsidRDefault="007C01FB" w:rsidP="0053640F">
      <w:pPr>
        <w:tabs>
          <w:tab w:val="clear" w:pos="567"/>
          <w:tab w:val="clear" w:pos="1134"/>
          <w:tab w:val="clear" w:pos="1701"/>
          <w:tab w:val="clear" w:pos="2268"/>
          <w:tab w:val="clear" w:pos="2835"/>
        </w:tabs>
        <w:overflowPunct/>
        <w:autoSpaceDE/>
        <w:autoSpaceDN/>
        <w:adjustRightInd/>
        <w:ind w:left="720"/>
        <w:textAlignment w:val="auto"/>
        <w:rPr>
          <w:rFonts w:asciiTheme="minorHAnsi" w:hAnsiTheme="minorHAnsi" w:cstheme="minorHAnsi"/>
        </w:rPr>
      </w:pPr>
      <w:r w:rsidRPr="0053640F">
        <w:rPr>
          <w:rFonts w:asciiTheme="minorHAnsi" w:hAnsiTheme="minorHAnsi" w:cstheme="minorHAnsi"/>
        </w:rPr>
        <w:t>2</w:t>
      </w:r>
      <w:r w:rsidRPr="0053640F">
        <w:rPr>
          <w:rFonts w:asciiTheme="minorHAnsi" w:hAnsiTheme="minorHAnsi" w:cstheme="minorHAnsi"/>
        </w:rPr>
        <w:tab/>
        <w:t xml:space="preserve">Taking into consideration the work of the previous two Expert Groups, the review may consider, among others: </w:t>
      </w:r>
    </w:p>
    <w:p w14:paraId="520AEB05" w14:textId="77777777" w:rsidR="007C01FB" w:rsidRPr="0053640F" w:rsidRDefault="007C01FB" w:rsidP="0053640F">
      <w:pPr>
        <w:tabs>
          <w:tab w:val="clear" w:pos="567"/>
          <w:tab w:val="clear" w:pos="1134"/>
          <w:tab w:val="clear" w:pos="1701"/>
          <w:tab w:val="clear" w:pos="2268"/>
          <w:tab w:val="clear" w:pos="2835"/>
        </w:tabs>
        <w:overflowPunct/>
        <w:autoSpaceDE/>
        <w:autoSpaceDN/>
        <w:adjustRightInd/>
        <w:ind w:left="1440"/>
        <w:textAlignment w:val="auto"/>
        <w:rPr>
          <w:rFonts w:asciiTheme="minorHAnsi" w:hAnsiTheme="minorHAnsi" w:cstheme="minorHAnsi"/>
        </w:rPr>
      </w:pPr>
      <w:r w:rsidRPr="0053640F">
        <w:rPr>
          <w:rFonts w:asciiTheme="minorHAnsi" w:hAnsiTheme="minorHAnsi" w:cstheme="minorHAnsi"/>
        </w:rPr>
        <w:t>a)</w:t>
      </w:r>
      <w:r w:rsidRPr="0053640F">
        <w:rPr>
          <w:rFonts w:asciiTheme="minorHAnsi" w:hAnsiTheme="minorHAnsi" w:cstheme="minorHAnsi"/>
        </w:rPr>
        <w:tab/>
        <w:t>new trends in telecommunications/ICT and emerging issues in international telecommunications/ICT environment which may impact the ITRs,</w:t>
      </w:r>
    </w:p>
    <w:p w14:paraId="07E6F43D" w14:textId="77777777" w:rsidR="007C01FB" w:rsidRPr="0053640F" w:rsidRDefault="007C01FB" w:rsidP="0053640F">
      <w:pPr>
        <w:tabs>
          <w:tab w:val="clear" w:pos="567"/>
          <w:tab w:val="clear" w:pos="1134"/>
          <w:tab w:val="clear" w:pos="1701"/>
          <w:tab w:val="clear" w:pos="2268"/>
          <w:tab w:val="clear" w:pos="2835"/>
        </w:tabs>
        <w:overflowPunct/>
        <w:autoSpaceDE/>
        <w:autoSpaceDN/>
        <w:adjustRightInd/>
        <w:ind w:left="1440"/>
        <w:textAlignment w:val="auto"/>
        <w:rPr>
          <w:rFonts w:asciiTheme="minorHAnsi" w:hAnsiTheme="minorHAnsi" w:cstheme="minorHAnsi"/>
        </w:rPr>
      </w:pPr>
      <w:r w:rsidRPr="0053640F">
        <w:rPr>
          <w:rFonts w:asciiTheme="minorHAnsi" w:hAnsiTheme="minorHAnsi" w:cstheme="minorHAnsi"/>
        </w:rPr>
        <w:lastRenderedPageBreak/>
        <w:t>b)</w:t>
      </w:r>
      <w:r w:rsidRPr="0053640F">
        <w:rPr>
          <w:rFonts w:asciiTheme="minorHAnsi" w:hAnsiTheme="minorHAnsi" w:cstheme="minorHAnsi"/>
        </w:rPr>
        <w:tab/>
        <w:t>empirical data on the current use of the ITRs by operating agencies and/or administrations and the proportion of global telecommunication services which now rely on the ITRs, and</w:t>
      </w:r>
    </w:p>
    <w:p w14:paraId="42347E55" w14:textId="77777777" w:rsidR="007C01FB" w:rsidRPr="0053640F" w:rsidRDefault="007C01FB" w:rsidP="0053640F">
      <w:pPr>
        <w:tabs>
          <w:tab w:val="clear" w:pos="567"/>
          <w:tab w:val="clear" w:pos="1134"/>
          <w:tab w:val="clear" w:pos="1701"/>
          <w:tab w:val="clear" w:pos="2268"/>
          <w:tab w:val="clear" w:pos="2835"/>
        </w:tabs>
        <w:overflowPunct/>
        <w:autoSpaceDE/>
        <w:autoSpaceDN/>
        <w:adjustRightInd/>
        <w:ind w:left="1440"/>
        <w:textAlignment w:val="auto"/>
        <w:rPr>
          <w:rFonts w:asciiTheme="minorHAnsi" w:hAnsiTheme="minorHAnsi" w:cstheme="minorHAnsi"/>
        </w:rPr>
      </w:pPr>
      <w:r w:rsidRPr="0053640F">
        <w:rPr>
          <w:rFonts w:asciiTheme="minorHAnsi" w:hAnsiTheme="minorHAnsi" w:cstheme="minorHAnsi"/>
        </w:rPr>
        <w:t>c)</w:t>
      </w:r>
      <w:r w:rsidRPr="0053640F">
        <w:rPr>
          <w:rFonts w:asciiTheme="minorHAnsi" w:hAnsiTheme="minorHAnsi" w:cstheme="minorHAnsi"/>
        </w:rPr>
        <w:tab/>
        <w:t>the relevance of the ITRs which “consist of high-level guiding principles” in the current telecommunication/ICT environment.</w:t>
      </w:r>
    </w:p>
    <w:p w14:paraId="7FD4DAEA" w14:textId="3403619C" w:rsidR="007C01FB"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sidRPr="0053640F">
        <w:rPr>
          <w:rFonts w:asciiTheme="minorHAnsi" w:hAnsiTheme="minorHAnsi" w:cstheme="minorHAnsi"/>
        </w:rPr>
        <w:t>7</w:t>
      </w:r>
      <w:r w:rsidR="00AF29E2" w:rsidRPr="0053640F">
        <w:rPr>
          <w:rFonts w:asciiTheme="minorHAnsi" w:hAnsiTheme="minorHAnsi" w:cstheme="minorHAnsi"/>
        </w:rPr>
        <w:t xml:space="preserve">. </w:t>
      </w:r>
      <w:r w:rsidR="007C01FB" w:rsidRPr="0053640F">
        <w:rPr>
          <w:rFonts w:asciiTheme="minorHAnsi" w:hAnsiTheme="minorHAnsi" w:cstheme="minorHAnsi"/>
        </w:rPr>
        <w:t xml:space="preserve">As stated in our previous contribution, </w:t>
      </w:r>
      <w:hyperlink r:id="rId9" w:history="1">
        <w:r w:rsidR="0053640F" w:rsidRPr="002F6AF6">
          <w:rPr>
            <w:rStyle w:val="Hyperlink"/>
            <w:rFonts w:asciiTheme="minorHAnsi" w:hAnsiTheme="minorHAnsi" w:cstheme="minorHAnsi"/>
          </w:rPr>
          <w:t>EG-ITRs-1/2</w:t>
        </w:r>
      </w:hyperlink>
      <w:r w:rsidR="003425F0" w:rsidRPr="0053640F">
        <w:rPr>
          <w:rFonts w:asciiTheme="minorHAnsi" w:hAnsiTheme="minorHAnsi" w:cstheme="minorHAnsi"/>
        </w:rPr>
        <w:t>:</w:t>
      </w:r>
    </w:p>
    <w:p w14:paraId="23DF4529" w14:textId="77777777" w:rsidR="003425F0" w:rsidRPr="0053640F" w:rsidRDefault="003425F0" w:rsidP="0053640F">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rPr>
        <w:t xml:space="preserve">In our view, </w:t>
      </w:r>
      <w:r w:rsidR="006638C3" w:rsidRPr="0053640F">
        <w:rPr>
          <w:rFonts w:asciiTheme="minorHAnsi" w:hAnsiTheme="minorHAnsi" w:cstheme="minorHAnsi"/>
        </w:rPr>
        <w:t>some</w:t>
      </w:r>
      <w:r w:rsidRPr="0053640F">
        <w:rPr>
          <w:rFonts w:asciiTheme="minorHAnsi" w:hAnsiTheme="minorHAnsi" w:cstheme="minorHAnsi"/>
          <w:lang w:val="en-US"/>
        </w:rPr>
        <w:t xml:space="preserve"> provisions of the ITRs (whether the 1988 version or the 2012 version) are no longer useful or appropriate.</w:t>
      </w:r>
    </w:p>
    <w:p w14:paraId="476CFD00" w14:textId="77777777" w:rsidR="003425F0" w:rsidRPr="0053640F" w:rsidRDefault="003425F0" w:rsidP="0053640F">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All international telecommunication services rely on the ITRs to some extent.</w:t>
      </w:r>
    </w:p>
    <w:p w14:paraId="3B32D14D" w14:textId="77777777" w:rsidR="00AF29E2" w:rsidRPr="0053640F" w:rsidRDefault="00AF29E2" w:rsidP="0053640F">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Most operating agencies do not rely directly on the ITRs, because the ITRs is a treaty that binds states.</w:t>
      </w:r>
    </w:p>
    <w:p w14:paraId="27944AD2" w14:textId="77777777" w:rsidR="003425F0" w:rsidRPr="0053640F" w:rsidRDefault="003425F0" w:rsidP="0053640F">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 xml:space="preserve">The 2012 ITRs include provisions on new issues, for which binding treaty-level provisions have been proposed in trade negotiations, in particular regarding spam </w:t>
      </w:r>
      <w:r w:rsidR="000334F2" w:rsidRPr="0053640F">
        <w:rPr>
          <w:rFonts w:asciiTheme="minorHAnsi" w:hAnsiTheme="minorHAnsi" w:cstheme="minorHAnsi"/>
          <w:lang w:val="en-US"/>
        </w:rPr>
        <w:t xml:space="preserve">and </w:t>
      </w:r>
      <w:r w:rsidRPr="0053640F">
        <w:rPr>
          <w:rFonts w:asciiTheme="minorHAnsi" w:hAnsiTheme="minorHAnsi" w:cstheme="minorHAnsi"/>
          <w:lang w:val="en-US"/>
        </w:rPr>
        <w:t>cybersecurity.</w:t>
      </w:r>
    </w:p>
    <w:p w14:paraId="7F071794" w14:textId="77777777" w:rsidR="003425F0" w:rsidRPr="0053640F" w:rsidRDefault="003425F0" w:rsidP="0053640F">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In our view, the use of Artificial Intelligence (AI) in international telecommunications network is an emerging issue that might merit discussion in the context of the ITRs.</w:t>
      </w:r>
      <w:r w:rsidR="00520AC3" w:rsidRPr="0053640F">
        <w:rPr>
          <w:rFonts w:asciiTheme="minorHAnsi" w:hAnsiTheme="minorHAnsi" w:cstheme="minorHAnsi"/>
          <w:lang w:val="en-US"/>
        </w:rPr>
        <w:t xml:space="preserve"> Indeed, the September 2023 G20 Declaration</w:t>
      </w:r>
      <w:r w:rsidR="00520AC3" w:rsidRPr="0053640F">
        <w:rPr>
          <w:rStyle w:val="FootnoteReference"/>
          <w:rFonts w:asciiTheme="minorHAnsi" w:hAnsiTheme="minorHAnsi" w:cstheme="minorHAnsi"/>
          <w:lang w:val="en-US"/>
        </w:rPr>
        <w:footnoteReference w:id="8"/>
      </w:r>
      <w:r w:rsidR="00520AC3" w:rsidRPr="0053640F">
        <w:rPr>
          <w:rFonts w:asciiTheme="minorHAnsi" w:hAnsiTheme="minorHAnsi" w:cstheme="minorHAnsi"/>
          <w:lang w:val="en-US"/>
        </w:rPr>
        <w:t xml:space="preserve"> states in its paragraph 61.ii: “[We] Will pursue a pro-innovation regulatory/governance approach that maximizes the benefits and takes into account the risks associated with the use of AI.”</w:t>
      </w:r>
    </w:p>
    <w:p w14:paraId="4ECC3F84" w14:textId="77777777" w:rsidR="00AF29E2"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sidRPr="0053640F">
        <w:rPr>
          <w:rFonts w:asciiTheme="minorHAnsi" w:hAnsiTheme="minorHAnsi" w:cstheme="minorHAnsi"/>
          <w:lang w:val="en-US"/>
        </w:rPr>
        <w:t>8</w:t>
      </w:r>
      <w:r w:rsidR="00AF29E2" w:rsidRPr="0053640F">
        <w:rPr>
          <w:rFonts w:asciiTheme="minorHAnsi" w:hAnsiTheme="minorHAnsi" w:cstheme="minorHAnsi"/>
          <w:lang w:val="en-US"/>
        </w:rPr>
        <w:t>. We propose that the ITRs be reviewed in the context of the above considerations, see below.</w:t>
      </w:r>
    </w:p>
    <w:p w14:paraId="78B506F0" w14:textId="77777777" w:rsidR="003425F0"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sidRPr="0053640F">
        <w:rPr>
          <w:rFonts w:asciiTheme="minorHAnsi" w:hAnsiTheme="minorHAnsi" w:cstheme="minorHAnsi"/>
          <w:lang w:val="en-US"/>
        </w:rPr>
        <w:t>9</w:t>
      </w:r>
      <w:r w:rsidR="00AF29E2" w:rsidRPr="0053640F">
        <w:rPr>
          <w:rFonts w:asciiTheme="minorHAnsi" w:hAnsiTheme="minorHAnsi" w:cstheme="minorHAnsi"/>
          <w:lang w:val="en-US"/>
        </w:rPr>
        <w:t xml:space="preserve">. </w:t>
      </w:r>
      <w:r w:rsidR="003425F0" w:rsidRPr="0053640F">
        <w:rPr>
          <w:rFonts w:asciiTheme="minorHAnsi" w:hAnsiTheme="minorHAnsi" w:cstheme="minorHAnsi"/>
          <w:lang w:val="en-US"/>
        </w:rPr>
        <w:t>Fur</w:t>
      </w:r>
      <w:r w:rsidR="00AF29E2" w:rsidRPr="0053640F">
        <w:rPr>
          <w:rFonts w:asciiTheme="minorHAnsi" w:hAnsiTheme="minorHAnsi" w:cstheme="minorHAnsi"/>
          <w:lang w:val="en-US"/>
        </w:rPr>
        <w:t>t</w:t>
      </w:r>
      <w:r w:rsidR="003425F0" w:rsidRPr="0053640F">
        <w:rPr>
          <w:rFonts w:asciiTheme="minorHAnsi" w:hAnsiTheme="minorHAnsi" w:cstheme="minorHAnsi"/>
          <w:lang w:val="en-US"/>
        </w:rPr>
        <w:t xml:space="preserve">her, the </w:t>
      </w:r>
      <w:r w:rsidR="00BF7279" w:rsidRPr="0053640F">
        <w:rPr>
          <w:rFonts w:asciiTheme="minorHAnsi" w:hAnsiTheme="minorHAnsi" w:cstheme="minorHAnsi"/>
          <w:lang w:val="en-US"/>
        </w:rPr>
        <w:t>cited September 2023</w:t>
      </w:r>
      <w:r w:rsidR="003425F0" w:rsidRPr="0053640F">
        <w:rPr>
          <w:rFonts w:asciiTheme="minorHAnsi" w:hAnsiTheme="minorHAnsi" w:cstheme="minorHAnsi"/>
          <w:lang w:val="en-US"/>
        </w:rPr>
        <w:t xml:space="preserve"> G20 Declaration</w:t>
      </w:r>
      <w:r w:rsidR="00520AC3" w:rsidRPr="0053640F">
        <w:rPr>
          <w:rFonts w:asciiTheme="minorHAnsi" w:hAnsiTheme="minorHAnsi" w:cstheme="minorHAnsi"/>
          <w:lang w:val="en-US"/>
        </w:rPr>
        <w:t xml:space="preserve"> </w:t>
      </w:r>
      <w:r w:rsidR="003425F0" w:rsidRPr="0053640F">
        <w:rPr>
          <w:rFonts w:asciiTheme="minorHAnsi" w:hAnsiTheme="minorHAnsi" w:cstheme="minorHAnsi"/>
          <w:lang w:val="en-US"/>
        </w:rPr>
        <w:t xml:space="preserve">mentions new emerging issues which might merit discussion in ITU in the context of the ITRs. In particular, </w:t>
      </w:r>
      <w:r w:rsidR="00467314" w:rsidRPr="0053640F">
        <w:rPr>
          <w:rFonts w:asciiTheme="minorHAnsi" w:hAnsiTheme="minorHAnsi" w:cstheme="minorHAnsi"/>
          <w:lang w:val="en-US"/>
        </w:rPr>
        <w:t xml:space="preserve">paragraph 56 of that Declaration refers to building a Digital Public Infrastructure; and </w:t>
      </w:r>
      <w:r w:rsidR="003425F0" w:rsidRPr="0053640F">
        <w:rPr>
          <w:rFonts w:asciiTheme="minorHAnsi" w:hAnsiTheme="minorHAnsi" w:cstheme="minorHAnsi"/>
          <w:lang w:val="en-US"/>
        </w:rPr>
        <w:t>paragraph 65 commit</w:t>
      </w:r>
      <w:r w:rsidR="00AF29E2" w:rsidRPr="0053640F">
        <w:rPr>
          <w:rFonts w:asciiTheme="minorHAnsi" w:hAnsiTheme="minorHAnsi" w:cstheme="minorHAnsi"/>
          <w:lang w:val="en-US"/>
        </w:rPr>
        <w:t>s</w:t>
      </w:r>
      <w:r w:rsidR="003425F0" w:rsidRPr="0053640F">
        <w:rPr>
          <w:rFonts w:asciiTheme="minorHAnsi" w:hAnsiTheme="minorHAnsi" w:cstheme="minorHAnsi"/>
          <w:lang w:val="en-US"/>
        </w:rPr>
        <w:t xml:space="preserve"> to halve the digital gender gap by 2030</w:t>
      </w:r>
      <w:r w:rsidR="00AF29E2" w:rsidRPr="0053640F">
        <w:rPr>
          <w:rFonts w:asciiTheme="minorHAnsi" w:hAnsiTheme="minorHAnsi" w:cstheme="minorHAnsi"/>
          <w:lang w:val="en-US"/>
        </w:rPr>
        <w:t>. Thus discussion</w:t>
      </w:r>
      <w:r w:rsidR="00467314" w:rsidRPr="0053640F">
        <w:rPr>
          <w:rFonts w:asciiTheme="minorHAnsi" w:hAnsiTheme="minorHAnsi" w:cstheme="minorHAnsi"/>
          <w:lang w:val="en-US"/>
        </w:rPr>
        <w:t>s</w:t>
      </w:r>
      <w:r w:rsidR="00AF29E2" w:rsidRPr="0053640F">
        <w:rPr>
          <w:rFonts w:asciiTheme="minorHAnsi" w:hAnsiTheme="minorHAnsi" w:cstheme="minorHAnsi"/>
          <w:lang w:val="en-US"/>
        </w:rPr>
        <w:t xml:space="preserve"> on measures to</w:t>
      </w:r>
      <w:r w:rsidR="00467314" w:rsidRPr="0053640F">
        <w:rPr>
          <w:rFonts w:asciiTheme="minorHAnsi" w:hAnsiTheme="minorHAnsi" w:cstheme="minorHAnsi"/>
          <w:lang w:val="en-US"/>
        </w:rPr>
        <w:t xml:space="preserve"> build a digital public infrastructure and/or to</w:t>
      </w:r>
      <w:r w:rsidR="00AF29E2" w:rsidRPr="0053640F">
        <w:rPr>
          <w:rFonts w:asciiTheme="minorHAnsi" w:hAnsiTheme="minorHAnsi" w:cstheme="minorHAnsi"/>
          <w:lang w:val="en-US"/>
        </w:rPr>
        <w:t xml:space="preserve"> reduce the digital gender gap might be appropriate in the context of the review of the ITRs.</w:t>
      </w:r>
    </w:p>
    <w:p w14:paraId="27C5CC24" w14:textId="77777777" w:rsidR="00AF29E2"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lang w:val="en-US"/>
        </w:rPr>
      </w:pPr>
      <w:r w:rsidRPr="0053640F">
        <w:rPr>
          <w:rFonts w:asciiTheme="minorHAnsi" w:hAnsiTheme="minorHAnsi" w:cstheme="minorHAnsi"/>
          <w:b/>
          <w:lang w:val="en-US"/>
        </w:rPr>
        <w:t>Proposal</w:t>
      </w:r>
    </w:p>
    <w:p w14:paraId="1966F825" w14:textId="77777777" w:rsidR="00AF29E2" w:rsidRPr="0053640F" w:rsidRDefault="000334F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sidRPr="0053640F">
        <w:rPr>
          <w:rFonts w:asciiTheme="minorHAnsi" w:hAnsiTheme="minorHAnsi" w:cstheme="minorHAnsi"/>
          <w:lang w:val="en-US"/>
        </w:rPr>
        <w:t>10</w:t>
      </w:r>
      <w:r w:rsidR="00AF29E2" w:rsidRPr="0053640F">
        <w:rPr>
          <w:rFonts w:asciiTheme="minorHAnsi" w:hAnsiTheme="minorHAnsi" w:cstheme="minorHAnsi"/>
          <w:lang w:val="en-US"/>
        </w:rPr>
        <w:t>. In light of the above, the following work plan is proposed for the EG-ITRs:</w:t>
      </w:r>
    </w:p>
    <w:p w14:paraId="25DE1C92" w14:textId="77777777" w:rsidR="007F6EFC" w:rsidRPr="0053640F" w:rsidRDefault="00AF29E2"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Review the ITRs by</w:t>
      </w:r>
      <w:r w:rsidR="007F6EFC" w:rsidRPr="0053640F">
        <w:rPr>
          <w:rFonts w:asciiTheme="minorHAnsi" w:hAnsiTheme="minorHAnsi" w:cstheme="minorHAnsi"/>
          <w:lang w:val="en-US"/>
        </w:rPr>
        <w:t>:</w:t>
      </w:r>
    </w:p>
    <w:p w14:paraId="54FACB87" w14:textId="77777777" w:rsidR="00AF29E2" w:rsidRPr="0053640F" w:rsidRDefault="00AF29E2"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Invit</w:t>
      </w:r>
      <w:r w:rsidR="00520AC3" w:rsidRPr="0053640F">
        <w:rPr>
          <w:rFonts w:asciiTheme="minorHAnsi" w:hAnsiTheme="minorHAnsi" w:cstheme="minorHAnsi"/>
          <w:lang w:val="en-US"/>
        </w:rPr>
        <w:t>ing</w:t>
      </w:r>
      <w:r w:rsidRPr="0053640F">
        <w:rPr>
          <w:rFonts w:asciiTheme="minorHAnsi" w:hAnsiTheme="minorHAnsi" w:cstheme="minorHAnsi"/>
          <w:lang w:val="en-US"/>
        </w:rPr>
        <w:t xml:space="preserve"> contributions on:</w:t>
      </w:r>
    </w:p>
    <w:p w14:paraId="345EE69D" w14:textId="77777777" w:rsidR="00AF29E2" w:rsidRPr="0053640F" w:rsidRDefault="00AF29E2" w:rsidP="0053640F">
      <w:pPr>
        <w:pStyle w:val="ListParagraph"/>
        <w:numPr>
          <w:ilvl w:val="2"/>
          <w:numId w:val="7"/>
        </w:numPr>
        <w:tabs>
          <w:tab w:val="clear" w:pos="567"/>
          <w:tab w:val="clear" w:pos="1134"/>
          <w:tab w:val="clear" w:pos="1701"/>
          <w:tab w:val="clear" w:pos="2268"/>
          <w:tab w:val="clear" w:pos="2835"/>
        </w:tabs>
        <w:overflowPunct/>
        <w:autoSpaceDE/>
        <w:autoSpaceDN/>
        <w:adjustRightInd/>
        <w:ind w:left="1800" w:hanging="720"/>
        <w:contextualSpacing w:val="0"/>
        <w:textAlignment w:val="auto"/>
        <w:rPr>
          <w:rFonts w:asciiTheme="minorHAnsi" w:hAnsiTheme="minorHAnsi" w:cstheme="minorHAnsi"/>
          <w:lang w:val="en-US"/>
        </w:rPr>
      </w:pPr>
      <w:r w:rsidRPr="0053640F">
        <w:rPr>
          <w:rFonts w:asciiTheme="minorHAnsi" w:hAnsiTheme="minorHAnsi" w:cstheme="minorHAnsi"/>
          <w:lang w:val="en-US"/>
        </w:rPr>
        <w:t xml:space="preserve">Which, if any, provisions of the ITRs (whether the 1988 version or the 2012 version) are no longer </w:t>
      </w:r>
      <w:r w:rsidR="00B90C7D" w:rsidRPr="0053640F">
        <w:rPr>
          <w:rFonts w:asciiTheme="minorHAnsi" w:hAnsiTheme="minorHAnsi" w:cstheme="minorHAnsi"/>
          <w:lang w:val="en-US"/>
        </w:rPr>
        <w:t>relevant</w:t>
      </w:r>
      <w:r w:rsidRPr="0053640F">
        <w:rPr>
          <w:rFonts w:asciiTheme="minorHAnsi" w:hAnsiTheme="minorHAnsi" w:cstheme="minorHAnsi"/>
          <w:lang w:val="en-US"/>
        </w:rPr>
        <w:t>.</w:t>
      </w:r>
    </w:p>
    <w:p w14:paraId="37C1F671" w14:textId="77777777" w:rsidR="00E32C21" w:rsidRPr="0053640F" w:rsidRDefault="00E32C21" w:rsidP="0053640F">
      <w:pPr>
        <w:pStyle w:val="ListParagraph"/>
        <w:numPr>
          <w:ilvl w:val="2"/>
          <w:numId w:val="7"/>
        </w:numPr>
        <w:tabs>
          <w:tab w:val="clear" w:pos="567"/>
          <w:tab w:val="clear" w:pos="1134"/>
          <w:tab w:val="clear" w:pos="1701"/>
          <w:tab w:val="clear" w:pos="2268"/>
          <w:tab w:val="clear" w:pos="2835"/>
        </w:tabs>
        <w:overflowPunct/>
        <w:autoSpaceDE/>
        <w:autoSpaceDN/>
        <w:adjustRightInd/>
        <w:ind w:left="1800" w:hanging="720"/>
        <w:contextualSpacing w:val="0"/>
        <w:textAlignment w:val="auto"/>
        <w:rPr>
          <w:rFonts w:asciiTheme="minorHAnsi" w:hAnsiTheme="minorHAnsi" w:cstheme="minorHAnsi"/>
          <w:lang w:val="en-US"/>
        </w:rPr>
      </w:pPr>
      <w:r w:rsidRPr="0053640F">
        <w:rPr>
          <w:rFonts w:asciiTheme="minorHAnsi" w:hAnsiTheme="minorHAnsi" w:cstheme="minorHAnsi"/>
          <w:lang w:val="en-US"/>
        </w:rPr>
        <w:t>Which, if any, provisions of the ITRs should be modified in light of current developments</w:t>
      </w:r>
      <w:r w:rsidR="00B90C7D" w:rsidRPr="0053640F">
        <w:rPr>
          <w:rFonts w:asciiTheme="minorHAnsi" w:hAnsiTheme="minorHAnsi" w:cstheme="minorHAnsi"/>
          <w:lang w:val="en-US"/>
        </w:rPr>
        <w:t xml:space="preserve"> –</w:t>
      </w:r>
      <w:r w:rsidRPr="0053640F">
        <w:rPr>
          <w:rFonts w:asciiTheme="minorHAnsi" w:hAnsiTheme="minorHAnsi" w:cstheme="minorHAnsi"/>
          <w:lang w:val="en-US"/>
        </w:rPr>
        <w:t xml:space="preserve"> such as discussions in trade forums on issues such as spam and cybersecurity</w:t>
      </w:r>
      <w:r w:rsidR="00B90C7D" w:rsidRPr="0053640F">
        <w:rPr>
          <w:rFonts w:asciiTheme="minorHAnsi" w:hAnsiTheme="minorHAnsi" w:cstheme="minorHAnsi"/>
          <w:lang w:val="en-US"/>
        </w:rPr>
        <w:t xml:space="preserve"> – in order to ensure that </w:t>
      </w:r>
      <w:r w:rsidR="00B90C7D" w:rsidRPr="0053640F">
        <w:rPr>
          <w:rFonts w:asciiTheme="minorHAnsi" w:hAnsiTheme="minorHAnsi" w:cstheme="minorHAnsi"/>
        </w:rPr>
        <w:t>the ITRs continue to provide relevant high-level guiding principles in the current telecommunication/ICT environment</w:t>
      </w:r>
      <w:r w:rsidRPr="0053640F">
        <w:rPr>
          <w:rFonts w:asciiTheme="minorHAnsi" w:hAnsiTheme="minorHAnsi" w:cstheme="minorHAnsi"/>
          <w:lang w:val="en-US"/>
        </w:rPr>
        <w:t>.</w:t>
      </w:r>
    </w:p>
    <w:p w14:paraId="27182BFD" w14:textId="77777777" w:rsidR="00AF29E2" w:rsidRPr="0053640F" w:rsidRDefault="00AF29E2" w:rsidP="0053640F">
      <w:pPr>
        <w:pStyle w:val="ListParagraph"/>
        <w:numPr>
          <w:ilvl w:val="2"/>
          <w:numId w:val="7"/>
        </w:numPr>
        <w:tabs>
          <w:tab w:val="clear" w:pos="567"/>
          <w:tab w:val="clear" w:pos="1134"/>
          <w:tab w:val="clear" w:pos="1701"/>
          <w:tab w:val="clear" w:pos="2268"/>
          <w:tab w:val="clear" w:pos="2835"/>
        </w:tabs>
        <w:overflowPunct/>
        <w:autoSpaceDE/>
        <w:autoSpaceDN/>
        <w:adjustRightInd/>
        <w:ind w:left="1800" w:hanging="720"/>
        <w:contextualSpacing w:val="0"/>
        <w:textAlignment w:val="auto"/>
        <w:rPr>
          <w:rFonts w:asciiTheme="minorHAnsi" w:hAnsiTheme="minorHAnsi" w:cstheme="minorHAnsi"/>
          <w:lang w:val="en-US"/>
        </w:rPr>
      </w:pPr>
      <w:r w:rsidRPr="0053640F">
        <w:rPr>
          <w:rFonts w:asciiTheme="minorHAnsi" w:hAnsiTheme="minorHAnsi" w:cstheme="minorHAnsi"/>
          <w:lang w:val="en-US"/>
        </w:rPr>
        <w:lastRenderedPageBreak/>
        <w:t>New and emerging issues for which new provisions should be added to the ITRs</w:t>
      </w:r>
      <w:r w:rsidR="00E32C21" w:rsidRPr="0053640F">
        <w:rPr>
          <w:rFonts w:asciiTheme="minorHAnsi" w:hAnsiTheme="minorHAnsi" w:cstheme="minorHAnsi"/>
          <w:lang w:val="en-US"/>
        </w:rPr>
        <w:t xml:space="preserve">, such as the use of Artificial Intelligence (AI) for international telecommunications networks, </w:t>
      </w:r>
      <w:r w:rsidR="00467314" w:rsidRPr="0053640F">
        <w:rPr>
          <w:rFonts w:asciiTheme="minorHAnsi" w:hAnsiTheme="minorHAnsi" w:cstheme="minorHAnsi"/>
          <w:lang w:val="en-US"/>
        </w:rPr>
        <w:t xml:space="preserve">and/or building a digital public infrastructure, </w:t>
      </w:r>
      <w:r w:rsidR="00E32C21" w:rsidRPr="0053640F">
        <w:rPr>
          <w:rFonts w:asciiTheme="minorHAnsi" w:hAnsiTheme="minorHAnsi" w:cstheme="minorHAnsi"/>
          <w:lang w:val="en-US"/>
        </w:rPr>
        <w:t>and</w:t>
      </w:r>
      <w:r w:rsidR="000E4EE7" w:rsidRPr="0053640F">
        <w:rPr>
          <w:rFonts w:asciiTheme="minorHAnsi" w:hAnsiTheme="minorHAnsi" w:cstheme="minorHAnsi"/>
          <w:lang w:val="en-US"/>
        </w:rPr>
        <w:t>/or</w:t>
      </w:r>
      <w:r w:rsidR="00E32C21" w:rsidRPr="0053640F">
        <w:rPr>
          <w:rFonts w:asciiTheme="minorHAnsi" w:hAnsiTheme="minorHAnsi" w:cstheme="minorHAnsi"/>
          <w:lang w:val="en-US"/>
        </w:rPr>
        <w:t xml:space="preserve"> bridging the digital gender divide</w:t>
      </w:r>
      <w:r w:rsidRPr="0053640F">
        <w:rPr>
          <w:rFonts w:asciiTheme="minorHAnsi" w:hAnsiTheme="minorHAnsi" w:cstheme="minorHAnsi"/>
          <w:lang w:val="en-US"/>
        </w:rPr>
        <w:t>.</w:t>
      </w:r>
    </w:p>
    <w:p w14:paraId="655C41B4" w14:textId="77777777" w:rsidR="005D0B88" w:rsidRPr="0053640F" w:rsidRDefault="005D0B88"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sidRPr="0053640F">
        <w:rPr>
          <w:rFonts w:asciiTheme="minorHAnsi" w:hAnsiTheme="minorHAnsi" w:cstheme="minorHAnsi"/>
          <w:lang w:val="en-US"/>
        </w:rPr>
        <w:t>At each meeting, consider and discuss the contributions received, summarize</w:t>
      </w:r>
      <w:r w:rsidR="000E4EE7" w:rsidRPr="0053640F">
        <w:rPr>
          <w:rFonts w:asciiTheme="minorHAnsi" w:hAnsiTheme="minorHAnsi" w:cstheme="minorHAnsi"/>
          <w:lang w:val="en-US"/>
        </w:rPr>
        <w:t xml:space="preserve"> them</w:t>
      </w:r>
      <w:r w:rsidRPr="0053640F">
        <w:rPr>
          <w:rFonts w:asciiTheme="minorHAnsi" w:hAnsiTheme="minorHAnsi" w:cstheme="minorHAnsi"/>
          <w:lang w:val="en-US"/>
        </w:rPr>
        <w:t>, and document</w:t>
      </w:r>
      <w:r w:rsidR="000E4EE7" w:rsidRPr="0053640F">
        <w:rPr>
          <w:rFonts w:asciiTheme="minorHAnsi" w:hAnsiTheme="minorHAnsi" w:cstheme="minorHAnsi"/>
          <w:lang w:val="en-US"/>
        </w:rPr>
        <w:t xml:space="preserve"> either</w:t>
      </w:r>
      <w:r w:rsidRPr="0053640F">
        <w:rPr>
          <w:rFonts w:asciiTheme="minorHAnsi" w:hAnsiTheme="minorHAnsi" w:cstheme="minorHAnsi"/>
          <w:lang w:val="en-US"/>
        </w:rPr>
        <w:t xml:space="preserve"> consensus or diverg</w:t>
      </w:r>
      <w:r w:rsidR="000334F2" w:rsidRPr="0053640F">
        <w:rPr>
          <w:rFonts w:asciiTheme="minorHAnsi" w:hAnsiTheme="minorHAnsi" w:cstheme="minorHAnsi"/>
          <w:lang w:val="en-US"/>
        </w:rPr>
        <w:t>ent</w:t>
      </w:r>
      <w:r w:rsidRPr="0053640F">
        <w:rPr>
          <w:rFonts w:asciiTheme="minorHAnsi" w:hAnsiTheme="minorHAnsi" w:cstheme="minorHAnsi"/>
          <w:lang w:val="en-US"/>
        </w:rPr>
        <w:t xml:space="preserve"> views.</w:t>
      </w:r>
    </w:p>
    <w:p w14:paraId="24F1D795" w14:textId="53253071" w:rsidR="0053640F" w:rsidRDefault="00777028"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imes New Roman" w:hAnsi="Times New Roman"/>
          <w:lang w:val="en-US"/>
        </w:rPr>
      </w:pPr>
      <w:r w:rsidRPr="0053640F">
        <w:rPr>
          <w:rFonts w:asciiTheme="minorHAnsi" w:hAnsiTheme="minorHAnsi" w:cstheme="minorHAnsi"/>
          <w:lang w:val="en-US"/>
        </w:rPr>
        <w:t>Agree a r</w:t>
      </w:r>
      <w:r w:rsidR="005D0B88" w:rsidRPr="0053640F">
        <w:rPr>
          <w:rFonts w:asciiTheme="minorHAnsi" w:hAnsiTheme="minorHAnsi" w:cstheme="minorHAnsi"/>
          <w:lang w:val="en-US"/>
        </w:rPr>
        <w:t xml:space="preserve">eport to PP, </w:t>
      </w:r>
      <w:r w:rsidR="000334F2" w:rsidRPr="0053640F">
        <w:rPr>
          <w:rFonts w:asciiTheme="minorHAnsi" w:hAnsiTheme="minorHAnsi" w:cstheme="minorHAnsi"/>
          <w:lang w:val="en-US"/>
        </w:rPr>
        <w:t xml:space="preserve">transmitted </w:t>
      </w:r>
      <w:r w:rsidR="005D0B88" w:rsidRPr="0053640F">
        <w:rPr>
          <w:rFonts w:asciiTheme="minorHAnsi" w:hAnsiTheme="minorHAnsi" w:cstheme="minorHAnsi"/>
          <w:lang w:val="en-US"/>
        </w:rPr>
        <w:t>via Council, on consensus and diverg</w:t>
      </w:r>
      <w:r w:rsidR="000334F2" w:rsidRPr="0053640F">
        <w:rPr>
          <w:rFonts w:asciiTheme="minorHAnsi" w:hAnsiTheme="minorHAnsi" w:cstheme="minorHAnsi"/>
          <w:lang w:val="en-US"/>
        </w:rPr>
        <w:t>ent</w:t>
      </w:r>
      <w:r w:rsidR="005D0B88" w:rsidRPr="0053640F">
        <w:rPr>
          <w:rFonts w:asciiTheme="minorHAnsi" w:hAnsiTheme="minorHAnsi" w:cstheme="minorHAnsi"/>
          <w:lang w:val="en-US"/>
        </w:rPr>
        <w:t xml:space="preserve"> views.</w:t>
      </w:r>
    </w:p>
    <w:p w14:paraId="704192BE" w14:textId="49A115CC"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A410" w14:textId="77777777" w:rsidR="008D146D" w:rsidRDefault="008D146D">
      <w:r>
        <w:separator/>
      </w:r>
    </w:p>
  </w:endnote>
  <w:endnote w:type="continuationSeparator" w:id="0">
    <w:p w14:paraId="4F794EEB" w14:textId="77777777" w:rsidR="008D146D" w:rsidRDefault="008D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5C7EBEE" w14:textId="77777777" w:rsidTr="0042469C">
      <w:trPr>
        <w:jc w:val="center"/>
      </w:trPr>
      <w:tc>
        <w:tcPr>
          <w:tcW w:w="1803" w:type="dxa"/>
          <w:vAlign w:val="center"/>
        </w:tcPr>
        <w:p w14:paraId="475AD7F7" w14:textId="21FD11FA" w:rsidR="00EE49E8" w:rsidRDefault="00EE49E8" w:rsidP="00EE49E8">
          <w:pPr>
            <w:pStyle w:val="Header"/>
            <w:jc w:val="left"/>
            <w:rPr>
              <w:noProof/>
            </w:rPr>
          </w:pPr>
          <w:r>
            <w:rPr>
              <w:noProof/>
            </w:rPr>
            <w:t xml:space="preserve">DPS </w:t>
          </w:r>
          <w:r w:rsidR="0053640F">
            <w:rPr>
              <w:noProof/>
            </w:rPr>
            <w:t>528187</w:t>
          </w:r>
        </w:p>
      </w:tc>
      <w:tc>
        <w:tcPr>
          <w:tcW w:w="8261" w:type="dxa"/>
        </w:tcPr>
        <w:p w14:paraId="031C0A68" w14:textId="4FAC1746" w:rsidR="00EE49E8" w:rsidRPr="00E06FD5" w:rsidRDefault="00EE49E8" w:rsidP="00520AC3">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53640F">
            <w:rPr>
              <w:bCs/>
            </w:rPr>
            <w:t>3</w:t>
          </w:r>
          <w:r>
            <w:rPr>
              <w:bCs/>
            </w:rPr>
            <w:tab/>
          </w:r>
          <w:r w:rsidR="006035C0">
            <w:fldChar w:fldCharType="begin"/>
          </w:r>
          <w:r>
            <w:instrText>PAGE</w:instrText>
          </w:r>
          <w:r w:rsidR="006035C0">
            <w:fldChar w:fldCharType="separate"/>
          </w:r>
          <w:r w:rsidR="00BF7279">
            <w:rPr>
              <w:noProof/>
            </w:rPr>
            <w:t>2</w:t>
          </w:r>
          <w:r w:rsidR="006035C0">
            <w:rPr>
              <w:noProof/>
            </w:rPr>
            <w:fldChar w:fldCharType="end"/>
          </w:r>
        </w:p>
      </w:tc>
    </w:tr>
  </w:tbl>
  <w:p w14:paraId="41B2F37D"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2E0FEDE5" w14:textId="77777777" w:rsidTr="00A52C84">
      <w:trPr>
        <w:jc w:val="center"/>
      </w:trPr>
      <w:tc>
        <w:tcPr>
          <w:tcW w:w="3107" w:type="dxa"/>
          <w:vAlign w:val="center"/>
        </w:tcPr>
        <w:p w14:paraId="555823E5" w14:textId="77777777" w:rsidR="00EE49E8" w:rsidRDefault="00A52C84" w:rsidP="00EE49E8">
          <w:pPr>
            <w:pStyle w:val="Header"/>
            <w:jc w:val="left"/>
            <w:rPr>
              <w:noProof/>
            </w:rPr>
          </w:pPr>
          <w:r w:rsidRPr="00293B38">
            <w:rPr>
              <w:color w:val="0070C0"/>
            </w:rPr>
            <w:t>https://council.itu.int/working-groups</w:t>
          </w:r>
        </w:p>
      </w:tc>
      <w:tc>
        <w:tcPr>
          <w:tcW w:w="6957" w:type="dxa"/>
        </w:tcPr>
        <w:p w14:paraId="3165EBB3" w14:textId="61DFE19A" w:rsidR="00EE49E8" w:rsidRPr="00E06FD5" w:rsidRDefault="00EE49E8" w:rsidP="00E15C3A">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53640F">
            <w:rPr>
              <w:bCs/>
            </w:rPr>
            <w:t>3</w:t>
          </w:r>
          <w:r>
            <w:rPr>
              <w:bCs/>
            </w:rPr>
            <w:tab/>
          </w:r>
          <w:r w:rsidR="006035C0">
            <w:fldChar w:fldCharType="begin"/>
          </w:r>
          <w:r>
            <w:instrText>PAGE</w:instrText>
          </w:r>
          <w:r w:rsidR="006035C0">
            <w:fldChar w:fldCharType="separate"/>
          </w:r>
          <w:r w:rsidR="00BF7279">
            <w:rPr>
              <w:noProof/>
            </w:rPr>
            <w:t>1</w:t>
          </w:r>
          <w:r w:rsidR="006035C0">
            <w:rPr>
              <w:noProof/>
            </w:rPr>
            <w:fldChar w:fldCharType="end"/>
          </w:r>
        </w:p>
      </w:tc>
    </w:tr>
  </w:tbl>
  <w:p w14:paraId="3426490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FFEE" w14:textId="77777777" w:rsidR="008D146D" w:rsidRDefault="008D146D">
      <w:r>
        <w:t>____________________</w:t>
      </w:r>
    </w:p>
  </w:footnote>
  <w:footnote w:type="continuationSeparator" w:id="0">
    <w:p w14:paraId="32BF1F04" w14:textId="77777777" w:rsidR="008D146D" w:rsidRDefault="008D146D">
      <w:r>
        <w:continuationSeparator/>
      </w:r>
    </w:p>
  </w:footnote>
  <w:footnote w:id="1">
    <w:p w14:paraId="475BDFD7" w14:textId="77777777" w:rsidR="00734FAC" w:rsidRDefault="00734FAC" w:rsidP="00734FAC">
      <w:pPr>
        <w:pStyle w:val="FootnoteText"/>
        <w:spacing w:before="0"/>
        <w:ind w:left="255" w:hanging="255"/>
      </w:pPr>
      <w:r>
        <w:rPr>
          <w:rStyle w:val="FootnoteReference"/>
        </w:rPr>
        <w:footnoteRef/>
      </w:r>
      <w:r>
        <w:t xml:space="preserve"> </w:t>
      </w:r>
      <w:hyperlink r:id="rId1" w:history="1">
        <w:r w:rsidRPr="003425F0">
          <w:rPr>
            <w:rStyle w:val="Hyperlink"/>
            <w:sz w:val="20"/>
          </w:rPr>
          <w:t>https://www.itu.int/md/S23-CL-C-0121/en</w:t>
        </w:r>
      </w:hyperlink>
      <w:r>
        <w:t xml:space="preserve">  </w:t>
      </w:r>
    </w:p>
  </w:footnote>
  <w:footnote w:id="2">
    <w:p w14:paraId="2AA7286D" w14:textId="77777777" w:rsidR="00734FAC" w:rsidRPr="00734FAC" w:rsidRDefault="00734FAC" w:rsidP="00734FAC">
      <w:pPr>
        <w:pStyle w:val="FootnoteText"/>
        <w:spacing w:before="0"/>
        <w:ind w:left="255" w:hanging="255"/>
      </w:pPr>
      <w:r>
        <w:rPr>
          <w:rStyle w:val="FootnoteReference"/>
        </w:rPr>
        <w:footnoteRef/>
      </w:r>
      <w:r>
        <w:t xml:space="preserve"> </w:t>
      </w:r>
      <w:hyperlink r:id="rId2" w:history="1">
        <w:r w:rsidRPr="00734FAC">
          <w:rPr>
            <w:rStyle w:val="Hyperlink"/>
            <w:sz w:val="20"/>
          </w:rPr>
          <w:t>https://dictionary.cambridge.org/dictionary/english/review</w:t>
        </w:r>
      </w:hyperlink>
      <w:r>
        <w:t xml:space="preserve"> </w:t>
      </w:r>
    </w:p>
  </w:footnote>
  <w:footnote w:id="3">
    <w:p w14:paraId="69C6B7F5" w14:textId="77777777" w:rsidR="006638C3" w:rsidRPr="006638C3" w:rsidRDefault="006638C3" w:rsidP="006638C3">
      <w:pPr>
        <w:pStyle w:val="FootnoteText"/>
        <w:spacing w:before="0"/>
        <w:ind w:left="255" w:hanging="255"/>
      </w:pPr>
      <w:r>
        <w:rPr>
          <w:rStyle w:val="FootnoteReference"/>
        </w:rPr>
        <w:footnoteRef/>
      </w:r>
      <w:r>
        <w:t xml:space="preserve"> </w:t>
      </w:r>
      <w:hyperlink r:id="rId3" w:history="1">
        <w:r w:rsidRPr="00697CFC">
          <w:rPr>
            <w:rStyle w:val="Hyperlink"/>
            <w:sz w:val="20"/>
          </w:rPr>
          <w:t>https://www.merriam-webster.com/dictionary/review</w:t>
        </w:r>
      </w:hyperlink>
      <w:r>
        <w:rPr>
          <w:sz w:val="20"/>
        </w:rPr>
        <w:t xml:space="preserve"> </w:t>
      </w:r>
    </w:p>
  </w:footnote>
  <w:footnote w:id="4">
    <w:p w14:paraId="078C3475" w14:textId="77777777" w:rsidR="00734FAC" w:rsidRPr="00734FAC" w:rsidRDefault="00734FAC" w:rsidP="00734FAC">
      <w:pPr>
        <w:pStyle w:val="FootnoteText"/>
        <w:spacing w:before="0"/>
        <w:ind w:left="255" w:hanging="255"/>
      </w:pPr>
      <w:r>
        <w:rPr>
          <w:rStyle w:val="FootnoteReference"/>
        </w:rPr>
        <w:footnoteRef/>
      </w:r>
      <w:r>
        <w:t xml:space="preserve"> </w:t>
      </w:r>
      <w:hyperlink r:id="rId4" w:history="1">
        <w:r w:rsidRPr="00697CFC">
          <w:rPr>
            <w:rStyle w:val="Hyperlink"/>
            <w:sz w:val="20"/>
          </w:rPr>
          <w:t>https://www.collinsdictionary.com/dictionary/english/review</w:t>
        </w:r>
      </w:hyperlink>
      <w:r>
        <w:rPr>
          <w:sz w:val="20"/>
        </w:rPr>
        <w:t xml:space="preserve"> </w:t>
      </w:r>
    </w:p>
  </w:footnote>
  <w:footnote w:id="5">
    <w:p w14:paraId="28C5290C" w14:textId="77777777" w:rsidR="006638C3" w:rsidRPr="006638C3" w:rsidRDefault="006638C3" w:rsidP="006638C3">
      <w:pPr>
        <w:pStyle w:val="FootnoteText"/>
        <w:spacing w:before="0"/>
        <w:ind w:left="255" w:hanging="255"/>
      </w:pPr>
      <w:r>
        <w:rPr>
          <w:rStyle w:val="FootnoteReference"/>
        </w:rPr>
        <w:footnoteRef/>
      </w:r>
      <w:r>
        <w:t xml:space="preserve"> </w:t>
      </w:r>
      <w:hyperlink r:id="rId5" w:history="1">
        <w:r w:rsidRPr="00697CFC">
          <w:rPr>
            <w:rStyle w:val="Hyperlink"/>
            <w:sz w:val="20"/>
          </w:rPr>
          <w:t>https://www.britannica.com/dictionary/review</w:t>
        </w:r>
      </w:hyperlink>
      <w:r>
        <w:rPr>
          <w:sz w:val="20"/>
        </w:rPr>
        <w:t xml:space="preserve"> </w:t>
      </w:r>
    </w:p>
  </w:footnote>
  <w:footnote w:id="6">
    <w:p w14:paraId="2EC48235" w14:textId="77777777" w:rsidR="000334F2" w:rsidRPr="000334F2" w:rsidRDefault="000334F2" w:rsidP="000334F2">
      <w:pPr>
        <w:pStyle w:val="FootnoteText"/>
        <w:spacing w:before="0"/>
        <w:ind w:left="255" w:hanging="255"/>
      </w:pPr>
      <w:r>
        <w:rPr>
          <w:rStyle w:val="FootnoteReference"/>
        </w:rPr>
        <w:footnoteRef/>
      </w:r>
      <w:r>
        <w:t xml:space="preserve"> </w:t>
      </w:r>
      <w:hyperlink r:id="rId6" w:history="1">
        <w:r w:rsidR="008B56F6" w:rsidRPr="00697CFC">
          <w:rPr>
            <w:rStyle w:val="Hyperlink"/>
            <w:sz w:val="20"/>
          </w:rPr>
          <w:t>https://www.larousse.fr/dictionnaires/francais/examiner/31942</w:t>
        </w:r>
      </w:hyperlink>
      <w:r w:rsidR="008B56F6">
        <w:rPr>
          <w:sz w:val="20"/>
        </w:rPr>
        <w:t xml:space="preserve"> </w:t>
      </w:r>
    </w:p>
  </w:footnote>
  <w:footnote w:id="7">
    <w:p w14:paraId="43C404B8" w14:textId="77777777" w:rsidR="000334F2" w:rsidRPr="000334F2" w:rsidRDefault="000334F2" w:rsidP="000334F2">
      <w:pPr>
        <w:pStyle w:val="FootnoteText"/>
        <w:spacing w:before="0"/>
        <w:ind w:left="255" w:hanging="255"/>
      </w:pPr>
      <w:r>
        <w:rPr>
          <w:rStyle w:val="FootnoteReference"/>
        </w:rPr>
        <w:footnoteRef/>
      </w:r>
      <w:r>
        <w:t xml:space="preserve"> </w:t>
      </w:r>
      <w:hyperlink r:id="rId7" w:history="1">
        <w:r w:rsidR="008B56F6" w:rsidRPr="00697CFC">
          <w:rPr>
            <w:rStyle w:val="Hyperlink"/>
            <w:sz w:val="20"/>
          </w:rPr>
          <w:t>https://dictionnaire.lerobert.com/definition/examiner</w:t>
        </w:r>
      </w:hyperlink>
      <w:r w:rsidR="008B56F6">
        <w:rPr>
          <w:sz w:val="20"/>
        </w:rPr>
        <w:t xml:space="preserve"> </w:t>
      </w:r>
    </w:p>
  </w:footnote>
  <w:footnote w:id="8">
    <w:p w14:paraId="51F5DC09" w14:textId="77777777" w:rsidR="00520AC3" w:rsidRPr="003425F0" w:rsidRDefault="00520AC3" w:rsidP="008B56F6">
      <w:pPr>
        <w:pStyle w:val="FootnoteText"/>
        <w:spacing w:before="0"/>
        <w:ind w:left="255" w:hanging="255"/>
      </w:pPr>
      <w:r>
        <w:rPr>
          <w:rStyle w:val="FootnoteReference"/>
        </w:rPr>
        <w:footnoteRef/>
      </w:r>
      <w:r>
        <w:t xml:space="preserve"> </w:t>
      </w:r>
      <w:hyperlink r:id="rId8" w:history="1">
        <w:r w:rsidRPr="003425F0">
          <w:rPr>
            <w:rStyle w:val="Hyperlink"/>
            <w:sz w:val="20"/>
          </w:rPr>
          <w:t>https://www.g20.org/en/media-resources/documents/doc-outcomes/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E1F2869" w14:textId="77777777" w:rsidTr="00F74694">
      <w:trPr>
        <w:trHeight w:val="1304"/>
        <w:jc w:val="center"/>
      </w:trPr>
      <w:tc>
        <w:tcPr>
          <w:tcW w:w="6546" w:type="dxa"/>
        </w:tcPr>
        <w:p w14:paraId="2367AE03" w14:textId="77777777" w:rsidR="00AD3606" w:rsidRPr="009621F8" w:rsidRDefault="00170B8D"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0FA3CD58" wp14:editId="1A096EF4">
                    <wp:simplePos x="0" y="0"/>
                    <wp:positionH relativeFrom="column">
                      <wp:posOffset>570230</wp:posOffset>
                    </wp:positionH>
                    <wp:positionV relativeFrom="paragraph">
                      <wp:posOffset>63500</wp:posOffset>
                    </wp:positionV>
                    <wp:extent cx="1652905" cy="541020"/>
                    <wp:effectExtent l="0" t="0" r="0" b="0"/>
                    <wp:wrapNone/>
                    <wp:docPr id="8668805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DF0EE"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76F25324" wp14:editId="496C776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5B8B7C55" w14:textId="77777777" w:rsidR="00AD3606" w:rsidRDefault="00AD3606" w:rsidP="00AD3606">
          <w:pPr>
            <w:pStyle w:val="Header"/>
            <w:jc w:val="right"/>
            <w:rPr>
              <w:rFonts w:ascii="Arial" w:hAnsi="Arial" w:cs="Arial"/>
              <w:b/>
              <w:bCs/>
              <w:color w:val="009CD6"/>
              <w:szCs w:val="18"/>
            </w:rPr>
          </w:pPr>
        </w:p>
        <w:p w14:paraId="112DC184" w14:textId="77777777" w:rsidR="00AD3606" w:rsidRDefault="00AD3606" w:rsidP="00AD3606">
          <w:pPr>
            <w:pStyle w:val="Header"/>
            <w:jc w:val="right"/>
            <w:rPr>
              <w:rFonts w:ascii="Arial" w:hAnsi="Arial" w:cs="Arial"/>
              <w:b/>
              <w:bCs/>
              <w:color w:val="009CD6"/>
              <w:szCs w:val="18"/>
            </w:rPr>
          </w:pPr>
        </w:p>
        <w:p w14:paraId="2365A95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5DEC88" w14:textId="77777777" w:rsidR="00AD3606" w:rsidRDefault="00170B8D">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2C7BE9" wp14:editId="029A71EA">
              <wp:simplePos x="0" y="0"/>
              <wp:positionH relativeFrom="page">
                <wp:posOffset>14605</wp:posOffset>
              </wp:positionH>
              <wp:positionV relativeFrom="topMargin">
                <wp:posOffset>555625</wp:posOffset>
              </wp:positionV>
              <wp:extent cx="93345" cy="431800"/>
              <wp:effectExtent l="0" t="0" r="0" b="0"/>
              <wp:wrapNone/>
              <wp:docPr id="18409435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2F8B"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7A10D06E" wp14:editId="72191587">
              <wp:simplePos x="0" y="0"/>
              <wp:positionH relativeFrom="column">
                <wp:posOffset>306705</wp:posOffset>
              </wp:positionH>
              <wp:positionV relativeFrom="paragraph">
                <wp:posOffset>-835660</wp:posOffset>
              </wp:positionV>
              <wp:extent cx="3999230" cy="618490"/>
              <wp:effectExtent l="0" t="0" r="0" b="0"/>
              <wp:wrapNone/>
              <wp:docPr id="64478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0F46840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10D06E"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0F46840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4062334">
    <w:abstractNumId w:val="0"/>
  </w:num>
  <w:num w:numId="2" w16cid:durableId="2020037122">
    <w:abstractNumId w:val="5"/>
  </w:num>
  <w:num w:numId="3" w16cid:durableId="935865852">
    <w:abstractNumId w:val="6"/>
  </w:num>
  <w:num w:numId="4" w16cid:durableId="1152210477">
    <w:abstractNumId w:val="2"/>
  </w:num>
  <w:num w:numId="5" w16cid:durableId="697390489">
    <w:abstractNumId w:val="3"/>
  </w:num>
  <w:num w:numId="6" w16cid:durableId="26836184">
    <w:abstractNumId w:val="4"/>
  </w:num>
  <w:num w:numId="7" w16cid:durableId="73197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4F2"/>
    <w:rsid w:val="00063016"/>
    <w:rsid w:val="00066795"/>
    <w:rsid w:val="00076AF6"/>
    <w:rsid w:val="00085CF2"/>
    <w:rsid w:val="000B1705"/>
    <w:rsid w:val="000D75B2"/>
    <w:rsid w:val="000E4EE7"/>
    <w:rsid w:val="001121F5"/>
    <w:rsid w:val="00130599"/>
    <w:rsid w:val="001400DC"/>
    <w:rsid w:val="00140CE1"/>
    <w:rsid w:val="00170B8D"/>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A7B2C"/>
    <w:rsid w:val="002B1F58"/>
    <w:rsid w:val="002C1C7A"/>
    <w:rsid w:val="002C54E2"/>
    <w:rsid w:val="002F6AF6"/>
    <w:rsid w:val="0030160F"/>
    <w:rsid w:val="00320223"/>
    <w:rsid w:val="00322D0D"/>
    <w:rsid w:val="003425F0"/>
    <w:rsid w:val="00361465"/>
    <w:rsid w:val="003877F5"/>
    <w:rsid w:val="003942D4"/>
    <w:rsid w:val="003958A8"/>
    <w:rsid w:val="003C2533"/>
    <w:rsid w:val="003D5A7F"/>
    <w:rsid w:val="004016E2"/>
    <w:rsid w:val="0040435A"/>
    <w:rsid w:val="00416A24"/>
    <w:rsid w:val="00431D9E"/>
    <w:rsid w:val="00433CE8"/>
    <w:rsid w:val="00434A5C"/>
    <w:rsid w:val="004544D9"/>
    <w:rsid w:val="00467314"/>
    <w:rsid w:val="00472BAD"/>
    <w:rsid w:val="00484009"/>
    <w:rsid w:val="00490E72"/>
    <w:rsid w:val="00491157"/>
    <w:rsid w:val="004921C8"/>
    <w:rsid w:val="00495B0B"/>
    <w:rsid w:val="004A1B8B"/>
    <w:rsid w:val="004D1851"/>
    <w:rsid w:val="004D599D"/>
    <w:rsid w:val="004D648B"/>
    <w:rsid w:val="004E2EA5"/>
    <w:rsid w:val="004E3AEB"/>
    <w:rsid w:val="0050223C"/>
    <w:rsid w:val="0051705A"/>
    <w:rsid w:val="00520AC3"/>
    <w:rsid w:val="0052249C"/>
    <w:rsid w:val="005243FF"/>
    <w:rsid w:val="0053640F"/>
    <w:rsid w:val="00564FBC"/>
    <w:rsid w:val="005800BC"/>
    <w:rsid w:val="00582442"/>
    <w:rsid w:val="005A335D"/>
    <w:rsid w:val="005D0B88"/>
    <w:rsid w:val="005E2BD5"/>
    <w:rsid w:val="005F3269"/>
    <w:rsid w:val="006035C0"/>
    <w:rsid w:val="00616C10"/>
    <w:rsid w:val="00623AE3"/>
    <w:rsid w:val="00636853"/>
    <w:rsid w:val="0064737F"/>
    <w:rsid w:val="006535F1"/>
    <w:rsid w:val="0065557D"/>
    <w:rsid w:val="00660D50"/>
    <w:rsid w:val="00662984"/>
    <w:rsid w:val="006638C3"/>
    <w:rsid w:val="006716BB"/>
    <w:rsid w:val="006819A4"/>
    <w:rsid w:val="006B1859"/>
    <w:rsid w:val="006B6680"/>
    <w:rsid w:val="006B6DCC"/>
    <w:rsid w:val="006C11BB"/>
    <w:rsid w:val="00702DEF"/>
    <w:rsid w:val="00706861"/>
    <w:rsid w:val="00734FAC"/>
    <w:rsid w:val="00745D44"/>
    <w:rsid w:val="0075051B"/>
    <w:rsid w:val="00775655"/>
    <w:rsid w:val="00777028"/>
    <w:rsid w:val="00793188"/>
    <w:rsid w:val="00794D34"/>
    <w:rsid w:val="00794DFC"/>
    <w:rsid w:val="007C01FB"/>
    <w:rsid w:val="007F6EFC"/>
    <w:rsid w:val="00813E5E"/>
    <w:rsid w:val="008169FA"/>
    <w:rsid w:val="0083581B"/>
    <w:rsid w:val="00847E0C"/>
    <w:rsid w:val="00863874"/>
    <w:rsid w:val="00864283"/>
    <w:rsid w:val="00864AFF"/>
    <w:rsid w:val="00865925"/>
    <w:rsid w:val="0088630E"/>
    <w:rsid w:val="008B056B"/>
    <w:rsid w:val="008B4A6A"/>
    <w:rsid w:val="008B56F6"/>
    <w:rsid w:val="008C7E27"/>
    <w:rsid w:val="008D146D"/>
    <w:rsid w:val="008F7448"/>
    <w:rsid w:val="0090147A"/>
    <w:rsid w:val="009173EF"/>
    <w:rsid w:val="00932906"/>
    <w:rsid w:val="00950BC7"/>
    <w:rsid w:val="00961B0B"/>
    <w:rsid w:val="00962D33"/>
    <w:rsid w:val="009B38C3"/>
    <w:rsid w:val="009E17BD"/>
    <w:rsid w:val="009E485A"/>
    <w:rsid w:val="00A028B5"/>
    <w:rsid w:val="00A04CEC"/>
    <w:rsid w:val="00A27F92"/>
    <w:rsid w:val="00A32257"/>
    <w:rsid w:val="00A36D20"/>
    <w:rsid w:val="00A377D7"/>
    <w:rsid w:val="00A514A4"/>
    <w:rsid w:val="00A52C84"/>
    <w:rsid w:val="00A55622"/>
    <w:rsid w:val="00A83502"/>
    <w:rsid w:val="00AD15B3"/>
    <w:rsid w:val="00AD3606"/>
    <w:rsid w:val="00AD4A3D"/>
    <w:rsid w:val="00AF1EE7"/>
    <w:rsid w:val="00AF29E2"/>
    <w:rsid w:val="00AF6E49"/>
    <w:rsid w:val="00B04A67"/>
    <w:rsid w:val="00B0583C"/>
    <w:rsid w:val="00B40A81"/>
    <w:rsid w:val="00B4436B"/>
    <w:rsid w:val="00B44910"/>
    <w:rsid w:val="00B72267"/>
    <w:rsid w:val="00B76EB6"/>
    <w:rsid w:val="00B7737B"/>
    <w:rsid w:val="00B824C8"/>
    <w:rsid w:val="00B84B9D"/>
    <w:rsid w:val="00B90C7D"/>
    <w:rsid w:val="00BC251A"/>
    <w:rsid w:val="00BD032B"/>
    <w:rsid w:val="00BE2640"/>
    <w:rsid w:val="00BF0749"/>
    <w:rsid w:val="00BF7279"/>
    <w:rsid w:val="00C01189"/>
    <w:rsid w:val="00C33177"/>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15C3A"/>
    <w:rsid w:val="00E227F3"/>
    <w:rsid w:val="00E32C21"/>
    <w:rsid w:val="00E545C6"/>
    <w:rsid w:val="00E60F04"/>
    <w:rsid w:val="00E65B24"/>
    <w:rsid w:val="00E854E4"/>
    <w:rsid w:val="00E86DBF"/>
    <w:rsid w:val="00EB0D6F"/>
    <w:rsid w:val="00EB2232"/>
    <w:rsid w:val="00EC5337"/>
    <w:rsid w:val="00EE49E8"/>
    <w:rsid w:val="00F16BAB"/>
    <w:rsid w:val="00F2150A"/>
    <w:rsid w:val="00F231D8"/>
    <w:rsid w:val="00F237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8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styleId="UnresolvedMention">
    <w:name w:val="Unresolved Mention"/>
    <w:basedOn w:val="DefaultParagraphFont"/>
    <w:uiPriority w:val="99"/>
    <w:semiHidden/>
    <w:unhideWhenUsed/>
    <w:rsid w:val="0053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EGITRS1-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20.org/en/media-resources/documents/doc-outcomes/" TargetMode="External"/><Relationship Id="rId3" Type="http://schemas.openxmlformats.org/officeDocument/2006/relationships/hyperlink" Target="https://www.merriam-webster.com/dictionary/review" TargetMode="External"/><Relationship Id="rId7" Type="http://schemas.openxmlformats.org/officeDocument/2006/relationships/hyperlink" Target="https://dictionnaire.lerobert.com/definition/examiner" TargetMode="External"/><Relationship Id="rId2" Type="http://schemas.openxmlformats.org/officeDocument/2006/relationships/hyperlink" Target="https://dictionary.cambridge.org/dictionary/english/review" TargetMode="External"/><Relationship Id="rId1" Type="http://schemas.openxmlformats.org/officeDocument/2006/relationships/hyperlink" Target="https://www.itu.int/md/S23-CL-C-0121/en" TargetMode="External"/><Relationship Id="rId6" Type="http://schemas.openxmlformats.org/officeDocument/2006/relationships/hyperlink" Target="https://www.larousse.fr/dictionnaires/francais/examiner/31942" TargetMode="External"/><Relationship Id="rId5" Type="http://schemas.openxmlformats.org/officeDocument/2006/relationships/hyperlink" Target="https://www.britannica.com/dictionary/review" TargetMode="External"/><Relationship Id="rId4" Type="http://schemas.openxmlformats.org/officeDocument/2006/relationships/hyperlink" Target="https://www.collinsdictionary.com/dictionary/english/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C1D4-4B92-4B07-B4CC-E1647848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
  <cp:keywords>EG-ITRs, C23, Council-23, C23-ADD</cp:keywords>
  <dc:description/>
  <cp:lastModifiedBy/>
  <cp:revision>1</cp:revision>
  <dcterms:created xsi:type="dcterms:W3CDTF">2023-09-18T16:26:00Z</dcterms:created>
  <dcterms:modified xsi:type="dcterms:W3CDTF">2023-09-18T16:49:00Z</dcterms:modified>
  <cp:category>Conference document</cp:category>
</cp:coreProperties>
</file>