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53074FC3" w14:textId="77777777" w:rsidTr="00AD3606">
        <w:trPr>
          <w:cantSplit/>
          <w:trHeight w:val="23"/>
        </w:trPr>
        <w:tc>
          <w:tcPr>
            <w:tcW w:w="3969" w:type="dxa"/>
            <w:vMerge w:val="restart"/>
            <w:tcMar>
              <w:left w:w="0" w:type="dxa"/>
            </w:tcMar>
          </w:tcPr>
          <w:p w14:paraId="10265E26"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AF6A43C" w14:textId="2A8891F8" w:rsidR="00AD3606" w:rsidRPr="00A52C84" w:rsidRDefault="00AD3606" w:rsidP="00E15C3A">
            <w:pPr>
              <w:tabs>
                <w:tab w:val="left" w:pos="851"/>
              </w:tabs>
              <w:spacing w:before="0" w:line="240" w:lineRule="atLeast"/>
              <w:jc w:val="right"/>
              <w:rPr>
                <w:b/>
                <w:lang w:val="fr-CH"/>
              </w:rPr>
            </w:pPr>
            <w:r w:rsidRPr="00A52C84">
              <w:rPr>
                <w:b/>
                <w:lang w:val="fr-CH"/>
              </w:rPr>
              <w:t xml:space="preserve">Document </w:t>
            </w:r>
            <w:r w:rsidR="00A028B5">
              <w:rPr>
                <w:b/>
                <w:lang w:val="fr-CH"/>
              </w:rPr>
              <w:t>EG-ITR</w:t>
            </w:r>
            <w:r w:rsidR="00A028B5" w:rsidRPr="00F93EB0">
              <w:rPr>
                <w:b/>
                <w:lang w:val="fr-CH"/>
              </w:rPr>
              <w:t>s</w:t>
            </w:r>
            <w:r w:rsidR="00A52C84" w:rsidRPr="00F93EB0">
              <w:rPr>
                <w:b/>
                <w:lang w:val="fr-CH"/>
              </w:rPr>
              <w:t>-</w:t>
            </w:r>
            <w:r w:rsidR="00616C10" w:rsidRPr="00F93EB0">
              <w:rPr>
                <w:b/>
                <w:lang w:val="fr-CH"/>
              </w:rPr>
              <w:t>1</w:t>
            </w:r>
            <w:r w:rsidRPr="00A52C84">
              <w:rPr>
                <w:b/>
                <w:lang w:val="fr-CH"/>
              </w:rPr>
              <w:t>/</w:t>
            </w:r>
            <w:r w:rsidR="00F93EB0">
              <w:rPr>
                <w:b/>
                <w:lang w:val="fr-CH"/>
              </w:rPr>
              <w:t>10</w:t>
            </w:r>
          </w:p>
        </w:tc>
      </w:tr>
      <w:tr w:rsidR="00AD3606" w:rsidRPr="00813E5E" w14:paraId="51DE225B" w14:textId="77777777" w:rsidTr="00AD3606">
        <w:trPr>
          <w:cantSplit/>
        </w:trPr>
        <w:tc>
          <w:tcPr>
            <w:tcW w:w="3969" w:type="dxa"/>
            <w:vMerge/>
          </w:tcPr>
          <w:p w14:paraId="5A8BCDFF"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406A8787" w14:textId="77777777" w:rsidR="00AD3606" w:rsidRPr="00E85629" w:rsidRDefault="00AC30A5" w:rsidP="00AC30A5">
            <w:pPr>
              <w:tabs>
                <w:tab w:val="left" w:pos="851"/>
              </w:tabs>
              <w:spacing w:before="0"/>
              <w:jc w:val="right"/>
              <w:rPr>
                <w:b/>
              </w:rPr>
            </w:pPr>
            <w:r>
              <w:rPr>
                <w:b/>
              </w:rPr>
              <w:t>6 October</w:t>
            </w:r>
            <w:r w:rsidR="00AD3606">
              <w:rPr>
                <w:b/>
              </w:rPr>
              <w:t xml:space="preserve"> 2023</w:t>
            </w:r>
          </w:p>
        </w:tc>
      </w:tr>
      <w:tr w:rsidR="00AD3606" w:rsidRPr="00813E5E" w14:paraId="4488C1B5" w14:textId="77777777" w:rsidTr="00AD3606">
        <w:trPr>
          <w:cantSplit/>
          <w:trHeight w:val="23"/>
        </w:trPr>
        <w:tc>
          <w:tcPr>
            <w:tcW w:w="3969" w:type="dxa"/>
            <w:vMerge/>
          </w:tcPr>
          <w:p w14:paraId="51D8CE81"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057715B7" w14:textId="77777777"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472BAD" w:rsidRPr="00813E5E" w14:paraId="2A828A6A" w14:textId="77777777" w:rsidTr="00AD3606">
        <w:trPr>
          <w:cantSplit/>
          <w:trHeight w:val="23"/>
        </w:trPr>
        <w:tc>
          <w:tcPr>
            <w:tcW w:w="3969" w:type="dxa"/>
          </w:tcPr>
          <w:p w14:paraId="4D7C0762" w14:textId="77777777" w:rsidR="00472BAD" w:rsidRPr="00813E5E" w:rsidRDefault="00472BAD" w:rsidP="00AD3606">
            <w:pPr>
              <w:tabs>
                <w:tab w:val="left" w:pos="851"/>
              </w:tabs>
              <w:spacing w:line="240" w:lineRule="atLeast"/>
              <w:rPr>
                <w:b/>
              </w:rPr>
            </w:pPr>
          </w:p>
        </w:tc>
        <w:tc>
          <w:tcPr>
            <w:tcW w:w="5245" w:type="dxa"/>
          </w:tcPr>
          <w:p w14:paraId="2A341125" w14:textId="77777777" w:rsidR="00472BAD" w:rsidRDefault="00472BAD" w:rsidP="00AD3606">
            <w:pPr>
              <w:tabs>
                <w:tab w:val="left" w:pos="851"/>
              </w:tabs>
              <w:spacing w:before="0" w:line="240" w:lineRule="atLeast"/>
              <w:jc w:val="right"/>
              <w:rPr>
                <w:b/>
              </w:rPr>
            </w:pPr>
          </w:p>
        </w:tc>
      </w:tr>
      <w:tr w:rsidR="00AD3606" w:rsidRPr="00813E5E" w14:paraId="6D2F20E2" w14:textId="77777777" w:rsidTr="00AD3606">
        <w:trPr>
          <w:cantSplit/>
        </w:trPr>
        <w:tc>
          <w:tcPr>
            <w:tcW w:w="9214" w:type="dxa"/>
            <w:gridSpan w:val="2"/>
            <w:tcMar>
              <w:left w:w="0" w:type="dxa"/>
            </w:tcMar>
          </w:tcPr>
          <w:p w14:paraId="6D04D368" w14:textId="77777777" w:rsidR="00AD3606" w:rsidRPr="00813E5E" w:rsidRDefault="00244F7F" w:rsidP="00E15C3A">
            <w:pPr>
              <w:pStyle w:val="Source"/>
              <w:framePr w:hSpace="0" w:wrap="auto" w:vAnchor="margin" w:hAnchor="text" w:yAlign="inline"/>
            </w:pPr>
            <w:bookmarkStart w:id="8" w:name="dsource" w:colFirst="0" w:colLast="0"/>
            <w:bookmarkStart w:id="9" w:name="_Hlk147497496"/>
            <w:bookmarkEnd w:id="7"/>
            <w:r>
              <w:t>Contribution</w:t>
            </w:r>
            <w:r w:rsidR="00AD3606" w:rsidRPr="002C54E2">
              <w:t xml:space="preserve"> </w:t>
            </w:r>
            <w:r w:rsidR="00864283">
              <w:t xml:space="preserve">from </w:t>
            </w:r>
            <w:r w:rsidR="00E15C3A">
              <w:t>Hill</w:t>
            </w:r>
          </w:p>
        </w:tc>
      </w:tr>
      <w:tr w:rsidR="00AD3606" w:rsidRPr="00813E5E" w14:paraId="52D05DCF" w14:textId="77777777" w:rsidTr="00AD3606">
        <w:trPr>
          <w:cantSplit/>
        </w:trPr>
        <w:tc>
          <w:tcPr>
            <w:tcW w:w="9214" w:type="dxa"/>
            <w:gridSpan w:val="2"/>
            <w:tcMar>
              <w:left w:w="0" w:type="dxa"/>
            </w:tcMar>
          </w:tcPr>
          <w:p w14:paraId="440D71B7" w14:textId="00500FDE" w:rsidR="00AD3606" w:rsidRPr="00813E5E" w:rsidRDefault="0053640F" w:rsidP="00DF0189">
            <w:pPr>
              <w:pStyle w:val="Subtitle"/>
              <w:framePr w:hSpace="0" w:wrap="auto" w:hAnchor="text" w:xAlign="left" w:yAlign="inline"/>
            </w:pPr>
            <w:bookmarkStart w:id="10" w:name="dtitle1" w:colFirst="0" w:colLast="0"/>
            <w:bookmarkEnd w:id="8"/>
            <w:r>
              <w:t xml:space="preserve">PROPOSAL FOR WORKING METHODS AND WORK PLAN OF </w:t>
            </w:r>
            <w:r w:rsidR="00F93EB0">
              <w:br/>
            </w:r>
            <w:r>
              <w:t>EG-ITRS</w:t>
            </w:r>
          </w:p>
        </w:tc>
      </w:tr>
      <w:bookmarkEnd w:id="9"/>
      <w:tr w:rsidR="00AD3606" w:rsidRPr="00813E5E" w14:paraId="03BF7CDA" w14:textId="77777777" w:rsidTr="00AD3606">
        <w:trPr>
          <w:cantSplit/>
        </w:trPr>
        <w:tc>
          <w:tcPr>
            <w:tcW w:w="9214" w:type="dxa"/>
            <w:gridSpan w:val="2"/>
            <w:tcBorders>
              <w:top w:val="single" w:sz="4" w:space="0" w:color="auto"/>
              <w:bottom w:val="single" w:sz="4" w:space="0" w:color="auto"/>
            </w:tcBorders>
            <w:tcMar>
              <w:left w:w="0" w:type="dxa"/>
            </w:tcMar>
          </w:tcPr>
          <w:p w14:paraId="1EABB05C" w14:textId="77777777" w:rsidR="004D648B" w:rsidRPr="004D648B" w:rsidRDefault="004D648B" w:rsidP="004D648B">
            <w:pPr>
              <w:spacing w:before="160"/>
              <w:rPr>
                <w:b/>
                <w:bCs/>
                <w:sz w:val="26"/>
                <w:szCs w:val="26"/>
              </w:rPr>
            </w:pPr>
            <w:r w:rsidRPr="004D648B">
              <w:rPr>
                <w:b/>
                <w:bCs/>
                <w:sz w:val="26"/>
                <w:szCs w:val="26"/>
              </w:rPr>
              <w:t>Purpose</w:t>
            </w:r>
          </w:p>
          <w:p w14:paraId="3B996AF3" w14:textId="77777777" w:rsidR="004D648B" w:rsidRPr="0053640F" w:rsidRDefault="00E15C3A" w:rsidP="004D648B">
            <w:pPr>
              <w:spacing w:before="160"/>
              <w:rPr>
                <w:szCs w:val="24"/>
              </w:rPr>
            </w:pPr>
            <w:r w:rsidRPr="0053640F">
              <w:rPr>
                <w:szCs w:val="24"/>
              </w:rPr>
              <w:t>Discussion</w:t>
            </w:r>
          </w:p>
          <w:p w14:paraId="07A8C898" w14:textId="77777777" w:rsidR="004D648B" w:rsidRPr="004D648B" w:rsidRDefault="004D648B" w:rsidP="004D648B">
            <w:pPr>
              <w:spacing w:before="160"/>
              <w:rPr>
                <w:b/>
                <w:bCs/>
                <w:sz w:val="26"/>
                <w:szCs w:val="26"/>
              </w:rPr>
            </w:pPr>
            <w:r w:rsidRPr="004D648B">
              <w:rPr>
                <w:b/>
                <w:bCs/>
                <w:sz w:val="26"/>
                <w:szCs w:val="26"/>
              </w:rPr>
              <w:t>Action required</w:t>
            </w:r>
          </w:p>
          <w:p w14:paraId="71241A4D" w14:textId="77777777" w:rsidR="004D648B" w:rsidRPr="004D648B" w:rsidRDefault="00AC30A5" w:rsidP="004D648B">
            <w:pPr>
              <w:spacing w:before="160"/>
              <w:rPr>
                <w:b/>
                <w:bCs/>
                <w:szCs w:val="24"/>
              </w:rPr>
            </w:pPr>
            <w:r>
              <w:rPr>
                <w:szCs w:val="24"/>
              </w:rPr>
              <w:t>As this document is submitted past the deadline, the group may decide to consider it or not at its 16 October 2023 meeting. If it is accepted, t</w:t>
            </w:r>
            <w:r w:rsidR="0053640F">
              <w:rPr>
                <w:szCs w:val="24"/>
              </w:rPr>
              <w:t xml:space="preserve">he document is submitted to EG-ITRs </w:t>
            </w:r>
            <w:r w:rsidR="0053640F" w:rsidRPr="007832AD">
              <w:rPr>
                <w:b/>
                <w:bCs/>
                <w:szCs w:val="24"/>
              </w:rPr>
              <w:t>for discussion</w:t>
            </w:r>
            <w:r w:rsidR="0053640F">
              <w:rPr>
                <w:szCs w:val="24"/>
              </w:rPr>
              <w:t>.</w:t>
            </w:r>
          </w:p>
          <w:p w14:paraId="1111E6D3" w14:textId="77777777" w:rsidR="004D648B" w:rsidRPr="0052249C" w:rsidRDefault="004D648B" w:rsidP="004D648B">
            <w:pPr>
              <w:spacing w:before="160"/>
              <w:rPr>
                <w:sz w:val="26"/>
                <w:szCs w:val="26"/>
              </w:rPr>
            </w:pPr>
            <w:r w:rsidRPr="0052249C">
              <w:rPr>
                <w:sz w:val="26"/>
                <w:szCs w:val="26"/>
              </w:rPr>
              <w:t>____________________________________</w:t>
            </w:r>
          </w:p>
          <w:p w14:paraId="76D0E106" w14:textId="77777777" w:rsidR="00AD3606" w:rsidRDefault="004D648B" w:rsidP="004D648B">
            <w:pPr>
              <w:spacing w:before="160"/>
              <w:rPr>
                <w:b/>
                <w:bCs/>
                <w:sz w:val="26"/>
                <w:szCs w:val="26"/>
              </w:rPr>
            </w:pPr>
            <w:r w:rsidRPr="004D648B">
              <w:rPr>
                <w:b/>
                <w:bCs/>
                <w:sz w:val="26"/>
                <w:szCs w:val="26"/>
              </w:rPr>
              <w:t>Reference</w:t>
            </w:r>
          </w:p>
          <w:p w14:paraId="4655A21C" w14:textId="77777777" w:rsidR="00AD3606" w:rsidRDefault="00F93EB0" w:rsidP="00F16BAB">
            <w:pPr>
              <w:spacing w:after="160"/>
            </w:pPr>
            <w:hyperlink r:id="rId8" w:history="1">
              <w:r w:rsidR="00E15C3A" w:rsidRPr="0053640F">
                <w:rPr>
                  <w:rStyle w:val="Hyperlink"/>
                  <w:b/>
                  <w:lang w:val="en-US"/>
                </w:rPr>
                <w:t>EG-ITRs-1/1 : Draft Agenda</w:t>
              </w:r>
            </w:hyperlink>
          </w:p>
          <w:p w14:paraId="5E38DA9F" w14:textId="77777777" w:rsidR="001648F9" w:rsidRPr="001648F9" w:rsidRDefault="00F93EB0" w:rsidP="00F16BAB">
            <w:pPr>
              <w:spacing w:after="160"/>
              <w:rPr>
                <w:b/>
                <w:lang w:val="en-US"/>
              </w:rPr>
            </w:pPr>
            <w:hyperlink r:id="rId9" w:history="1">
              <w:r w:rsidR="001648F9" w:rsidRPr="001648F9">
                <w:rPr>
                  <w:rStyle w:val="Hyperlink"/>
                  <w:b/>
                  <w:lang w:val="en-US"/>
                </w:rPr>
                <w:t>EG-ITRs-1/5: Multi-country contribution: Review of the International Telecommunication Regulations and working methods</w:t>
              </w:r>
            </w:hyperlink>
          </w:p>
          <w:p w14:paraId="4627E66B" w14:textId="77777777" w:rsidR="001648F9" w:rsidRDefault="00F93EB0" w:rsidP="001648F9">
            <w:pPr>
              <w:spacing w:after="160"/>
            </w:pPr>
            <w:hyperlink r:id="rId10" w:history="1">
              <w:r w:rsidR="001648F9" w:rsidRPr="001648F9">
                <w:rPr>
                  <w:rStyle w:val="Hyperlink"/>
                  <w:rFonts w:asciiTheme="minorHAnsi" w:hAnsiTheme="minorHAnsi" w:cstheme="minorHAnsi"/>
                  <w:b/>
                  <w:szCs w:val="22"/>
                </w:rPr>
                <w:t xml:space="preserve">EG-ITRs-1/6: Multi-country contribution: Work plan proposal for EG-ITRs </w:t>
              </w:r>
            </w:hyperlink>
            <w:r w:rsidR="001648F9">
              <w:rPr>
                <w:rFonts w:asciiTheme="minorHAnsi" w:hAnsiTheme="minorHAnsi" w:cstheme="minorHAnsi"/>
                <w:szCs w:val="22"/>
              </w:rPr>
              <w:t xml:space="preserve">: </w:t>
            </w:r>
          </w:p>
        </w:tc>
      </w:tr>
    </w:tbl>
    <w:p w14:paraId="642572D6" w14:textId="77777777" w:rsidR="00E227F3" w:rsidRPr="0053640F"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0BB36C10" w14:textId="77777777" w:rsidR="0090147A" w:rsidRPr="0053640F"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53640F">
        <w:br w:type="page"/>
      </w:r>
    </w:p>
    <w:bookmarkEnd w:id="5"/>
    <w:bookmarkEnd w:id="11"/>
    <w:p w14:paraId="7D456000" w14:textId="77777777" w:rsidR="00AF29E2" w:rsidRPr="0053640F" w:rsidRDefault="00AF29E2"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b/>
        </w:rPr>
      </w:pPr>
      <w:r w:rsidRPr="0053640F">
        <w:rPr>
          <w:rFonts w:asciiTheme="minorHAnsi" w:hAnsiTheme="minorHAnsi" w:cstheme="minorHAnsi"/>
          <w:b/>
        </w:rPr>
        <w:lastRenderedPageBreak/>
        <w:t>Background</w:t>
      </w:r>
    </w:p>
    <w:p w14:paraId="6980D70F" w14:textId="77777777" w:rsidR="00AC30A5" w:rsidRDefault="009A3498"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rPr>
      </w:pPr>
      <w:r>
        <w:t xml:space="preserve">1. </w:t>
      </w:r>
      <w:hyperlink r:id="rId11" w:history="1">
        <w:r w:rsidR="001648F9">
          <w:rPr>
            <w:rStyle w:val="Hyperlink"/>
            <w:lang w:val="en-US"/>
          </w:rPr>
          <w:t>Contribution EG-ITRs-1/5</w:t>
        </w:r>
      </w:hyperlink>
      <w:r w:rsidR="00AC30A5">
        <w:rPr>
          <w:lang w:val="en-US"/>
        </w:rPr>
        <w:t xml:space="preserve"> </w:t>
      </w:r>
      <w:r>
        <w:rPr>
          <w:lang w:val="en-US"/>
        </w:rPr>
        <w:t>states: “</w:t>
      </w:r>
      <w:r w:rsidR="00AC30A5">
        <w:rPr>
          <w:lang w:val="en-US"/>
        </w:rPr>
        <w:t xml:space="preserve">We suggest that one of the core activities should cover a </w:t>
      </w:r>
      <w:r w:rsidR="00AC30A5">
        <w:rPr>
          <w:i/>
          <w:lang w:val="en-US"/>
        </w:rPr>
        <w:t>call for evidence</w:t>
      </w:r>
      <w:r w:rsidR="00AC30A5">
        <w:rPr>
          <w:lang w:val="en-US"/>
        </w:rPr>
        <w:t xml:space="preserve"> for empirical data </w:t>
      </w:r>
      <w:r w:rsidR="00AC30A5" w:rsidRPr="0011159B">
        <w:rPr>
          <w:rFonts w:asciiTheme="minorHAnsi" w:hAnsiTheme="minorHAnsi" w:cstheme="minorHAnsi"/>
          <w:szCs w:val="22"/>
        </w:rPr>
        <w:t>on the current use of the ITRs by operating agencies and/or administrations and the proportion of global telecommunication services which now rely on the ITRs</w:t>
      </w:r>
      <w:r>
        <w:rPr>
          <w:rFonts w:asciiTheme="minorHAnsi" w:hAnsiTheme="minorHAnsi" w:cstheme="minorHAnsi"/>
          <w:szCs w:val="22"/>
        </w:rPr>
        <w:t>.”</w:t>
      </w:r>
    </w:p>
    <w:p w14:paraId="0EC74C6B" w14:textId="77777777" w:rsidR="00AC30A5" w:rsidRDefault="009A3498"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2"/>
        </w:rPr>
      </w:pPr>
      <w:r>
        <w:rPr>
          <w:rFonts w:asciiTheme="minorHAnsi" w:hAnsiTheme="minorHAnsi" w:cstheme="minorHAnsi"/>
          <w:szCs w:val="22"/>
        </w:rPr>
        <w:t xml:space="preserve">2. </w:t>
      </w:r>
      <w:hyperlink r:id="rId12" w:history="1">
        <w:r w:rsidR="001648F9">
          <w:rPr>
            <w:rStyle w:val="Hyperlink"/>
            <w:rFonts w:asciiTheme="minorHAnsi" w:hAnsiTheme="minorHAnsi" w:cstheme="minorHAnsi"/>
            <w:szCs w:val="22"/>
          </w:rPr>
          <w:t>Contribution EG-ITRs-1/6</w:t>
        </w:r>
      </w:hyperlink>
      <w:r w:rsidR="00AC30A5">
        <w:rPr>
          <w:rFonts w:asciiTheme="minorHAnsi" w:hAnsiTheme="minorHAnsi" w:cstheme="minorHAnsi"/>
          <w:szCs w:val="22"/>
        </w:rPr>
        <w:t xml:space="preserve"> </w:t>
      </w:r>
      <w:r w:rsidR="001648F9">
        <w:rPr>
          <w:rFonts w:asciiTheme="minorHAnsi" w:hAnsiTheme="minorHAnsi" w:cstheme="minorHAnsi"/>
          <w:szCs w:val="22"/>
        </w:rPr>
        <w:t>proposes “</w:t>
      </w:r>
      <w:r w:rsidR="00AC30A5" w:rsidRPr="0011159B">
        <w:rPr>
          <w:rFonts w:asciiTheme="minorHAnsi" w:hAnsiTheme="minorHAnsi" w:cstheme="minorHAnsi"/>
          <w:szCs w:val="22"/>
        </w:rPr>
        <w:t>a ‘call for evidence’ for empirical data on the current use of the ITRs by operating agencies and/or administrations and the proportion of global telecommunication services which now rely on the ITRs</w:t>
      </w:r>
      <w:r w:rsidR="001648F9">
        <w:rPr>
          <w:rFonts w:asciiTheme="minorHAnsi" w:hAnsiTheme="minorHAnsi" w:cstheme="minorHAnsi"/>
          <w:szCs w:val="22"/>
        </w:rPr>
        <w:t xml:space="preserve">.” </w:t>
      </w:r>
    </w:p>
    <w:p w14:paraId="0ECB62EA" w14:textId="77777777" w:rsidR="009A3498" w:rsidRDefault="009A3498" w:rsidP="0053640F">
      <w:pPr>
        <w:tabs>
          <w:tab w:val="clear" w:pos="567"/>
          <w:tab w:val="clear" w:pos="1134"/>
          <w:tab w:val="clear" w:pos="1701"/>
          <w:tab w:val="clear" w:pos="2268"/>
          <w:tab w:val="clear" w:pos="2835"/>
        </w:tabs>
        <w:overflowPunct/>
        <w:autoSpaceDE/>
        <w:autoSpaceDN/>
        <w:adjustRightInd/>
        <w:textAlignment w:val="auto"/>
        <w:rPr>
          <w:rFonts w:eastAsiaTheme="minorHAnsi" w:cs="Calibri"/>
          <w:szCs w:val="24"/>
        </w:rPr>
      </w:pPr>
      <w:r>
        <w:rPr>
          <w:rFonts w:asciiTheme="minorHAnsi" w:hAnsiTheme="minorHAnsi" w:cstheme="minorHAnsi"/>
          <w:szCs w:val="22"/>
        </w:rPr>
        <w:t xml:space="preserve">3. As stated 1.9 of our </w:t>
      </w:r>
      <w:hyperlink r:id="rId13" w:history="1">
        <w:r>
          <w:rPr>
            <w:rStyle w:val="Hyperlink"/>
            <w:rFonts w:asciiTheme="minorHAnsi" w:hAnsiTheme="minorHAnsi" w:cstheme="minorHAnsi"/>
            <w:szCs w:val="22"/>
          </w:rPr>
          <w:t>Contribution EG-ITRs-1/2</w:t>
        </w:r>
      </w:hyperlink>
      <w:r>
        <w:rPr>
          <w:rFonts w:asciiTheme="minorHAnsi" w:hAnsiTheme="minorHAnsi" w:cstheme="minorHAnsi"/>
          <w:szCs w:val="22"/>
        </w:rPr>
        <w:t>, “</w:t>
      </w:r>
      <w:r w:rsidRPr="007832AD">
        <w:rPr>
          <w:rFonts w:eastAsiaTheme="minorHAnsi" w:cs="Calibri"/>
          <w:szCs w:val="24"/>
          <w:lang w:val="en-US"/>
        </w:rPr>
        <w:t xml:space="preserve">Requests for </w:t>
      </w:r>
      <w:r w:rsidRPr="007832AD">
        <w:rPr>
          <w:rFonts w:eastAsiaTheme="minorHAnsi" w:cs="Calibri"/>
          <w:szCs w:val="24"/>
        </w:rPr>
        <w:t>empirical data on the current use of the ITRs by operating agencies will inevitably result in replies to the effect that the ITRs are not used by operating agencies, because, in the current environment, operating agencies are mostly private companies and thus not directly bound by the ITRs, which are a treaty. While some provisions of the ITRs might be transposed to national law, operating agencies have no reason to know that they are indirectly affected by the ITRs.</w:t>
      </w:r>
      <w:r>
        <w:rPr>
          <w:rFonts w:eastAsiaTheme="minorHAnsi" w:cs="Calibri"/>
          <w:szCs w:val="24"/>
        </w:rPr>
        <w:t>”</w:t>
      </w:r>
    </w:p>
    <w:p w14:paraId="2B9E6DC5" w14:textId="77777777" w:rsidR="009A3498" w:rsidRDefault="009A3498" w:rsidP="0053640F">
      <w:pPr>
        <w:tabs>
          <w:tab w:val="clear" w:pos="567"/>
          <w:tab w:val="clear" w:pos="1134"/>
          <w:tab w:val="clear" w:pos="1701"/>
          <w:tab w:val="clear" w:pos="2268"/>
          <w:tab w:val="clear" w:pos="2835"/>
        </w:tabs>
        <w:overflowPunct/>
        <w:autoSpaceDE/>
        <w:autoSpaceDN/>
        <w:adjustRightInd/>
        <w:textAlignment w:val="auto"/>
        <w:rPr>
          <w:rFonts w:eastAsiaTheme="minorHAnsi" w:cs="Calibri"/>
          <w:szCs w:val="24"/>
        </w:rPr>
      </w:pPr>
      <w:r>
        <w:rPr>
          <w:rFonts w:eastAsiaTheme="minorHAnsi" w:cs="Calibri"/>
          <w:szCs w:val="24"/>
        </w:rPr>
        <w:t>4. Indeed the situation is comparable to that of other treaties, such as the New York Convention on the Recognition and Enforcement of Foreign Arbitral Awards</w:t>
      </w:r>
      <w:r>
        <w:rPr>
          <w:rStyle w:val="FootnoteReference"/>
          <w:rFonts w:eastAsiaTheme="minorHAnsi" w:cs="Calibri"/>
          <w:szCs w:val="24"/>
        </w:rPr>
        <w:footnoteReference w:id="1"/>
      </w:r>
      <w:r>
        <w:rPr>
          <w:rFonts w:eastAsiaTheme="minorHAnsi" w:cs="Calibri"/>
          <w:szCs w:val="24"/>
        </w:rPr>
        <w:t>, and the Vienna Convention on the International Sale of Goods</w:t>
      </w:r>
      <w:r>
        <w:rPr>
          <w:rStyle w:val="FootnoteReference"/>
          <w:rFonts w:eastAsiaTheme="minorHAnsi" w:cs="Calibri"/>
          <w:szCs w:val="24"/>
        </w:rPr>
        <w:footnoteReference w:id="2"/>
      </w:r>
      <w:r>
        <w:rPr>
          <w:rFonts w:eastAsiaTheme="minorHAnsi" w:cs="Calibri"/>
          <w:szCs w:val="24"/>
        </w:rPr>
        <w:t>.</w:t>
      </w:r>
    </w:p>
    <w:p w14:paraId="77E5F255" w14:textId="77777777" w:rsidR="009A3498" w:rsidRDefault="009A3498" w:rsidP="0053640F">
      <w:pPr>
        <w:tabs>
          <w:tab w:val="clear" w:pos="567"/>
          <w:tab w:val="clear" w:pos="1134"/>
          <w:tab w:val="clear" w:pos="1701"/>
          <w:tab w:val="clear" w:pos="2268"/>
          <w:tab w:val="clear" w:pos="2835"/>
        </w:tabs>
        <w:overflowPunct/>
        <w:autoSpaceDE/>
        <w:autoSpaceDN/>
        <w:adjustRightInd/>
        <w:textAlignment w:val="auto"/>
        <w:rPr>
          <w:rFonts w:eastAsiaTheme="minorHAnsi" w:cs="Calibri"/>
          <w:szCs w:val="24"/>
        </w:rPr>
      </w:pPr>
      <w:r>
        <w:rPr>
          <w:rFonts w:eastAsiaTheme="minorHAnsi" w:cs="Calibri"/>
          <w:szCs w:val="24"/>
        </w:rPr>
        <w:t xml:space="preserve">5. Both of those treaties underpin much international commerce and are </w:t>
      </w:r>
      <w:r w:rsidR="004E31A8">
        <w:rPr>
          <w:rFonts w:eastAsiaTheme="minorHAnsi" w:cs="Calibri"/>
          <w:szCs w:val="24"/>
        </w:rPr>
        <w:t xml:space="preserve">extensively </w:t>
      </w:r>
      <w:r>
        <w:rPr>
          <w:rFonts w:eastAsiaTheme="minorHAnsi" w:cs="Calibri"/>
          <w:szCs w:val="24"/>
        </w:rPr>
        <w:t>relied upon by commercial parties. However, business people agreeing</w:t>
      </w:r>
      <w:r w:rsidR="004E31A8">
        <w:rPr>
          <w:rFonts w:eastAsiaTheme="minorHAnsi" w:cs="Calibri"/>
          <w:szCs w:val="24"/>
        </w:rPr>
        <w:t xml:space="preserve"> international</w:t>
      </w:r>
      <w:r>
        <w:rPr>
          <w:rFonts w:eastAsiaTheme="minorHAnsi" w:cs="Calibri"/>
          <w:szCs w:val="24"/>
        </w:rPr>
        <w:t xml:space="preserve"> contracts and/or arbitration clauses are not necessarily aware of the fact that those contracts and arbitration clauses are governed by the cited treaties, because the treaties are transposed into national law. Direct references in contract</w:t>
      </w:r>
      <w:r w:rsidR="004E31A8">
        <w:rPr>
          <w:rFonts w:eastAsiaTheme="minorHAnsi" w:cs="Calibri"/>
          <w:szCs w:val="24"/>
        </w:rPr>
        <w:t>s</w:t>
      </w:r>
      <w:r>
        <w:rPr>
          <w:rFonts w:eastAsiaTheme="minorHAnsi" w:cs="Calibri"/>
          <w:szCs w:val="24"/>
        </w:rPr>
        <w:t xml:space="preserve"> to the treaties would be unusual. </w:t>
      </w:r>
    </w:p>
    <w:p w14:paraId="4B8EA9EE" w14:textId="77777777" w:rsidR="009A3498" w:rsidRDefault="009A3498" w:rsidP="0053640F">
      <w:pPr>
        <w:tabs>
          <w:tab w:val="clear" w:pos="567"/>
          <w:tab w:val="clear" w:pos="1134"/>
          <w:tab w:val="clear" w:pos="1701"/>
          <w:tab w:val="clear" w:pos="2268"/>
          <w:tab w:val="clear" w:pos="2835"/>
        </w:tabs>
        <w:overflowPunct/>
        <w:autoSpaceDE/>
        <w:autoSpaceDN/>
        <w:adjustRightInd/>
        <w:textAlignment w:val="auto"/>
      </w:pPr>
      <w:r>
        <w:rPr>
          <w:rFonts w:eastAsiaTheme="minorHAnsi" w:cs="Calibri"/>
          <w:szCs w:val="24"/>
        </w:rPr>
        <w:t>6. For example, for arbitration, a typical model clause is “</w:t>
      </w:r>
      <w:r>
        <w:t>All disputes arising out of or in connection with the present contract shall be finally settled under the Rules of Arbitration of the International Chamber of Commerce by one or more arbitrators appointed in accordance with the said Rules.”</w:t>
      </w:r>
      <w:r>
        <w:rPr>
          <w:rStyle w:val="FootnoteReference"/>
        </w:rPr>
        <w:footnoteReference w:id="3"/>
      </w:r>
    </w:p>
    <w:p w14:paraId="3B19DD76" w14:textId="77777777" w:rsidR="009A3498" w:rsidRDefault="009A3498"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rPr>
      </w:pPr>
      <w:r>
        <w:t xml:space="preserve">7. Furthermore, as outlined in </w:t>
      </w:r>
      <w:hyperlink r:id="rId14" w:history="1">
        <w:r>
          <w:rPr>
            <w:rStyle w:val="Hyperlink"/>
            <w:rFonts w:asciiTheme="minorHAnsi" w:hAnsiTheme="minorHAnsi" w:cstheme="minorHAnsi"/>
            <w:szCs w:val="22"/>
          </w:rPr>
          <w:t>Contribution EG-ITRs-1/6</w:t>
        </w:r>
      </w:hyperlink>
      <w:r>
        <w:rPr>
          <w:rFonts w:asciiTheme="minorHAnsi" w:hAnsiTheme="minorHAnsi" w:cstheme="minorHAnsi"/>
          <w:szCs w:val="22"/>
        </w:rPr>
        <w:t xml:space="preserve"> and its Addendum 15, there may be </w:t>
      </w:r>
      <w:r w:rsidR="007F268B" w:rsidRPr="0053640F">
        <w:rPr>
          <w:rFonts w:asciiTheme="minorHAnsi" w:hAnsiTheme="minorHAnsi" w:cstheme="minorHAnsi"/>
        </w:rPr>
        <w:t>new trends in telecommunications/ICT</w:t>
      </w:r>
      <w:r w:rsidR="004E31A8">
        <w:rPr>
          <w:rFonts w:asciiTheme="minorHAnsi" w:hAnsiTheme="minorHAnsi" w:cstheme="minorHAnsi"/>
        </w:rPr>
        <w:t>,</w:t>
      </w:r>
      <w:r w:rsidR="007F268B" w:rsidRPr="0053640F">
        <w:rPr>
          <w:rFonts w:asciiTheme="minorHAnsi" w:hAnsiTheme="minorHAnsi" w:cstheme="minorHAnsi"/>
        </w:rPr>
        <w:t xml:space="preserve"> </w:t>
      </w:r>
      <w:r w:rsidR="007F268B">
        <w:rPr>
          <w:rFonts w:asciiTheme="minorHAnsi" w:hAnsiTheme="minorHAnsi" w:cstheme="minorHAnsi"/>
        </w:rPr>
        <w:t>or</w:t>
      </w:r>
      <w:r w:rsidR="007F268B" w:rsidRPr="0053640F">
        <w:rPr>
          <w:rFonts w:asciiTheme="minorHAnsi" w:hAnsiTheme="minorHAnsi" w:cstheme="minorHAnsi"/>
        </w:rPr>
        <w:t xml:space="preserve"> emerging issues in international telecommunications/ICT environment</w:t>
      </w:r>
      <w:r w:rsidR="004E31A8">
        <w:rPr>
          <w:rFonts w:asciiTheme="minorHAnsi" w:hAnsiTheme="minorHAnsi" w:cstheme="minorHAnsi"/>
        </w:rPr>
        <w:t>,</w:t>
      </w:r>
      <w:r w:rsidR="007F268B">
        <w:rPr>
          <w:rFonts w:asciiTheme="minorHAnsi" w:hAnsiTheme="minorHAnsi" w:cstheme="minorHAnsi"/>
        </w:rPr>
        <w:t xml:space="preserve"> which may warrant consideration for inclusion in the ITRs</w:t>
      </w:r>
      <w:r w:rsidR="004E31A8">
        <w:rPr>
          <w:rFonts w:asciiTheme="minorHAnsi" w:hAnsiTheme="minorHAnsi" w:cstheme="minorHAnsi"/>
        </w:rPr>
        <w:t xml:space="preserve"> in the future</w:t>
      </w:r>
      <w:r w:rsidR="007F268B">
        <w:rPr>
          <w:rFonts w:asciiTheme="minorHAnsi" w:hAnsiTheme="minorHAnsi" w:cstheme="minorHAnsi"/>
        </w:rPr>
        <w:t>.</w:t>
      </w:r>
    </w:p>
    <w:p w14:paraId="6A51D513" w14:textId="77777777" w:rsidR="004E31A8" w:rsidRDefault="004E31A8"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rPr>
      </w:pPr>
      <w:r>
        <w:rPr>
          <w:rFonts w:asciiTheme="minorHAnsi" w:hAnsiTheme="minorHAnsi" w:cstheme="minorHAnsi"/>
        </w:rPr>
        <w:t xml:space="preserve">9. In particular, as noted in 1.3, 1.13-1.17, and 1.23-1.27 of </w:t>
      </w:r>
      <w:hyperlink r:id="rId15" w:history="1">
        <w:r>
          <w:rPr>
            <w:rStyle w:val="Hyperlink"/>
            <w:rFonts w:asciiTheme="minorHAnsi" w:hAnsiTheme="minorHAnsi" w:cstheme="minorHAnsi"/>
            <w:szCs w:val="22"/>
          </w:rPr>
          <w:t>Contribution EG-ITRs-1/6</w:t>
        </w:r>
      </w:hyperlink>
      <w:r>
        <w:rPr>
          <w:rFonts w:asciiTheme="minorHAnsi" w:hAnsiTheme="minorHAnsi" w:cstheme="minorHAnsi"/>
        </w:rPr>
        <w:t>, some countries apparently are of the view that treaty-level provisions are needed for matters such as spam and cybersecurity, because they have agreed such provision in trade agreements, and/or proposed that they be included in forthcoming trade agreements.</w:t>
      </w:r>
    </w:p>
    <w:p w14:paraId="6068389B" w14:textId="77777777" w:rsidR="007F268B" w:rsidRDefault="004E31A8" w:rsidP="0053640F">
      <w:pPr>
        <w:tabs>
          <w:tab w:val="clear" w:pos="567"/>
          <w:tab w:val="clear" w:pos="1134"/>
          <w:tab w:val="clear" w:pos="1701"/>
          <w:tab w:val="clear" w:pos="2268"/>
          <w:tab w:val="clear" w:pos="2835"/>
        </w:tabs>
        <w:overflowPunct/>
        <w:autoSpaceDE/>
        <w:autoSpaceDN/>
        <w:adjustRightInd/>
        <w:textAlignment w:val="auto"/>
        <w:rPr>
          <w:rFonts w:eastAsiaTheme="minorHAnsi" w:cs="Calibri"/>
          <w:szCs w:val="24"/>
        </w:rPr>
      </w:pPr>
      <w:r>
        <w:rPr>
          <w:rFonts w:asciiTheme="minorHAnsi" w:hAnsiTheme="minorHAnsi" w:cstheme="minorHAnsi"/>
        </w:rPr>
        <w:t>10</w:t>
      </w:r>
      <w:r w:rsidR="007F268B">
        <w:rPr>
          <w:rFonts w:asciiTheme="minorHAnsi" w:hAnsiTheme="minorHAnsi" w:cstheme="minorHAnsi"/>
        </w:rPr>
        <w:t xml:space="preserve">. Thus it is proposed that </w:t>
      </w:r>
      <w:r>
        <w:rPr>
          <w:rFonts w:asciiTheme="minorHAnsi" w:hAnsiTheme="minorHAnsi" w:cstheme="minorHAnsi"/>
        </w:rPr>
        <w:t xml:space="preserve">a </w:t>
      </w:r>
      <w:r w:rsidR="007F268B">
        <w:rPr>
          <w:rFonts w:asciiTheme="minorHAnsi" w:hAnsiTheme="minorHAnsi" w:cstheme="minorHAnsi"/>
        </w:rPr>
        <w:t xml:space="preserve">request for empirical data take into account the matters referred to above. A draft </w:t>
      </w:r>
      <w:r>
        <w:rPr>
          <w:rFonts w:asciiTheme="minorHAnsi" w:hAnsiTheme="minorHAnsi" w:cstheme="minorHAnsi"/>
        </w:rPr>
        <w:t xml:space="preserve">outline of a </w:t>
      </w:r>
      <w:r w:rsidR="007F268B">
        <w:rPr>
          <w:rFonts w:asciiTheme="minorHAnsi" w:hAnsiTheme="minorHAnsi" w:cstheme="minorHAnsi"/>
        </w:rPr>
        <w:t xml:space="preserve">proposed request </w:t>
      </w:r>
      <w:r>
        <w:rPr>
          <w:rFonts w:asciiTheme="minorHAnsi" w:hAnsiTheme="minorHAnsi" w:cstheme="minorHAnsi"/>
        </w:rPr>
        <w:t>is</w:t>
      </w:r>
      <w:r w:rsidR="007F268B">
        <w:rPr>
          <w:rFonts w:asciiTheme="minorHAnsi" w:hAnsiTheme="minorHAnsi" w:cstheme="minorHAnsi"/>
        </w:rPr>
        <w:t xml:space="preserve"> presented below.</w:t>
      </w:r>
    </w:p>
    <w:p w14:paraId="19507212" w14:textId="77777777" w:rsidR="009A3498" w:rsidRPr="0053640F" w:rsidRDefault="009A3498"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rPr>
      </w:pPr>
    </w:p>
    <w:p w14:paraId="3E34D543" w14:textId="77777777" w:rsidR="00AF29E2" w:rsidRPr="0053640F" w:rsidRDefault="00AF29E2" w:rsidP="004E31A8">
      <w:pPr>
        <w:keepNext/>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b/>
          <w:lang w:val="en-US"/>
        </w:rPr>
      </w:pPr>
      <w:r w:rsidRPr="0053640F">
        <w:rPr>
          <w:rFonts w:asciiTheme="minorHAnsi" w:hAnsiTheme="minorHAnsi" w:cstheme="minorHAnsi"/>
          <w:b/>
          <w:lang w:val="en-US"/>
        </w:rPr>
        <w:lastRenderedPageBreak/>
        <w:t>Proposal</w:t>
      </w:r>
    </w:p>
    <w:p w14:paraId="0BE63213" w14:textId="77777777" w:rsidR="00AF29E2" w:rsidRPr="0053640F" w:rsidRDefault="004E31A8" w:rsidP="004E31A8">
      <w:pPr>
        <w:keepNext/>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lang w:val="en-US"/>
        </w:rPr>
      </w:pPr>
      <w:r>
        <w:rPr>
          <w:rFonts w:asciiTheme="minorHAnsi" w:hAnsiTheme="minorHAnsi" w:cstheme="minorHAnsi"/>
          <w:lang w:val="en-US"/>
        </w:rPr>
        <w:t>11</w:t>
      </w:r>
      <w:r w:rsidR="00AF29E2" w:rsidRPr="0053640F">
        <w:rPr>
          <w:rFonts w:asciiTheme="minorHAnsi" w:hAnsiTheme="minorHAnsi" w:cstheme="minorHAnsi"/>
          <w:lang w:val="en-US"/>
        </w:rPr>
        <w:t xml:space="preserve">. In light of the above, </w:t>
      </w:r>
      <w:r w:rsidR="007F268B">
        <w:rPr>
          <w:rFonts w:asciiTheme="minorHAnsi" w:hAnsiTheme="minorHAnsi" w:cstheme="minorHAnsi"/>
          <w:lang w:val="en-US"/>
        </w:rPr>
        <w:t>it is proposed that, if the EG-ITRs decides to issue a request for empirical data, then</w:t>
      </w:r>
      <w:r w:rsidR="00AF29E2" w:rsidRPr="0053640F">
        <w:rPr>
          <w:rFonts w:asciiTheme="minorHAnsi" w:hAnsiTheme="minorHAnsi" w:cstheme="minorHAnsi"/>
          <w:lang w:val="en-US"/>
        </w:rPr>
        <w:t>:</w:t>
      </w:r>
    </w:p>
    <w:p w14:paraId="191BC85D" w14:textId="77777777" w:rsidR="007F268B" w:rsidRDefault="001569E7" w:rsidP="0053640F">
      <w:pPr>
        <w:pStyle w:val="ListParagraph"/>
        <w:numPr>
          <w:ilvl w:val="0"/>
          <w:numId w:val="7"/>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Pr>
          <w:rFonts w:asciiTheme="minorHAnsi" w:hAnsiTheme="minorHAnsi" w:cstheme="minorHAnsi"/>
          <w:lang w:val="en-US"/>
        </w:rPr>
        <w:t>The request should b</w:t>
      </w:r>
      <w:r w:rsidR="002F7555">
        <w:rPr>
          <w:rFonts w:asciiTheme="minorHAnsi" w:hAnsiTheme="minorHAnsi" w:cstheme="minorHAnsi"/>
          <w:lang w:val="en-US"/>
        </w:rPr>
        <w:t>e sent to all A</w:t>
      </w:r>
      <w:r w:rsidR="007F268B">
        <w:rPr>
          <w:rFonts w:asciiTheme="minorHAnsi" w:hAnsiTheme="minorHAnsi" w:cstheme="minorHAnsi"/>
          <w:lang w:val="en-US"/>
        </w:rPr>
        <w:t xml:space="preserve">dministrations and </w:t>
      </w:r>
      <w:r>
        <w:rPr>
          <w:rFonts w:asciiTheme="minorHAnsi" w:hAnsiTheme="minorHAnsi" w:cstheme="minorHAnsi"/>
          <w:lang w:val="en-US"/>
        </w:rPr>
        <w:t xml:space="preserve">to </w:t>
      </w:r>
      <w:r w:rsidR="007F268B">
        <w:rPr>
          <w:rFonts w:asciiTheme="minorHAnsi" w:hAnsiTheme="minorHAnsi" w:cstheme="minorHAnsi"/>
          <w:lang w:val="en-US"/>
        </w:rPr>
        <w:t>all Sector Members.</w:t>
      </w:r>
    </w:p>
    <w:p w14:paraId="59E259DF" w14:textId="77777777" w:rsidR="007F6EFC" w:rsidRDefault="007F268B" w:rsidP="0053640F">
      <w:pPr>
        <w:pStyle w:val="ListParagraph"/>
        <w:numPr>
          <w:ilvl w:val="0"/>
          <w:numId w:val="7"/>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Pr>
          <w:rFonts w:asciiTheme="minorHAnsi" w:hAnsiTheme="minorHAnsi" w:cstheme="minorHAnsi"/>
          <w:lang w:val="en-US"/>
        </w:rPr>
        <w:t xml:space="preserve">Administrations be invited to forward the request to </w:t>
      </w:r>
      <w:r w:rsidR="002F7555">
        <w:rPr>
          <w:rFonts w:asciiTheme="minorHAnsi" w:hAnsiTheme="minorHAnsi" w:cstheme="minorHAnsi"/>
          <w:lang w:val="en-US"/>
        </w:rPr>
        <w:t>O</w:t>
      </w:r>
      <w:r>
        <w:rPr>
          <w:rFonts w:asciiTheme="minorHAnsi" w:hAnsiTheme="minorHAnsi" w:cstheme="minorHAnsi"/>
          <w:lang w:val="en-US"/>
        </w:rPr>
        <w:t xml:space="preserve">perating </w:t>
      </w:r>
      <w:r w:rsidR="002F7555">
        <w:rPr>
          <w:rFonts w:asciiTheme="minorHAnsi" w:hAnsiTheme="minorHAnsi" w:cstheme="minorHAnsi"/>
          <w:lang w:val="en-US"/>
        </w:rPr>
        <w:t>A</w:t>
      </w:r>
      <w:r>
        <w:rPr>
          <w:rFonts w:asciiTheme="minorHAnsi" w:hAnsiTheme="minorHAnsi" w:cstheme="minorHAnsi"/>
          <w:lang w:val="en-US"/>
        </w:rPr>
        <w:t>gencies.</w:t>
      </w:r>
    </w:p>
    <w:p w14:paraId="5B9EA1CB" w14:textId="77777777" w:rsidR="007F268B" w:rsidRPr="0053640F" w:rsidRDefault="007F268B" w:rsidP="0053640F">
      <w:pPr>
        <w:pStyle w:val="ListParagraph"/>
        <w:numPr>
          <w:ilvl w:val="0"/>
          <w:numId w:val="7"/>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Pr>
          <w:rFonts w:asciiTheme="minorHAnsi" w:hAnsiTheme="minorHAnsi" w:cstheme="minorHAnsi"/>
          <w:lang w:val="en-US"/>
        </w:rPr>
        <w:t>The request contain the following elements:</w:t>
      </w:r>
    </w:p>
    <w:p w14:paraId="6FB1C428" w14:textId="77777777" w:rsidR="00AF29E2" w:rsidRDefault="007F268B" w:rsidP="0053640F">
      <w:pPr>
        <w:pStyle w:val="ListParagraph"/>
        <w:numPr>
          <w:ilvl w:val="1"/>
          <w:numId w:val="7"/>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Pr>
          <w:rFonts w:asciiTheme="minorHAnsi" w:hAnsiTheme="minorHAnsi" w:cstheme="minorHAnsi"/>
          <w:lang w:val="en-US"/>
        </w:rPr>
        <w:t>A preamble explaining that treaties bind states, so they do not directly bind private parties, but they may bind private parties by being transposed to national law.</w:t>
      </w:r>
    </w:p>
    <w:p w14:paraId="11BF2374" w14:textId="77777777" w:rsidR="007F268B" w:rsidRDefault="007F268B" w:rsidP="0053640F">
      <w:pPr>
        <w:pStyle w:val="ListParagraph"/>
        <w:numPr>
          <w:ilvl w:val="1"/>
          <w:numId w:val="7"/>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Pr>
          <w:rFonts w:asciiTheme="minorHAnsi" w:hAnsiTheme="minorHAnsi" w:cstheme="minorHAnsi"/>
          <w:lang w:val="en-US"/>
        </w:rPr>
        <w:t>A short history of the ITRs since 1988.</w:t>
      </w:r>
    </w:p>
    <w:p w14:paraId="6CBFC26C" w14:textId="77777777" w:rsidR="007F268B" w:rsidRDefault="007F268B" w:rsidP="0053640F">
      <w:pPr>
        <w:pStyle w:val="ListParagraph"/>
        <w:numPr>
          <w:ilvl w:val="1"/>
          <w:numId w:val="7"/>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Pr>
          <w:rFonts w:asciiTheme="minorHAnsi" w:hAnsiTheme="minorHAnsi" w:cstheme="minorHAnsi"/>
          <w:lang w:val="en-US"/>
        </w:rPr>
        <w:t xml:space="preserve">An explanation of why </w:t>
      </w:r>
      <w:r w:rsidR="002F7555">
        <w:rPr>
          <w:rFonts w:asciiTheme="minorHAnsi" w:hAnsiTheme="minorHAnsi" w:cstheme="minorHAnsi"/>
          <w:lang w:val="en-US"/>
        </w:rPr>
        <w:t xml:space="preserve">– as </w:t>
      </w:r>
      <w:r w:rsidR="00C67880">
        <w:rPr>
          <w:rFonts w:asciiTheme="minorHAnsi" w:hAnsiTheme="minorHAnsi" w:cstheme="minorHAnsi"/>
          <w:lang w:val="en-US"/>
        </w:rPr>
        <w:t xml:space="preserve">implicitly </w:t>
      </w:r>
      <w:r w:rsidR="002F7555">
        <w:rPr>
          <w:rFonts w:asciiTheme="minorHAnsi" w:hAnsiTheme="minorHAnsi" w:cstheme="minorHAnsi"/>
          <w:lang w:val="en-US"/>
        </w:rPr>
        <w:t xml:space="preserve">recognized in article 8 of the 2012 ITRs – </w:t>
      </w:r>
      <w:r>
        <w:rPr>
          <w:rFonts w:asciiTheme="minorHAnsi" w:hAnsiTheme="minorHAnsi" w:cstheme="minorHAnsi"/>
          <w:lang w:val="en-US"/>
        </w:rPr>
        <w:t xml:space="preserve">the accounting </w:t>
      </w:r>
      <w:r w:rsidR="002F7555">
        <w:rPr>
          <w:rFonts w:asciiTheme="minorHAnsi" w:hAnsiTheme="minorHAnsi" w:cstheme="minorHAnsi"/>
          <w:lang w:val="en-US"/>
        </w:rPr>
        <w:t>rates</w:t>
      </w:r>
      <w:r>
        <w:rPr>
          <w:rFonts w:asciiTheme="minorHAnsi" w:hAnsiTheme="minorHAnsi" w:cstheme="minorHAnsi"/>
          <w:lang w:val="en-US"/>
        </w:rPr>
        <w:t xml:space="preserve"> of article 6 of the 1988 ITRs are no longer </w:t>
      </w:r>
      <w:r w:rsidR="002F7555">
        <w:rPr>
          <w:rFonts w:asciiTheme="minorHAnsi" w:hAnsiTheme="minorHAnsi" w:cstheme="minorHAnsi"/>
          <w:lang w:val="en-US"/>
        </w:rPr>
        <w:t>used for most international telecommunication services</w:t>
      </w:r>
      <w:r w:rsidR="00C67880">
        <w:rPr>
          <w:rFonts w:asciiTheme="minorHAnsi" w:hAnsiTheme="minorHAnsi" w:cstheme="minorHAnsi"/>
          <w:lang w:val="en-US"/>
        </w:rPr>
        <w:t xml:space="preserve"> (see in this respect the discussion in 3 to 7 of Addendum 8 of </w:t>
      </w:r>
      <w:r w:rsidR="00C67880">
        <w:rPr>
          <w:rFonts w:asciiTheme="minorHAnsi" w:hAnsiTheme="minorHAnsi" w:cstheme="minorHAnsi"/>
          <w:szCs w:val="22"/>
        </w:rPr>
        <w:t xml:space="preserve">our </w:t>
      </w:r>
      <w:hyperlink r:id="rId16" w:history="1">
        <w:r w:rsidR="00C67880">
          <w:rPr>
            <w:rStyle w:val="Hyperlink"/>
            <w:rFonts w:asciiTheme="minorHAnsi" w:hAnsiTheme="minorHAnsi" w:cstheme="minorHAnsi"/>
            <w:szCs w:val="22"/>
          </w:rPr>
          <w:t>Contribution EG-ITRs-1/2</w:t>
        </w:r>
      </w:hyperlink>
      <w:r w:rsidR="00C67880">
        <w:rPr>
          <w:rFonts w:asciiTheme="minorHAnsi" w:hAnsiTheme="minorHAnsi" w:cstheme="minorHAnsi"/>
          <w:szCs w:val="22"/>
        </w:rPr>
        <w:t>)</w:t>
      </w:r>
      <w:r>
        <w:rPr>
          <w:rFonts w:asciiTheme="minorHAnsi" w:hAnsiTheme="minorHAnsi" w:cstheme="minorHAnsi"/>
          <w:lang w:val="en-US"/>
        </w:rPr>
        <w:t>.</w:t>
      </w:r>
    </w:p>
    <w:p w14:paraId="1392ACA9" w14:textId="77777777" w:rsidR="00CD743D" w:rsidRDefault="007F268B" w:rsidP="0053640F">
      <w:pPr>
        <w:pStyle w:val="ListParagraph"/>
        <w:numPr>
          <w:ilvl w:val="1"/>
          <w:numId w:val="7"/>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Pr>
          <w:rFonts w:asciiTheme="minorHAnsi" w:hAnsiTheme="minorHAnsi" w:cstheme="minorHAnsi"/>
          <w:lang w:val="en-US"/>
        </w:rPr>
        <w:t>An invitation to comment on whether other provisions of the 1988 and/or 2012 ITRs</w:t>
      </w:r>
      <w:r w:rsidR="002F7555">
        <w:rPr>
          <w:rFonts w:asciiTheme="minorHAnsi" w:hAnsiTheme="minorHAnsi" w:cstheme="minorHAnsi"/>
          <w:lang w:val="en-US"/>
        </w:rPr>
        <w:t>:</w:t>
      </w:r>
    </w:p>
    <w:p w14:paraId="7CF699F2" w14:textId="77777777" w:rsidR="007F268B" w:rsidRDefault="007F268B" w:rsidP="002F7555">
      <w:pPr>
        <w:pStyle w:val="ListParagraph"/>
        <w:numPr>
          <w:ilvl w:val="2"/>
          <w:numId w:val="7"/>
        </w:numPr>
        <w:tabs>
          <w:tab w:val="clear" w:pos="567"/>
          <w:tab w:val="clear" w:pos="1134"/>
          <w:tab w:val="clear" w:pos="1701"/>
          <w:tab w:val="clear" w:pos="2268"/>
          <w:tab w:val="clear" w:pos="2835"/>
        </w:tabs>
        <w:overflowPunct/>
        <w:autoSpaceDE/>
        <w:autoSpaceDN/>
        <w:adjustRightInd/>
        <w:ind w:left="1797" w:hanging="720"/>
        <w:contextualSpacing w:val="0"/>
        <w:textAlignment w:val="auto"/>
        <w:rPr>
          <w:rFonts w:asciiTheme="minorHAnsi" w:hAnsiTheme="minorHAnsi" w:cstheme="minorHAnsi"/>
          <w:lang w:val="en-US"/>
        </w:rPr>
      </w:pPr>
      <w:r>
        <w:rPr>
          <w:rFonts w:asciiTheme="minorHAnsi" w:hAnsiTheme="minorHAnsi" w:cstheme="minorHAnsi"/>
          <w:lang w:val="en-US"/>
        </w:rPr>
        <w:t>are</w:t>
      </w:r>
      <w:r w:rsidR="001569E7">
        <w:rPr>
          <w:rFonts w:asciiTheme="minorHAnsi" w:hAnsiTheme="minorHAnsi" w:cstheme="minorHAnsi"/>
          <w:lang w:val="en-US"/>
        </w:rPr>
        <w:t xml:space="preserve"> </w:t>
      </w:r>
      <w:r>
        <w:rPr>
          <w:rFonts w:asciiTheme="minorHAnsi" w:hAnsiTheme="minorHAnsi" w:cstheme="minorHAnsi"/>
          <w:lang w:val="en-US"/>
        </w:rPr>
        <w:t xml:space="preserve">relevant or useful </w:t>
      </w:r>
      <w:r w:rsidR="00CD743D">
        <w:rPr>
          <w:rFonts w:asciiTheme="minorHAnsi" w:hAnsiTheme="minorHAnsi" w:cstheme="minorHAnsi"/>
          <w:lang w:val="en-US"/>
        </w:rPr>
        <w:t>because they have been</w:t>
      </w:r>
      <w:r w:rsidR="001569E7">
        <w:rPr>
          <w:rFonts w:asciiTheme="minorHAnsi" w:hAnsiTheme="minorHAnsi" w:cstheme="minorHAnsi"/>
          <w:lang w:val="en-US"/>
        </w:rPr>
        <w:t xml:space="preserve"> </w:t>
      </w:r>
      <w:r>
        <w:rPr>
          <w:rFonts w:asciiTheme="minorHAnsi" w:hAnsiTheme="minorHAnsi" w:cstheme="minorHAnsi"/>
          <w:lang w:val="en-US"/>
        </w:rPr>
        <w:t>transposed to national law</w:t>
      </w:r>
      <w:r w:rsidR="00CD743D">
        <w:rPr>
          <w:rFonts w:asciiTheme="minorHAnsi" w:hAnsiTheme="minorHAnsi" w:cstheme="minorHAnsi"/>
          <w:lang w:val="en-US"/>
        </w:rPr>
        <w:t>;</w:t>
      </w:r>
    </w:p>
    <w:p w14:paraId="1B7CCEDB" w14:textId="77777777" w:rsidR="002F7555" w:rsidRDefault="00CD743D" w:rsidP="002F7555">
      <w:pPr>
        <w:pStyle w:val="ListParagraph"/>
        <w:numPr>
          <w:ilvl w:val="2"/>
          <w:numId w:val="7"/>
        </w:numPr>
        <w:tabs>
          <w:tab w:val="clear" w:pos="567"/>
          <w:tab w:val="clear" w:pos="1134"/>
          <w:tab w:val="clear" w:pos="1701"/>
          <w:tab w:val="clear" w:pos="2268"/>
          <w:tab w:val="clear" w:pos="2835"/>
        </w:tabs>
        <w:overflowPunct/>
        <w:autoSpaceDE/>
        <w:autoSpaceDN/>
        <w:adjustRightInd/>
        <w:ind w:left="1797" w:hanging="720"/>
        <w:contextualSpacing w:val="0"/>
        <w:textAlignment w:val="auto"/>
        <w:rPr>
          <w:rFonts w:asciiTheme="minorHAnsi" w:hAnsiTheme="minorHAnsi" w:cstheme="minorHAnsi"/>
          <w:lang w:val="en-US"/>
        </w:rPr>
      </w:pPr>
      <w:r>
        <w:rPr>
          <w:rFonts w:asciiTheme="minorHAnsi" w:hAnsiTheme="minorHAnsi" w:cstheme="minorHAnsi"/>
          <w:lang w:val="en-US"/>
        </w:rPr>
        <w:t xml:space="preserve">would be relevant or useful if they </w:t>
      </w:r>
      <w:r w:rsidR="002F7555">
        <w:rPr>
          <w:rFonts w:asciiTheme="minorHAnsi" w:hAnsiTheme="minorHAnsi" w:cstheme="minorHAnsi"/>
          <w:lang w:val="en-US"/>
        </w:rPr>
        <w:t>were</w:t>
      </w:r>
      <w:r>
        <w:rPr>
          <w:rFonts w:asciiTheme="minorHAnsi" w:hAnsiTheme="minorHAnsi" w:cstheme="minorHAnsi"/>
          <w:lang w:val="en-US"/>
        </w:rPr>
        <w:t xml:space="preserve"> transposed to national law; </w:t>
      </w:r>
    </w:p>
    <w:p w14:paraId="1E185771" w14:textId="77777777" w:rsidR="002F7555" w:rsidRDefault="00CD743D" w:rsidP="002F7555">
      <w:pPr>
        <w:pStyle w:val="ListParagraph"/>
        <w:numPr>
          <w:ilvl w:val="2"/>
          <w:numId w:val="7"/>
        </w:numPr>
        <w:tabs>
          <w:tab w:val="clear" w:pos="567"/>
          <w:tab w:val="clear" w:pos="1134"/>
          <w:tab w:val="clear" w:pos="1701"/>
          <w:tab w:val="clear" w:pos="2268"/>
          <w:tab w:val="clear" w:pos="2835"/>
        </w:tabs>
        <w:overflowPunct/>
        <w:autoSpaceDE/>
        <w:autoSpaceDN/>
        <w:adjustRightInd/>
        <w:ind w:left="1797" w:hanging="720"/>
        <w:contextualSpacing w:val="0"/>
        <w:textAlignment w:val="auto"/>
        <w:rPr>
          <w:rFonts w:asciiTheme="minorHAnsi" w:hAnsiTheme="minorHAnsi" w:cstheme="minorHAnsi"/>
          <w:lang w:val="en-US"/>
        </w:rPr>
      </w:pPr>
      <w:r>
        <w:rPr>
          <w:rFonts w:asciiTheme="minorHAnsi" w:hAnsiTheme="minorHAnsi" w:cstheme="minorHAnsi"/>
          <w:lang w:val="en-US"/>
        </w:rPr>
        <w:t>are redundant because they have been implemented in national law independently of the ITRs</w:t>
      </w:r>
      <w:r w:rsidR="002F7555">
        <w:rPr>
          <w:rFonts w:asciiTheme="minorHAnsi" w:hAnsiTheme="minorHAnsi" w:cstheme="minorHAnsi"/>
          <w:lang w:val="en-US"/>
        </w:rPr>
        <w:t>; or</w:t>
      </w:r>
    </w:p>
    <w:p w14:paraId="26DF4027" w14:textId="77777777" w:rsidR="002F7555" w:rsidRDefault="002F7555" w:rsidP="002F7555">
      <w:pPr>
        <w:pStyle w:val="ListParagraph"/>
        <w:numPr>
          <w:ilvl w:val="2"/>
          <w:numId w:val="7"/>
        </w:numPr>
        <w:tabs>
          <w:tab w:val="clear" w:pos="567"/>
          <w:tab w:val="clear" w:pos="1134"/>
          <w:tab w:val="clear" w:pos="1701"/>
          <w:tab w:val="clear" w:pos="2268"/>
          <w:tab w:val="clear" w:pos="2835"/>
        </w:tabs>
        <w:overflowPunct/>
        <w:autoSpaceDE/>
        <w:autoSpaceDN/>
        <w:adjustRightInd/>
        <w:ind w:left="1797" w:hanging="720"/>
        <w:contextualSpacing w:val="0"/>
        <w:textAlignment w:val="auto"/>
        <w:rPr>
          <w:rFonts w:asciiTheme="minorHAnsi" w:hAnsiTheme="minorHAnsi" w:cstheme="minorHAnsi"/>
          <w:lang w:val="en-US"/>
        </w:rPr>
      </w:pPr>
      <w:r>
        <w:rPr>
          <w:rFonts w:asciiTheme="minorHAnsi" w:hAnsiTheme="minorHAnsi" w:cstheme="minorHAnsi"/>
          <w:lang w:val="en-US"/>
        </w:rPr>
        <w:t>are not needed because there is no need to bind states to transpose such provisions to national law.</w:t>
      </w:r>
      <w:r w:rsidRPr="002F7555">
        <w:rPr>
          <w:rFonts w:asciiTheme="minorHAnsi" w:hAnsiTheme="minorHAnsi" w:cstheme="minorHAnsi"/>
          <w:lang w:val="en-US"/>
        </w:rPr>
        <w:t xml:space="preserve"> </w:t>
      </w:r>
    </w:p>
    <w:p w14:paraId="5DACD130" w14:textId="77777777" w:rsidR="007F268B" w:rsidRPr="0053640F" w:rsidRDefault="007F268B" w:rsidP="0053640F">
      <w:pPr>
        <w:pStyle w:val="ListParagraph"/>
        <w:numPr>
          <w:ilvl w:val="1"/>
          <w:numId w:val="7"/>
        </w:numPr>
        <w:tabs>
          <w:tab w:val="clear" w:pos="567"/>
          <w:tab w:val="clear" w:pos="1134"/>
          <w:tab w:val="clear" w:pos="1701"/>
          <w:tab w:val="clear" w:pos="2268"/>
          <w:tab w:val="clear" w:pos="2835"/>
        </w:tabs>
        <w:overflowPunct/>
        <w:autoSpaceDE/>
        <w:autoSpaceDN/>
        <w:adjustRightInd/>
        <w:contextualSpacing w:val="0"/>
        <w:textAlignment w:val="auto"/>
        <w:rPr>
          <w:rFonts w:asciiTheme="minorHAnsi" w:hAnsiTheme="minorHAnsi" w:cstheme="minorHAnsi"/>
          <w:lang w:val="en-US"/>
        </w:rPr>
      </w:pPr>
      <w:r>
        <w:rPr>
          <w:rFonts w:asciiTheme="minorHAnsi" w:hAnsiTheme="minorHAnsi" w:cstheme="minorHAnsi"/>
          <w:lang w:val="en-US"/>
        </w:rPr>
        <w:t xml:space="preserve">An invitation to comment on whether new provisions </w:t>
      </w:r>
      <w:r w:rsidR="00405C77">
        <w:rPr>
          <w:rFonts w:asciiTheme="minorHAnsi" w:hAnsiTheme="minorHAnsi" w:cstheme="minorHAnsi"/>
          <w:lang w:val="en-US"/>
        </w:rPr>
        <w:t>in</w:t>
      </w:r>
      <w:r>
        <w:rPr>
          <w:rFonts w:asciiTheme="minorHAnsi" w:hAnsiTheme="minorHAnsi" w:cstheme="minorHAnsi"/>
          <w:lang w:val="en-US"/>
        </w:rPr>
        <w:t xml:space="preserve"> the ITRs would be relevant or useful if they </w:t>
      </w:r>
      <w:r w:rsidR="002F7555">
        <w:rPr>
          <w:rFonts w:asciiTheme="minorHAnsi" w:hAnsiTheme="minorHAnsi" w:cstheme="minorHAnsi"/>
          <w:lang w:val="en-US"/>
        </w:rPr>
        <w:t>were</w:t>
      </w:r>
      <w:r>
        <w:rPr>
          <w:rFonts w:asciiTheme="minorHAnsi" w:hAnsiTheme="minorHAnsi" w:cstheme="minorHAnsi"/>
          <w:lang w:val="en-US"/>
        </w:rPr>
        <w:t xml:space="preserve"> transposed to national law, for example regarding spam, cybersecurity, artificial intelligence, </w:t>
      </w:r>
      <w:r w:rsidR="00405C77" w:rsidRPr="00405C77">
        <w:rPr>
          <w:rFonts w:asciiTheme="minorHAnsi" w:hAnsiTheme="minorHAnsi" w:cstheme="minorHAnsi"/>
          <w:lang w:val="en-US"/>
        </w:rPr>
        <w:t>build</w:t>
      </w:r>
      <w:r w:rsidR="00405C77">
        <w:rPr>
          <w:rFonts w:asciiTheme="minorHAnsi" w:hAnsiTheme="minorHAnsi" w:cstheme="minorHAnsi"/>
          <w:lang w:val="en-US"/>
        </w:rPr>
        <w:t>ing</w:t>
      </w:r>
      <w:r w:rsidR="00405C77" w:rsidRPr="00405C77">
        <w:rPr>
          <w:rFonts w:asciiTheme="minorHAnsi" w:hAnsiTheme="minorHAnsi" w:cstheme="minorHAnsi"/>
          <w:lang w:val="en-US"/>
        </w:rPr>
        <w:t xml:space="preserve"> a digital public infrastructure</w:t>
      </w:r>
      <w:r w:rsidR="00405C77">
        <w:rPr>
          <w:rFonts w:asciiTheme="minorHAnsi" w:hAnsiTheme="minorHAnsi" w:cstheme="minorHAnsi"/>
          <w:lang w:val="en-US"/>
        </w:rPr>
        <w:t>,</w:t>
      </w:r>
      <w:r w:rsidR="00405C77" w:rsidRPr="00405C77">
        <w:rPr>
          <w:rFonts w:asciiTheme="minorHAnsi" w:hAnsiTheme="minorHAnsi" w:cstheme="minorHAnsi"/>
          <w:lang w:val="en-US"/>
        </w:rPr>
        <w:t xml:space="preserve"> </w:t>
      </w:r>
      <w:r>
        <w:rPr>
          <w:rFonts w:asciiTheme="minorHAnsi" w:hAnsiTheme="minorHAnsi" w:cstheme="minorHAnsi"/>
          <w:lang w:val="en-US"/>
        </w:rPr>
        <w:t>bridging the digital gender gap, etc.</w:t>
      </w:r>
    </w:p>
    <w:p w14:paraId="49E2010B" w14:textId="77777777" w:rsidR="007F268B" w:rsidRPr="004E31A8" w:rsidRDefault="004E31A8" w:rsidP="007F268B">
      <w:pPr>
        <w:tabs>
          <w:tab w:val="clear" w:pos="567"/>
          <w:tab w:val="clear" w:pos="1134"/>
          <w:tab w:val="clear" w:pos="1701"/>
          <w:tab w:val="clear" w:pos="2268"/>
          <w:tab w:val="clear" w:pos="2835"/>
        </w:tabs>
        <w:overflowPunct/>
        <w:autoSpaceDE/>
        <w:autoSpaceDN/>
        <w:adjustRightInd/>
        <w:textAlignment w:val="auto"/>
        <w:rPr>
          <w:rFonts w:cs="Calibri"/>
          <w:lang w:val="en-US"/>
        </w:rPr>
      </w:pPr>
      <w:r w:rsidRPr="004E31A8">
        <w:rPr>
          <w:rFonts w:cs="Calibri"/>
          <w:lang w:val="en-US"/>
        </w:rPr>
        <w:t>1</w:t>
      </w:r>
      <w:r>
        <w:rPr>
          <w:rFonts w:cs="Calibri"/>
          <w:lang w:val="en-US"/>
        </w:rPr>
        <w:t>2</w:t>
      </w:r>
      <w:r w:rsidRPr="004E31A8">
        <w:rPr>
          <w:rFonts w:cs="Calibri"/>
          <w:lang w:val="en-US"/>
        </w:rPr>
        <w:t xml:space="preserve">. </w:t>
      </w:r>
      <w:r>
        <w:rPr>
          <w:rFonts w:cs="Calibri"/>
          <w:lang w:val="en-US"/>
        </w:rPr>
        <w:t>If the EG-ITRs decides to issue a request for empirical data, then we would, if the group agrees, be pleased to participate in the formulation of such a request</w:t>
      </w:r>
      <w:r w:rsidRPr="004E31A8">
        <w:rPr>
          <w:rFonts w:cs="Calibri"/>
          <w:lang w:val="en-US"/>
        </w:rPr>
        <w:t xml:space="preserve">. </w:t>
      </w:r>
    </w:p>
    <w:p w14:paraId="7E4EDE55" w14:textId="77777777" w:rsidR="0053640F" w:rsidRPr="0053640F" w:rsidRDefault="0053640F" w:rsidP="0053640F">
      <w:pPr>
        <w:pStyle w:val="ListParagraph"/>
        <w:tabs>
          <w:tab w:val="clear" w:pos="567"/>
          <w:tab w:val="clear" w:pos="1134"/>
          <w:tab w:val="clear" w:pos="1701"/>
          <w:tab w:val="clear" w:pos="2268"/>
          <w:tab w:val="clear" w:pos="2835"/>
        </w:tabs>
        <w:overflowPunct/>
        <w:autoSpaceDE/>
        <w:autoSpaceDN/>
        <w:adjustRightInd/>
        <w:spacing w:before="840"/>
        <w:contextualSpacing w:val="0"/>
        <w:jc w:val="center"/>
        <w:textAlignment w:val="auto"/>
        <w:rPr>
          <w:rFonts w:ascii="Times New Roman" w:hAnsi="Times New Roman"/>
          <w:lang w:val="en-US"/>
        </w:rPr>
      </w:pPr>
      <w:r>
        <w:rPr>
          <w:rFonts w:ascii="Times New Roman" w:hAnsi="Times New Roman"/>
          <w:lang w:val="en-US"/>
        </w:rPr>
        <w:t>_____________________</w:t>
      </w:r>
    </w:p>
    <w:sectPr w:rsidR="0053640F" w:rsidRPr="0053640F"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569A8" w14:textId="77777777" w:rsidR="00C258FB" w:rsidRDefault="00C258FB">
      <w:r>
        <w:separator/>
      </w:r>
    </w:p>
  </w:endnote>
  <w:endnote w:type="continuationSeparator" w:id="0">
    <w:p w14:paraId="2B945D3D" w14:textId="77777777" w:rsidR="00C258FB" w:rsidRDefault="00C2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5BE0FE1" w14:textId="77777777" w:rsidTr="0042469C">
      <w:trPr>
        <w:jc w:val="center"/>
      </w:trPr>
      <w:tc>
        <w:tcPr>
          <w:tcW w:w="1803" w:type="dxa"/>
          <w:vAlign w:val="center"/>
        </w:tcPr>
        <w:p w14:paraId="54BCA386" w14:textId="633D860A" w:rsidR="00EE49E8" w:rsidRDefault="00EE49E8" w:rsidP="00EE49E8">
          <w:pPr>
            <w:pStyle w:val="Header"/>
            <w:jc w:val="left"/>
            <w:rPr>
              <w:noProof/>
            </w:rPr>
          </w:pPr>
        </w:p>
      </w:tc>
      <w:tc>
        <w:tcPr>
          <w:tcW w:w="8261" w:type="dxa"/>
        </w:tcPr>
        <w:p w14:paraId="63DA38B3" w14:textId="77777777" w:rsidR="00EE49E8" w:rsidRPr="00E06FD5" w:rsidRDefault="00EE49E8" w:rsidP="00AC30A5">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00A52C84" w:rsidRPr="00623AE3">
            <w:rPr>
              <w:bCs/>
            </w:rPr>
            <w:t>/</w:t>
          </w:r>
          <w:r w:rsidR="00AC30A5" w:rsidRPr="00F93EB0">
            <w:rPr>
              <w:bCs/>
            </w:rPr>
            <w:t>10</w:t>
          </w:r>
          <w:r>
            <w:rPr>
              <w:bCs/>
            </w:rPr>
            <w:tab/>
          </w:r>
          <w:r w:rsidR="00275CBF">
            <w:fldChar w:fldCharType="begin"/>
          </w:r>
          <w:r>
            <w:instrText>PAGE</w:instrText>
          </w:r>
          <w:r w:rsidR="00275CBF">
            <w:fldChar w:fldCharType="separate"/>
          </w:r>
          <w:r w:rsidR="00CC3D47">
            <w:rPr>
              <w:noProof/>
            </w:rPr>
            <w:t>3</w:t>
          </w:r>
          <w:r w:rsidR="00275CBF">
            <w:rPr>
              <w:noProof/>
            </w:rPr>
            <w:fldChar w:fldCharType="end"/>
          </w:r>
        </w:p>
      </w:tc>
    </w:tr>
  </w:tbl>
  <w:p w14:paraId="2774175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03583339" w14:textId="77777777" w:rsidTr="00A52C84">
      <w:trPr>
        <w:jc w:val="center"/>
      </w:trPr>
      <w:tc>
        <w:tcPr>
          <w:tcW w:w="3107" w:type="dxa"/>
          <w:vAlign w:val="center"/>
        </w:tcPr>
        <w:p w14:paraId="6D910F7F" w14:textId="77777777" w:rsidR="00EE49E8" w:rsidRDefault="00A52C84" w:rsidP="00EE49E8">
          <w:pPr>
            <w:pStyle w:val="Header"/>
            <w:jc w:val="left"/>
            <w:rPr>
              <w:noProof/>
            </w:rPr>
          </w:pPr>
          <w:r w:rsidRPr="00293B38">
            <w:rPr>
              <w:color w:val="0070C0"/>
            </w:rPr>
            <w:t>https://council.itu.int/working-groups</w:t>
          </w:r>
        </w:p>
      </w:tc>
      <w:tc>
        <w:tcPr>
          <w:tcW w:w="6957" w:type="dxa"/>
        </w:tcPr>
        <w:p w14:paraId="710C63A9" w14:textId="77777777" w:rsidR="00EE49E8" w:rsidRPr="00E06FD5" w:rsidRDefault="00EE49E8" w:rsidP="00AC30A5">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Pr="00F93EB0">
            <w:rPr>
              <w:bCs/>
            </w:rPr>
            <w:t>/</w:t>
          </w:r>
          <w:r w:rsidR="00AC30A5" w:rsidRPr="00F93EB0">
            <w:rPr>
              <w:bCs/>
            </w:rPr>
            <w:t>10</w:t>
          </w:r>
          <w:r>
            <w:rPr>
              <w:bCs/>
            </w:rPr>
            <w:tab/>
          </w:r>
          <w:r w:rsidR="00275CBF">
            <w:fldChar w:fldCharType="begin"/>
          </w:r>
          <w:r>
            <w:instrText>PAGE</w:instrText>
          </w:r>
          <w:r w:rsidR="00275CBF">
            <w:fldChar w:fldCharType="separate"/>
          </w:r>
          <w:r w:rsidR="00CC3D47">
            <w:rPr>
              <w:noProof/>
            </w:rPr>
            <w:t>1</w:t>
          </w:r>
          <w:r w:rsidR="00275CBF">
            <w:rPr>
              <w:noProof/>
            </w:rPr>
            <w:fldChar w:fldCharType="end"/>
          </w:r>
        </w:p>
      </w:tc>
    </w:tr>
  </w:tbl>
  <w:p w14:paraId="69B1C9AD"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44CD4" w14:textId="77777777" w:rsidR="00C258FB" w:rsidRDefault="00C258FB">
      <w:r>
        <w:t>____________________</w:t>
      </w:r>
    </w:p>
  </w:footnote>
  <w:footnote w:type="continuationSeparator" w:id="0">
    <w:p w14:paraId="389CBF94" w14:textId="77777777" w:rsidR="00C258FB" w:rsidRDefault="00C258FB">
      <w:r>
        <w:continuationSeparator/>
      </w:r>
    </w:p>
  </w:footnote>
  <w:footnote w:id="1">
    <w:p w14:paraId="59544ADA" w14:textId="77777777" w:rsidR="009A3498" w:rsidRPr="009A3498" w:rsidRDefault="009A3498">
      <w:pPr>
        <w:pStyle w:val="FootnoteText"/>
        <w:rPr>
          <w:lang w:val="en-US"/>
        </w:rPr>
      </w:pPr>
      <w:r>
        <w:rPr>
          <w:rStyle w:val="FootnoteReference"/>
        </w:rPr>
        <w:footnoteRef/>
      </w:r>
      <w:r>
        <w:t xml:space="preserve"> </w:t>
      </w:r>
      <w:hyperlink r:id="rId1" w:history="1">
        <w:r w:rsidRPr="00A50BB9">
          <w:rPr>
            <w:rStyle w:val="Hyperlink"/>
          </w:rPr>
          <w:t>https://www.newyorkconvention.org/</w:t>
        </w:r>
      </w:hyperlink>
      <w:r>
        <w:t xml:space="preserve"> </w:t>
      </w:r>
    </w:p>
  </w:footnote>
  <w:footnote w:id="2">
    <w:p w14:paraId="11C87127" w14:textId="77777777" w:rsidR="009A3498" w:rsidRPr="009A3498" w:rsidRDefault="009A3498">
      <w:pPr>
        <w:pStyle w:val="FootnoteText"/>
        <w:rPr>
          <w:lang w:val="en-US"/>
        </w:rPr>
      </w:pPr>
      <w:r>
        <w:rPr>
          <w:rStyle w:val="FootnoteReference"/>
        </w:rPr>
        <w:footnoteRef/>
      </w:r>
      <w:r>
        <w:t xml:space="preserve"> </w:t>
      </w:r>
      <w:hyperlink r:id="rId2" w:history="1">
        <w:r w:rsidRPr="00A50BB9">
          <w:rPr>
            <w:rStyle w:val="Hyperlink"/>
          </w:rPr>
          <w:t>https://uncitral.un.org/en/texts/salegoods/conventions/sale_of_goods/cisg</w:t>
        </w:r>
      </w:hyperlink>
      <w:r>
        <w:t xml:space="preserve"> </w:t>
      </w:r>
    </w:p>
  </w:footnote>
  <w:footnote w:id="3">
    <w:p w14:paraId="51A9A47B" w14:textId="77777777" w:rsidR="009A3498" w:rsidRPr="009A3498" w:rsidRDefault="009A3498">
      <w:pPr>
        <w:pStyle w:val="FootnoteText"/>
        <w:rPr>
          <w:lang w:val="en-US"/>
        </w:rPr>
      </w:pPr>
      <w:r>
        <w:rPr>
          <w:rStyle w:val="FootnoteReference"/>
        </w:rPr>
        <w:footnoteRef/>
      </w:r>
      <w:r>
        <w:t xml:space="preserve"> </w:t>
      </w:r>
      <w:hyperlink r:id="rId3" w:history="1">
        <w:r w:rsidRPr="00A50BB9">
          <w:rPr>
            <w:rStyle w:val="Hyperlink"/>
          </w:rPr>
          <w:t>https://iccwbo.org/dispute-resolution/dispute-resolution-services/arbitration/rules-procedure/arbitration-clause/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29943519" w14:textId="77777777" w:rsidTr="00F74694">
      <w:trPr>
        <w:trHeight w:val="1304"/>
        <w:jc w:val="center"/>
      </w:trPr>
      <w:tc>
        <w:tcPr>
          <w:tcW w:w="6546" w:type="dxa"/>
        </w:tcPr>
        <w:p w14:paraId="767CD1BD" w14:textId="6FB9C3E8" w:rsidR="00AD3606" w:rsidRPr="009621F8" w:rsidRDefault="00F93EB0" w:rsidP="00130599">
          <w:pPr>
            <w:pStyle w:val="Header"/>
            <w:jc w:val="left"/>
            <w:rPr>
              <w:rFonts w:ascii="Arial" w:hAnsi="Arial" w:cs="Arial"/>
              <w:b/>
              <w:bCs/>
              <w:color w:val="009CD6"/>
              <w:sz w:val="36"/>
              <w:szCs w:val="36"/>
            </w:rPr>
          </w:pPr>
          <w:bookmarkStart w:id="12"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485299AF" wp14:editId="3ADA9CAF">
                    <wp:simplePos x="0" y="0"/>
                    <wp:positionH relativeFrom="column">
                      <wp:posOffset>570230</wp:posOffset>
                    </wp:positionH>
                    <wp:positionV relativeFrom="paragraph">
                      <wp:posOffset>63500</wp:posOffset>
                    </wp:positionV>
                    <wp:extent cx="1652905" cy="541020"/>
                    <wp:effectExtent l="0" t="0" r="0" b="0"/>
                    <wp:wrapNone/>
                    <wp:docPr id="110601139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F3B71" id="Rectangle 3"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AD3606">
            <w:rPr>
              <w:noProof/>
              <w:lang w:val="en-US"/>
            </w:rPr>
            <w:drawing>
              <wp:inline distT="0" distB="0" distL="0" distR="0" wp14:anchorId="23DEAD36" wp14:editId="30A7B3E7">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87452F" w14:textId="77777777" w:rsidR="00AD3606" w:rsidRDefault="00AD3606" w:rsidP="00AD3606">
          <w:pPr>
            <w:pStyle w:val="Header"/>
            <w:jc w:val="right"/>
            <w:rPr>
              <w:rFonts w:ascii="Arial" w:hAnsi="Arial" w:cs="Arial"/>
              <w:b/>
              <w:bCs/>
              <w:color w:val="009CD6"/>
              <w:szCs w:val="18"/>
            </w:rPr>
          </w:pPr>
        </w:p>
        <w:p w14:paraId="3975E9ED" w14:textId="77777777" w:rsidR="00AD3606" w:rsidRDefault="00AD3606" w:rsidP="00AD3606">
          <w:pPr>
            <w:pStyle w:val="Header"/>
            <w:jc w:val="right"/>
            <w:rPr>
              <w:rFonts w:ascii="Arial" w:hAnsi="Arial" w:cs="Arial"/>
              <w:b/>
              <w:bCs/>
              <w:color w:val="009CD6"/>
              <w:szCs w:val="18"/>
            </w:rPr>
          </w:pPr>
        </w:p>
        <w:p w14:paraId="7B9BF85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35C5B8CE" w14:textId="66F4FC28" w:rsidR="00AD3606" w:rsidRDefault="00F93EB0">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AD831B" wp14:editId="332D2BC5">
              <wp:simplePos x="0" y="0"/>
              <wp:positionH relativeFrom="page">
                <wp:posOffset>14605</wp:posOffset>
              </wp:positionH>
              <wp:positionV relativeFrom="topMargin">
                <wp:posOffset>555625</wp:posOffset>
              </wp:positionV>
              <wp:extent cx="93345" cy="431800"/>
              <wp:effectExtent l="0" t="0" r="0" b="0"/>
              <wp:wrapNone/>
              <wp:docPr id="39810418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CC734" id="Rectangle 2"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178B62A6" wp14:editId="625F4639">
              <wp:simplePos x="0" y="0"/>
              <wp:positionH relativeFrom="column">
                <wp:posOffset>306705</wp:posOffset>
              </wp:positionH>
              <wp:positionV relativeFrom="paragraph">
                <wp:posOffset>-835660</wp:posOffset>
              </wp:positionV>
              <wp:extent cx="3999230" cy="618490"/>
              <wp:effectExtent l="0" t="0" r="0" b="0"/>
              <wp:wrapNone/>
              <wp:docPr id="7296416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14:paraId="553F9226"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78B62A6" id="_x0000_t202" coordsize="21600,21600" o:spt="202" path="m,l,21600r21600,l21600,xe">
              <v:stroke joinstyle="miter"/>
              <v:path gradientshapeok="t" o:connecttype="rect"/>
            </v:shapetype>
            <v:shape id="Text Box 1" o:spid="_x0000_s1026" type="#_x0000_t202" style="position:absolute;left:0;text-align:left;margin-left:24.15pt;margin-top:-65.8pt;width:314.9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14:paraId="553F9226"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B12C4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37A270DA"/>
    <w:multiLevelType w:val="hybridMultilevel"/>
    <w:tmpl w:val="D12AD46C"/>
    <w:lvl w:ilvl="0" w:tplc="4CBA0A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763511"/>
    <w:multiLevelType w:val="hybridMultilevel"/>
    <w:tmpl w:val="05E2F4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B10E7A"/>
    <w:multiLevelType w:val="hybridMultilevel"/>
    <w:tmpl w:val="19CE7B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D72258"/>
    <w:multiLevelType w:val="hybridMultilevel"/>
    <w:tmpl w:val="74F2E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AEB01D9"/>
    <w:multiLevelType w:val="hybridMultilevel"/>
    <w:tmpl w:val="F43EA5AA"/>
    <w:lvl w:ilvl="0" w:tplc="B84E13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1070516">
    <w:abstractNumId w:val="0"/>
  </w:num>
  <w:num w:numId="2" w16cid:durableId="1134299675">
    <w:abstractNumId w:val="5"/>
  </w:num>
  <w:num w:numId="3" w16cid:durableId="1557542157">
    <w:abstractNumId w:val="6"/>
  </w:num>
  <w:num w:numId="4" w16cid:durableId="1939023939">
    <w:abstractNumId w:val="2"/>
  </w:num>
  <w:num w:numId="5" w16cid:durableId="140005488">
    <w:abstractNumId w:val="3"/>
  </w:num>
  <w:num w:numId="6" w16cid:durableId="1700399535">
    <w:abstractNumId w:val="4"/>
  </w:num>
  <w:num w:numId="7" w16cid:durableId="239606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334F2"/>
    <w:rsid w:val="00063016"/>
    <w:rsid w:val="00066795"/>
    <w:rsid w:val="00076AF6"/>
    <w:rsid w:val="00085CF2"/>
    <w:rsid w:val="000B1705"/>
    <w:rsid w:val="000D75B2"/>
    <w:rsid w:val="000E4EE7"/>
    <w:rsid w:val="001121F5"/>
    <w:rsid w:val="00130599"/>
    <w:rsid w:val="001400DC"/>
    <w:rsid w:val="00140CE1"/>
    <w:rsid w:val="001569E7"/>
    <w:rsid w:val="001648F9"/>
    <w:rsid w:val="00170B8D"/>
    <w:rsid w:val="0017539C"/>
    <w:rsid w:val="00175AC2"/>
    <w:rsid w:val="0017609F"/>
    <w:rsid w:val="001A7D1D"/>
    <w:rsid w:val="001B51DD"/>
    <w:rsid w:val="001C628E"/>
    <w:rsid w:val="001E0F7B"/>
    <w:rsid w:val="002119FD"/>
    <w:rsid w:val="002130E0"/>
    <w:rsid w:val="00244F7F"/>
    <w:rsid w:val="00257973"/>
    <w:rsid w:val="00264425"/>
    <w:rsid w:val="00265875"/>
    <w:rsid w:val="0027303B"/>
    <w:rsid w:val="00275CBF"/>
    <w:rsid w:val="0028109B"/>
    <w:rsid w:val="00291CBF"/>
    <w:rsid w:val="00293B38"/>
    <w:rsid w:val="002A2188"/>
    <w:rsid w:val="002A7B2C"/>
    <w:rsid w:val="002B1F58"/>
    <w:rsid w:val="002C1C7A"/>
    <w:rsid w:val="002C54E2"/>
    <w:rsid w:val="002F6AF6"/>
    <w:rsid w:val="002F7555"/>
    <w:rsid w:val="0030160F"/>
    <w:rsid w:val="00320223"/>
    <w:rsid w:val="00322D0D"/>
    <w:rsid w:val="003425F0"/>
    <w:rsid w:val="00361465"/>
    <w:rsid w:val="003877F5"/>
    <w:rsid w:val="003942D4"/>
    <w:rsid w:val="003958A8"/>
    <w:rsid w:val="003C2533"/>
    <w:rsid w:val="003D5A7F"/>
    <w:rsid w:val="004016E2"/>
    <w:rsid w:val="0040435A"/>
    <w:rsid w:val="00405C77"/>
    <w:rsid w:val="00416A24"/>
    <w:rsid w:val="00431D9E"/>
    <w:rsid w:val="00433CE8"/>
    <w:rsid w:val="00434A5C"/>
    <w:rsid w:val="004544D9"/>
    <w:rsid w:val="00467314"/>
    <w:rsid w:val="00472BAD"/>
    <w:rsid w:val="00484009"/>
    <w:rsid w:val="00490E72"/>
    <w:rsid w:val="00491157"/>
    <w:rsid w:val="004921C8"/>
    <w:rsid w:val="00495B0B"/>
    <w:rsid w:val="004A1B8B"/>
    <w:rsid w:val="004D1851"/>
    <w:rsid w:val="004D599D"/>
    <w:rsid w:val="004D648B"/>
    <w:rsid w:val="004E2EA5"/>
    <w:rsid w:val="004E31A8"/>
    <w:rsid w:val="004E3AEB"/>
    <w:rsid w:val="0050223C"/>
    <w:rsid w:val="0051705A"/>
    <w:rsid w:val="00520AC3"/>
    <w:rsid w:val="0052249C"/>
    <w:rsid w:val="005243FF"/>
    <w:rsid w:val="0053640F"/>
    <w:rsid w:val="00564FBC"/>
    <w:rsid w:val="005800BC"/>
    <w:rsid w:val="00582442"/>
    <w:rsid w:val="005A335D"/>
    <w:rsid w:val="005D0B88"/>
    <w:rsid w:val="005E2BD5"/>
    <w:rsid w:val="005F3269"/>
    <w:rsid w:val="006035C0"/>
    <w:rsid w:val="00616C10"/>
    <w:rsid w:val="00623AE3"/>
    <w:rsid w:val="00636853"/>
    <w:rsid w:val="0064737F"/>
    <w:rsid w:val="006535F1"/>
    <w:rsid w:val="0065557D"/>
    <w:rsid w:val="00660D50"/>
    <w:rsid w:val="00662984"/>
    <w:rsid w:val="006638C3"/>
    <w:rsid w:val="006716BB"/>
    <w:rsid w:val="006819A4"/>
    <w:rsid w:val="006B1859"/>
    <w:rsid w:val="006B6680"/>
    <w:rsid w:val="006B6DCC"/>
    <w:rsid w:val="006C11BB"/>
    <w:rsid w:val="00702DEF"/>
    <w:rsid w:val="00706861"/>
    <w:rsid w:val="00734FAC"/>
    <w:rsid w:val="00745D44"/>
    <w:rsid w:val="0075051B"/>
    <w:rsid w:val="00775655"/>
    <w:rsid w:val="00777028"/>
    <w:rsid w:val="00793188"/>
    <w:rsid w:val="00794D34"/>
    <w:rsid w:val="00794DFC"/>
    <w:rsid w:val="007C01FB"/>
    <w:rsid w:val="007F268B"/>
    <w:rsid w:val="007F6EFC"/>
    <w:rsid w:val="00813E5E"/>
    <w:rsid w:val="008169FA"/>
    <w:rsid w:val="0083581B"/>
    <w:rsid w:val="00847E0C"/>
    <w:rsid w:val="00863874"/>
    <w:rsid w:val="00864283"/>
    <w:rsid w:val="00864AFF"/>
    <w:rsid w:val="00865925"/>
    <w:rsid w:val="0088630E"/>
    <w:rsid w:val="008B056B"/>
    <w:rsid w:val="008B4A6A"/>
    <w:rsid w:val="008B56F6"/>
    <w:rsid w:val="008C7E27"/>
    <w:rsid w:val="008D146D"/>
    <w:rsid w:val="008F7448"/>
    <w:rsid w:val="0090147A"/>
    <w:rsid w:val="009173EF"/>
    <w:rsid w:val="00932906"/>
    <w:rsid w:val="00950BC7"/>
    <w:rsid w:val="00961B0B"/>
    <w:rsid w:val="00962D33"/>
    <w:rsid w:val="009A3498"/>
    <w:rsid w:val="009B38C3"/>
    <w:rsid w:val="009E17BD"/>
    <w:rsid w:val="009E485A"/>
    <w:rsid w:val="00A028B5"/>
    <w:rsid w:val="00A04CEC"/>
    <w:rsid w:val="00A27F92"/>
    <w:rsid w:val="00A32257"/>
    <w:rsid w:val="00A36D20"/>
    <w:rsid w:val="00A377D7"/>
    <w:rsid w:val="00A514A4"/>
    <w:rsid w:val="00A52C84"/>
    <w:rsid w:val="00A55622"/>
    <w:rsid w:val="00A83502"/>
    <w:rsid w:val="00AC30A5"/>
    <w:rsid w:val="00AD15B3"/>
    <w:rsid w:val="00AD3606"/>
    <w:rsid w:val="00AD4A3D"/>
    <w:rsid w:val="00AF1EE7"/>
    <w:rsid w:val="00AF29E2"/>
    <w:rsid w:val="00AF6E49"/>
    <w:rsid w:val="00B04A67"/>
    <w:rsid w:val="00B0583C"/>
    <w:rsid w:val="00B40A81"/>
    <w:rsid w:val="00B4436B"/>
    <w:rsid w:val="00B44910"/>
    <w:rsid w:val="00B72267"/>
    <w:rsid w:val="00B76EB6"/>
    <w:rsid w:val="00B7737B"/>
    <w:rsid w:val="00B824C8"/>
    <w:rsid w:val="00B84B9D"/>
    <w:rsid w:val="00B90C7D"/>
    <w:rsid w:val="00BC251A"/>
    <w:rsid w:val="00BD032B"/>
    <w:rsid w:val="00BE2640"/>
    <w:rsid w:val="00BF0749"/>
    <w:rsid w:val="00BF7279"/>
    <w:rsid w:val="00C01189"/>
    <w:rsid w:val="00C258FB"/>
    <w:rsid w:val="00C33177"/>
    <w:rsid w:val="00C374DE"/>
    <w:rsid w:val="00C47AD4"/>
    <w:rsid w:val="00C52D81"/>
    <w:rsid w:val="00C55198"/>
    <w:rsid w:val="00C67880"/>
    <w:rsid w:val="00CA6393"/>
    <w:rsid w:val="00CB18FF"/>
    <w:rsid w:val="00CC3D47"/>
    <w:rsid w:val="00CD0C08"/>
    <w:rsid w:val="00CD743D"/>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15C3A"/>
    <w:rsid w:val="00E227F3"/>
    <w:rsid w:val="00E32C21"/>
    <w:rsid w:val="00E545C6"/>
    <w:rsid w:val="00E60F04"/>
    <w:rsid w:val="00E65B24"/>
    <w:rsid w:val="00E854E4"/>
    <w:rsid w:val="00E86DBF"/>
    <w:rsid w:val="00EB0D6F"/>
    <w:rsid w:val="00EB2232"/>
    <w:rsid w:val="00EC5337"/>
    <w:rsid w:val="00ED398B"/>
    <w:rsid w:val="00EE49E8"/>
    <w:rsid w:val="00F16BAB"/>
    <w:rsid w:val="00F2150A"/>
    <w:rsid w:val="00F231D8"/>
    <w:rsid w:val="00F23745"/>
    <w:rsid w:val="00F23870"/>
    <w:rsid w:val="00F44C00"/>
    <w:rsid w:val="00F45D2C"/>
    <w:rsid w:val="00F46C5F"/>
    <w:rsid w:val="00F632C0"/>
    <w:rsid w:val="00F74694"/>
    <w:rsid w:val="00F93EB0"/>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C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3425F0"/>
    <w:pPr>
      <w:ind w:left="720"/>
      <w:contextualSpacing/>
    </w:pPr>
  </w:style>
  <w:style w:type="character" w:customStyle="1" w:styleId="UnresolvedMention1">
    <w:name w:val="Unresolved Mention1"/>
    <w:basedOn w:val="DefaultParagraphFont"/>
    <w:uiPriority w:val="99"/>
    <w:semiHidden/>
    <w:unhideWhenUsed/>
    <w:rsid w:val="00536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51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EGITRS1-C-0001/en" TargetMode="External"/><Relationship Id="rId13" Type="http://schemas.openxmlformats.org/officeDocument/2006/relationships/hyperlink" Target="https://www.itu.int/md/S23-EGITRS1-C-0002/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3-EGITRS1-C-0006/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23-EGITRS1-C-0002/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EGITRS1-C-0005/en" TargetMode="External"/><Relationship Id="rId5" Type="http://schemas.openxmlformats.org/officeDocument/2006/relationships/webSettings" Target="webSettings.xml"/><Relationship Id="rId15" Type="http://schemas.openxmlformats.org/officeDocument/2006/relationships/hyperlink" Target="https://www.itu.int/md/S23-EGITRS1-C-0006/en" TargetMode="External"/><Relationship Id="rId10" Type="http://schemas.openxmlformats.org/officeDocument/2006/relationships/hyperlink" Target="https://www.itu.int/md/S23-EGITRS1-C-0006/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3-EGITRS1-C-0005/en" TargetMode="External"/><Relationship Id="rId14" Type="http://schemas.openxmlformats.org/officeDocument/2006/relationships/hyperlink" Target="https://www.itu.int/md/S23-EGITRS1-C-0006/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ccwbo.org/dispute-resolution/dispute-resolution-services/arbitration/rules-procedure/arbitration-clause/" TargetMode="External"/><Relationship Id="rId2" Type="http://schemas.openxmlformats.org/officeDocument/2006/relationships/hyperlink" Target="https://uncitral.un.org/en/texts/salegoods/conventions/sale_of_goods/cisg" TargetMode="External"/><Relationship Id="rId1" Type="http://schemas.openxmlformats.org/officeDocument/2006/relationships/hyperlink" Target="https://www.newyorkconven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62632-094B-4EF2-9D5A-A2C196FD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Contribution from Hill: Proposal for working methods and work plan of EG-ITRs</vt:lpstr>
    </vt:vector>
  </TitlesOfParts>
  <Manager/>
  <Company/>
  <LinksUpToDate>false</LinksUpToDate>
  <CharactersWithSpaces>5721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Hill: Proposal for working methods and work plan of EG-ITRs</dc:title>
  <dc:subject>Expert Group on the International Telecommunication Regulations</dc:subject>
  <dc:creator/>
  <cp:keywords>EG-ITRs, C23, Council-23, C23-ADD</cp:keywords>
  <dc:description/>
  <cp:lastModifiedBy/>
  <cp:revision>1</cp:revision>
  <dcterms:created xsi:type="dcterms:W3CDTF">2023-10-06T13:13:00Z</dcterms:created>
  <dcterms:modified xsi:type="dcterms:W3CDTF">2023-10-06T13:13:00Z</dcterms:modified>
  <cp:category>Conference document</cp:category>
</cp:coreProperties>
</file>