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8FEF" w14:textId="77777777" w:rsidR="00E116B9" w:rsidRDefault="00E116B9">
      <w:pPr>
        <w:widowControl w:val="0"/>
        <w:pBdr>
          <w:top w:val="nil"/>
          <w:left w:val="nil"/>
          <w:bottom w:val="nil"/>
          <w:right w:val="nil"/>
          <w:between w:val="nil"/>
        </w:pBdr>
        <w:spacing w:before="0" w:line="276" w:lineRule="auto"/>
        <w:rPr>
          <w:rFonts w:ascii="Arial" w:eastAsia="Arial" w:hAnsi="Arial" w:cs="Arial"/>
          <w:color w:val="000000"/>
          <w:sz w:val="22"/>
          <w:szCs w:val="22"/>
        </w:rPr>
      </w:pPr>
    </w:p>
    <w:tbl>
      <w:tblPr>
        <w:tblStyle w:val="a"/>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116B9" w14:paraId="756C4469" w14:textId="77777777">
        <w:trPr>
          <w:cantSplit/>
          <w:trHeight w:val="23"/>
        </w:trPr>
        <w:tc>
          <w:tcPr>
            <w:tcW w:w="3969" w:type="dxa"/>
            <w:vMerge w:val="restart"/>
            <w:tcMar>
              <w:left w:w="0" w:type="dxa"/>
            </w:tcMar>
          </w:tcPr>
          <w:p w14:paraId="5F7B9B90" w14:textId="77777777" w:rsidR="00E116B9" w:rsidRDefault="00E116B9">
            <w:pPr>
              <w:tabs>
                <w:tab w:val="left" w:pos="851"/>
              </w:tabs>
              <w:spacing w:before="0"/>
              <w:rPr>
                <w:b/>
              </w:rPr>
            </w:pPr>
            <w:bookmarkStart w:id="0" w:name="bookmark=id.30j0zll" w:colFirst="0" w:colLast="0"/>
            <w:bookmarkStart w:id="1" w:name="bookmark=id.gjdgxs" w:colFirst="0" w:colLast="0"/>
            <w:bookmarkStart w:id="2" w:name="_heading=h.1fob9te" w:colFirst="0" w:colLast="0"/>
            <w:bookmarkEnd w:id="0"/>
            <w:bookmarkEnd w:id="1"/>
            <w:bookmarkEnd w:id="2"/>
          </w:p>
        </w:tc>
        <w:tc>
          <w:tcPr>
            <w:tcW w:w="5245" w:type="dxa"/>
          </w:tcPr>
          <w:p w14:paraId="240BD80E" w14:textId="47AD111E" w:rsidR="00E116B9" w:rsidRDefault="008E2239">
            <w:pPr>
              <w:tabs>
                <w:tab w:val="left" w:pos="851"/>
              </w:tabs>
              <w:spacing w:before="0"/>
              <w:jc w:val="right"/>
              <w:rPr>
                <w:b/>
              </w:rPr>
            </w:pPr>
            <w:r>
              <w:rPr>
                <w:b/>
              </w:rPr>
              <w:t>Document CWG-Internet-18/</w:t>
            </w:r>
            <w:r w:rsidR="00755CA7">
              <w:rPr>
                <w:b/>
              </w:rPr>
              <w:t>4</w:t>
            </w:r>
          </w:p>
        </w:tc>
      </w:tr>
      <w:tr w:rsidR="00E116B9" w14:paraId="72F27201" w14:textId="77777777">
        <w:trPr>
          <w:cantSplit/>
        </w:trPr>
        <w:tc>
          <w:tcPr>
            <w:tcW w:w="3969" w:type="dxa"/>
            <w:vMerge/>
            <w:tcMar>
              <w:left w:w="0" w:type="dxa"/>
            </w:tcMar>
          </w:tcPr>
          <w:p w14:paraId="55895A3E" w14:textId="77777777" w:rsidR="00E116B9" w:rsidRDefault="00E116B9">
            <w:pPr>
              <w:widowControl w:val="0"/>
              <w:pBdr>
                <w:top w:val="nil"/>
                <w:left w:val="nil"/>
                <w:bottom w:val="nil"/>
                <w:right w:val="nil"/>
                <w:between w:val="nil"/>
              </w:pBdr>
              <w:spacing w:before="0" w:line="276" w:lineRule="auto"/>
              <w:rPr>
                <w:b/>
              </w:rPr>
            </w:pPr>
          </w:p>
        </w:tc>
        <w:tc>
          <w:tcPr>
            <w:tcW w:w="5245" w:type="dxa"/>
          </w:tcPr>
          <w:p w14:paraId="1157DE28" w14:textId="0ADB0B1A" w:rsidR="00E116B9" w:rsidRDefault="00091B8A">
            <w:pPr>
              <w:tabs>
                <w:tab w:val="left" w:pos="851"/>
              </w:tabs>
              <w:spacing w:before="0"/>
              <w:jc w:val="right"/>
              <w:rPr>
                <w:b/>
              </w:rPr>
            </w:pPr>
            <w:r>
              <w:rPr>
                <w:b/>
              </w:rPr>
              <w:t>4</w:t>
            </w:r>
            <w:r w:rsidR="00755CA7">
              <w:rPr>
                <w:b/>
              </w:rPr>
              <w:t xml:space="preserve"> October</w:t>
            </w:r>
            <w:r w:rsidR="008E2239">
              <w:rPr>
                <w:b/>
              </w:rPr>
              <w:t xml:space="preserve"> 2023</w:t>
            </w:r>
          </w:p>
        </w:tc>
      </w:tr>
      <w:tr w:rsidR="00E116B9" w14:paraId="03C419E0" w14:textId="77777777">
        <w:trPr>
          <w:cantSplit/>
          <w:trHeight w:val="23"/>
        </w:trPr>
        <w:tc>
          <w:tcPr>
            <w:tcW w:w="3969" w:type="dxa"/>
            <w:vMerge/>
            <w:tcMar>
              <w:left w:w="0" w:type="dxa"/>
            </w:tcMar>
          </w:tcPr>
          <w:p w14:paraId="5A0C8985" w14:textId="77777777" w:rsidR="00E116B9" w:rsidRDefault="00E116B9">
            <w:pPr>
              <w:widowControl w:val="0"/>
              <w:pBdr>
                <w:top w:val="nil"/>
                <w:left w:val="nil"/>
                <w:bottom w:val="nil"/>
                <w:right w:val="nil"/>
                <w:between w:val="nil"/>
              </w:pBdr>
              <w:spacing w:before="0" w:line="276" w:lineRule="auto"/>
              <w:rPr>
                <w:b/>
              </w:rPr>
            </w:pPr>
          </w:p>
        </w:tc>
        <w:tc>
          <w:tcPr>
            <w:tcW w:w="5245" w:type="dxa"/>
          </w:tcPr>
          <w:p w14:paraId="2E04A895" w14:textId="77777777" w:rsidR="00E116B9" w:rsidRDefault="008E2239">
            <w:pPr>
              <w:tabs>
                <w:tab w:val="left" w:pos="851"/>
              </w:tabs>
              <w:spacing w:before="0"/>
              <w:jc w:val="right"/>
              <w:rPr>
                <w:b/>
              </w:rPr>
            </w:pPr>
            <w:r>
              <w:rPr>
                <w:b/>
              </w:rPr>
              <w:t>English only</w:t>
            </w:r>
          </w:p>
        </w:tc>
      </w:tr>
      <w:tr w:rsidR="00E116B9" w14:paraId="79CA8D67" w14:textId="77777777">
        <w:trPr>
          <w:cantSplit/>
          <w:trHeight w:val="23"/>
        </w:trPr>
        <w:tc>
          <w:tcPr>
            <w:tcW w:w="3969" w:type="dxa"/>
          </w:tcPr>
          <w:p w14:paraId="15214D44" w14:textId="77777777" w:rsidR="00E116B9" w:rsidRDefault="00E116B9">
            <w:pPr>
              <w:tabs>
                <w:tab w:val="left" w:pos="851"/>
              </w:tabs>
              <w:rPr>
                <w:b/>
              </w:rPr>
            </w:pPr>
          </w:p>
        </w:tc>
        <w:tc>
          <w:tcPr>
            <w:tcW w:w="5245" w:type="dxa"/>
          </w:tcPr>
          <w:p w14:paraId="399DE798" w14:textId="77777777" w:rsidR="00E116B9" w:rsidRDefault="00E116B9">
            <w:pPr>
              <w:tabs>
                <w:tab w:val="left" w:pos="851"/>
              </w:tabs>
              <w:spacing w:before="0"/>
              <w:jc w:val="right"/>
              <w:rPr>
                <w:b/>
              </w:rPr>
            </w:pPr>
          </w:p>
        </w:tc>
      </w:tr>
      <w:tr w:rsidR="00E116B9" w14:paraId="0A6809B0" w14:textId="77777777">
        <w:trPr>
          <w:cantSplit/>
        </w:trPr>
        <w:tc>
          <w:tcPr>
            <w:tcW w:w="9214" w:type="dxa"/>
            <w:gridSpan w:val="2"/>
            <w:tcMar>
              <w:left w:w="0" w:type="dxa"/>
            </w:tcMar>
          </w:tcPr>
          <w:p w14:paraId="6A9FAACA" w14:textId="61EA909C" w:rsidR="00E116B9" w:rsidRDefault="008E2239">
            <w:pPr>
              <w:pBdr>
                <w:top w:val="nil"/>
                <w:left w:val="nil"/>
                <w:bottom w:val="nil"/>
                <w:right w:val="nil"/>
                <w:between w:val="nil"/>
              </w:pBdr>
              <w:spacing w:before="840"/>
              <w:rPr>
                <w:b/>
                <w:color w:val="000000"/>
                <w:sz w:val="34"/>
                <w:szCs w:val="34"/>
              </w:rPr>
            </w:pPr>
            <w:bookmarkStart w:id="3" w:name="bookmark=id.3znysh7" w:colFirst="0" w:colLast="0"/>
            <w:bookmarkEnd w:id="3"/>
            <w:r>
              <w:rPr>
                <w:b/>
                <w:color w:val="000000"/>
                <w:sz w:val="34"/>
                <w:szCs w:val="34"/>
              </w:rPr>
              <w:t xml:space="preserve">Contribution from </w:t>
            </w:r>
            <w:r w:rsidR="00755CA7" w:rsidRPr="00755CA7">
              <w:rPr>
                <w:b/>
                <w:sz w:val="34"/>
                <w:szCs w:val="34"/>
              </w:rPr>
              <w:t>United Kingdom of Great Britain and Northern Ireland</w:t>
            </w:r>
          </w:p>
        </w:tc>
      </w:tr>
      <w:tr w:rsidR="00E116B9" w14:paraId="75B9D495" w14:textId="77777777">
        <w:trPr>
          <w:cantSplit/>
        </w:trPr>
        <w:tc>
          <w:tcPr>
            <w:tcW w:w="9214" w:type="dxa"/>
            <w:gridSpan w:val="2"/>
            <w:tcMar>
              <w:left w:w="0" w:type="dxa"/>
            </w:tcMar>
          </w:tcPr>
          <w:p w14:paraId="5448538B" w14:textId="0E5604E8" w:rsidR="00E116B9" w:rsidRDefault="00755CA7">
            <w:pPr>
              <w:pBdr>
                <w:top w:val="nil"/>
                <w:left w:val="nil"/>
                <w:bottom w:val="nil"/>
                <w:right w:val="nil"/>
                <w:between w:val="nil"/>
              </w:pBdr>
              <w:spacing w:after="160"/>
              <w:rPr>
                <w:sz w:val="34"/>
                <w:szCs w:val="34"/>
              </w:rPr>
            </w:pPr>
            <w:r>
              <w:rPr>
                <w:sz w:val="34"/>
                <w:szCs w:val="34"/>
              </w:rPr>
              <w:t xml:space="preserve">TOPIC FOR CONSULTATION: THE ROLE OF PUBLIC POLICY IN PROMOTING UNIVERSAL ACCEPTANCE </w:t>
            </w:r>
          </w:p>
        </w:tc>
      </w:tr>
      <w:tr w:rsidR="00E116B9" w14:paraId="28854145" w14:textId="77777777">
        <w:trPr>
          <w:cantSplit/>
        </w:trPr>
        <w:tc>
          <w:tcPr>
            <w:tcW w:w="9214" w:type="dxa"/>
            <w:gridSpan w:val="2"/>
            <w:tcBorders>
              <w:top w:val="single" w:sz="4" w:space="0" w:color="000000"/>
              <w:bottom w:val="single" w:sz="4" w:space="0" w:color="000000"/>
            </w:tcBorders>
            <w:tcMar>
              <w:left w:w="0" w:type="dxa"/>
            </w:tcMar>
          </w:tcPr>
          <w:p w14:paraId="751D5734" w14:textId="77777777" w:rsidR="00E116B9" w:rsidRDefault="008E2239">
            <w:pPr>
              <w:spacing w:before="160"/>
              <w:rPr>
                <w:b/>
                <w:sz w:val="26"/>
                <w:szCs w:val="26"/>
              </w:rPr>
            </w:pPr>
            <w:r>
              <w:rPr>
                <w:b/>
                <w:sz w:val="26"/>
                <w:szCs w:val="26"/>
              </w:rPr>
              <w:t>Purpose</w:t>
            </w:r>
          </w:p>
          <w:p w14:paraId="01A7687F" w14:textId="77777777" w:rsidR="00E116B9" w:rsidRDefault="008E2239">
            <w:pPr>
              <w:spacing w:after="240"/>
              <w:rPr>
                <w:sz w:val="26"/>
                <w:szCs w:val="26"/>
              </w:rPr>
            </w:pPr>
            <w:r>
              <w:t>The United Kingdom is pleased to submit this contribution to the Council Working Group (Internet). We welcome the opportunity the Group provides to identify, study and develop international Internet-related public policy issues. For the next open consultation, we invite the Council Working Group to consider the topic:</w:t>
            </w:r>
            <w:r>
              <w:rPr>
                <w:b/>
              </w:rPr>
              <w:t xml:space="preserve"> “The role of public policy in promoting Universal Acceptance.”</w:t>
            </w:r>
          </w:p>
          <w:p w14:paraId="0E607455" w14:textId="77777777" w:rsidR="00E116B9" w:rsidRDefault="008E2239">
            <w:pPr>
              <w:spacing w:before="160"/>
              <w:rPr>
                <w:b/>
                <w:sz w:val="26"/>
                <w:szCs w:val="26"/>
              </w:rPr>
            </w:pPr>
            <w:r>
              <w:rPr>
                <w:b/>
                <w:sz w:val="26"/>
                <w:szCs w:val="26"/>
              </w:rPr>
              <w:t>Action required</w:t>
            </w:r>
          </w:p>
          <w:p w14:paraId="255B8A18" w14:textId="77777777" w:rsidR="00E116B9" w:rsidRDefault="008E2239">
            <w:pPr>
              <w:spacing w:before="160"/>
            </w:pPr>
            <w:r>
              <w:t xml:space="preserve">CWG-Internet is invited to </w:t>
            </w:r>
            <w:r w:rsidRPr="00755CA7">
              <w:rPr>
                <w:b/>
                <w:bCs/>
              </w:rPr>
              <w:t>consider</w:t>
            </w:r>
            <w:r>
              <w:t xml:space="preserve"> the following topic for the next open consultation: </w:t>
            </w:r>
            <w:r>
              <w:rPr>
                <w:b/>
              </w:rPr>
              <w:t>“The role of public policy in promoting Universal Acceptance.”</w:t>
            </w:r>
          </w:p>
          <w:p w14:paraId="43CD75F3" w14:textId="77777777" w:rsidR="00E116B9" w:rsidRDefault="008E2239">
            <w:pPr>
              <w:spacing w:before="160"/>
              <w:rPr>
                <w:smallCaps/>
                <w:sz w:val="22"/>
                <w:szCs w:val="22"/>
              </w:rPr>
            </w:pPr>
            <w:r>
              <w:rPr>
                <w:sz w:val="22"/>
                <w:szCs w:val="22"/>
              </w:rPr>
              <w:t>____________________________________</w:t>
            </w:r>
          </w:p>
          <w:p w14:paraId="3C32C874" w14:textId="77777777" w:rsidR="00E116B9" w:rsidRDefault="008E2239">
            <w:pPr>
              <w:spacing w:before="160"/>
              <w:rPr>
                <w:b/>
                <w:sz w:val="26"/>
                <w:szCs w:val="26"/>
              </w:rPr>
            </w:pPr>
            <w:r>
              <w:rPr>
                <w:b/>
                <w:sz w:val="26"/>
                <w:szCs w:val="26"/>
              </w:rPr>
              <w:t>References</w:t>
            </w:r>
          </w:p>
          <w:p w14:paraId="0340CBC8" w14:textId="77777777" w:rsidR="00E116B9" w:rsidRDefault="00091B8A">
            <w:pPr>
              <w:spacing w:before="160"/>
            </w:pPr>
            <w:hyperlink r:id="rId8">
              <w:r w:rsidR="008E2239">
                <w:rPr>
                  <w:color w:val="1155CC"/>
                  <w:u w:val="single"/>
                </w:rPr>
                <w:t>ITU Statistics</w:t>
              </w:r>
            </w:hyperlink>
            <w:r w:rsidR="008E2239">
              <w:t xml:space="preserve">, </w:t>
            </w:r>
            <w:hyperlink r:id="rId9">
              <w:r w:rsidR="008E2239">
                <w:rPr>
                  <w:color w:val="1155CC"/>
                  <w:u w:val="single"/>
                </w:rPr>
                <w:t>W3Tech Statistics on content languages</w:t>
              </w:r>
            </w:hyperlink>
            <w:r w:rsidR="008E2239">
              <w:t xml:space="preserve">, </w:t>
            </w:r>
            <w:hyperlink r:id="rId10">
              <w:r w:rsidR="008E2239">
                <w:rPr>
                  <w:color w:val="1155CC"/>
                  <w:u w:val="single"/>
                </w:rPr>
                <w:t>Universal Acceptance Steering Group paper: Unleashing the power of all domains</w:t>
              </w:r>
            </w:hyperlink>
            <w:r w:rsidR="008E2239">
              <w:t>.</w:t>
            </w:r>
          </w:p>
          <w:p w14:paraId="67D66FA0" w14:textId="77777777" w:rsidR="00E116B9" w:rsidRDefault="00E116B9">
            <w:pPr>
              <w:spacing w:before="160"/>
            </w:pPr>
          </w:p>
        </w:tc>
      </w:tr>
    </w:tbl>
    <w:p w14:paraId="0F6B27BB" w14:textId="77777777" w:rsidR="00E116B9" w:rsidRDefault="008E2239">
      <w:pPr>
        <w:spacing w:before="0"/>
        <w:rPr>
          <w:b/>
        </w:rPr>
      </w:pPr>
      <w:bookmarkStart w:id="4" w:name="_heading=h.tyjcwt" w:colFirst="0" w:colLast="0"/>
      <w:bookmarkEnd w:id="4"/>
      <w:r>
        <w:br w:type="page"/>
      </w:r>
    </w:p>
    <w:p w14:paraId="1CDFEA08" w14:textId="77777777" w:rsidR="00E116B9" w:rsidRDefault="008E2239">
      <w:pPr>
        <w:spacing w:after="240"/>
        <w:rPr>
          <w:u w:val="single"/>
        </w:rPr>
      </w:pPr>
      <w:r>
        <w:rPr>
          <w:u w:val="single"/>
        </w:rPr>
        <w:lastRenderedPageBreak/>
        <w:t>Universal Acceptance for meaningful connectivity</w:t>
      </w:r>
    </w:p>
    <w:p w14:paraId="5521F81E" w14:textId="77777777" w:rsidR="00E116B9" w:rsidRDefault="008E2239" w:rsidP="00755CA7">
      <w:r>
        <w:t>Universal acceptance of domain names in different scripts is essential if everyone is to be able to have meaningful access to the Internet and enjoy the benefits it brings. While much work has been taken forward by many bodies, such as UNESCO, the ITU, ISOC and ICANN to further multilingualism on the internet, particularly with respect to International Domain Names, there is still work to do. Universal Acceptance is a critical issue and remains a significant challenge for all stakeholders.</w:t>
      </w:r>
    </w:p>
    <w:p w14:paraId="13386E1E" w14:textId="77777777" w:rsidR="00E116B9" w:rsidRDefault="008E2239" w:rsidP="00755CA7">
      <w:pPr>
        <w:rPr>
          <w:color w:val="333333"/>
          <w:highlight w:val="white"/>
        </w:rPr>
      </w:pPr>
      <w:r>
        <w:rPr>
          <w:color w:val="333333"/>
          <w:highlight w:val="white"/>
        </w:rPr>
        <w:t xml:space="preserve">Universal Acceptance enables </w:t>
      </w:r>
      <w:r>
        <w:t>all users to access the Internet though their own scripts and identifiers.</w:t>
      </w:r>
      <w:r>
        <w:rPr>
          <w:color w:val="333333"/>
          <w:highlight w:val="white"/>
        </w:rPr>
        <w:t xml:space="preserve"> It ensures that all domain names, including new (and often longer) Top Level Domains (TLDs) and International Domain Names (IDNs), and email addresses are treated equally and can be used by all Internet-enabled applications, devices, and systems – without this we do not have a truly global Internet.</w:t>
      </w:r>
    </w:p>
    <w:p w14:paraId="76E538DB" w14:textId="77777777" w:rsidR="00E116B9" w:rsidRDefault="008E2239" w:rsidP="00755CA7">
      <w:pPr>
        <w:rPr>
          <w:color w:val="333333"/>
          <w:highlight w:val="white"/>
        </w:rPr>
      </w:pPr>
      <w:r>
        <w:rPr>
          <w:color w:val="333333"/>
          <w:highlight w:val="white"/>
        </w:rPr>
        <w:t>There are over 7000 languages and dialects used around the world, however on the Internet English dominates – a survey by W3Techs identified that, as of 4 October 2023, 53.3% of content on Internet web-pages is in English. Universal Acceptance can help to bridge the gap between languages in the world and languages on the Internet, resulting in more meaningful access and potential new business and economic opportunities. With the ITU estimating in 2022 that only 66% of the global population uses the Internet, Universal Acceptance is an essential requirement for achieving the ITU’s targets for achieving universal and meaningful digital connectivity by 2030.</w:t>
      </w:r>
    </w:p>
    <w:p w14:paraId="52C32018" w14:textId="77777777" w:rsidR="00E116B9" w:rsidRDefault="008E2239" w:rsidP="00755CA7">
      <w:pPr>
        <w:rPr>
          <w:color w:val="333333"/>
          <w:highlight w:val="white"/>
        </w:rPr>
      </w:pPr>
      <w:r>
        <w:rPr>
          <w:color w:val="333333"/>
          <w:highlight w:val="white"/>
        </w:rPr>
        <w:t>A lack of Universal Acceptance may also result in missed opportunities for innovation and growth around the world. Solving Universal Acceptance can help businesses to reach new customers in different markets – particularly as more become connected. A 2017 study from the Universal Acceptance Steering Group estimated that Universal Acceptance of Internet domain names is a 9.8 billion USD opportunity.</w:t>
      </w:r>
    </w:p>
    <w:p w14:paraId="22B32059" w14:textId="77777777" w:rsidR="00E116B9" w:rsidRDefault="008E2239">
      <w:pPr>
        <w:spacing w:after="240"/>
        <w:rPr>
          <w:color w:val="333333"/>
          <w:highlight w:val="white"/>
          <w:u w:val="single"/>
        </w:rPr>
      </w:pPr>
      <w:r>
        <w:rPr>
          <w:color w:val="333333"/>
          <w:highlight w:val="white"/>
          <w:u w:val="single"/>
        </w:rPr>
        <w:t>Understanding the role of public policy in Universal Acceptance</w:t>
      </w:r>
    </w:p>
    <w:p w14:paraId="4CECB1D3" w14:textId="77777777" w:rsidR="00E116B9" w:rsidRDefault="008E2239" w:rsidP="00755CA7">
      <w:pPr>
        <w:rPr>
          <w:b/>
        </w:rPr>
      </w:pPr>
      <w:r>
        <w:t xml:space="preserve">There are several challenges related to Universal Acceptance which public policy can help mitigate. Technical challenges can be tackled by providing platforms for greater information sharing and targeting support to find solutions; economic challenges can be addressed by mitigating financial barriers and promoting economic incentives; and social challenges can be addressed by increasing awareness among users and creating demand for the opportunities Universal Acceptance offers. </w:t>
      </w:r>
    </w:p>
    <w:p w14:paraId="2F6ECE09" w14:textId="77777777" w:rsidR="00E116B9" w:rsidRDefault="008E2239" w:rsidP="00755CA7">
      <w:pPr>
        <w:rPr>
          <w:highlight w:val="white"/>
        </w:rPr>
      </w:pPr>
      <w:r>
        <w:rPr>
          <w:highlight w:val="white"/>
        </w:rPr>
        <w:t>Across the Internet Governance ecosystem public policy work on Universal Acceptance is ongoing. For example, in 2023 the first Universal Acceptance Day was held to raise awareness among stakeholders, the WSIS forum ran a session on the issue, bringing together communities to identify priority actions, and UNESCO hosted a workshop on ‘Connecting Universal Acceptance and Digital Inclusion for a More Inclusive Cyberspace,’ which shed light on the importance of multilingualism on the internet.</w:t>
      </w:r>
    </w:p>
    <w:p w14:paraId="48E2F5B4" w14:textId="77777777" w:rsidR="00E116B9" w:rsidRDefault="008E2239" w:rsidP="00755CA7">
      <w:r>
        <w:rPr>
          <w:highlight w:val="white"/>
        </w:rPr>
        <w:t>Building on this work and promoting the issue of Universal Acceptance requires cooperation between all stakeholders. A consultation on this topic would be an excellent opportunity to bring stakeholders together, learn from one another’s experience, foster partnerships and identify the role that public policy can play in supporting this important issue. We</w:t>
      </w:r>
      <w:r>
        <w:t xml:space="preserve"> propose the following questions for consultation:</w:t>
      </w:r>
    </w:p>
    <w:p w14:paraId="45F8CA57" w14:textId="77777777" w:rsidR="00E116B9" w:rsidRDefault="008E2239" w:rsidP="00755CA7">
      <w:pPr>
        <w:pStyle w:val="enumlev2"/>
        <w:numPr>
          <w:ilvl w:val="0"/>
          <w:numId w:val="2"/>
        </w:numPr>
      </w:pPr>
      <w:r>
        <w:lastRenderedPageBreak/>
        <w:t xml:space="preserve">What is the impact of Universal Acceptance, or the lack thereof, on communities, economies, businesses and innovation? </w:t>
      </w:r>
    </w:p>
    <w:p w14:paraId="74773E2C" w14:textId="77777777" w:rsidR="00E116B9" w:rsidRDefault="008E2239" w:rsidP="00755CA7">
      <w:pPr>
        <w:pStyle w:val="enumlev2"/>
        <w:numPr>
          <w:ilvl w:val="0"/>
          <w:numId w:val="2"/>
        </w:numPr>
      </w:pPr>
      <w:r>
        <w:t>What is the role of public policy? What more could governments, with other stakeholders, do to promote Universal Acceptance, both in the public sector (such as in procurement practices and provision of public services) and in the private sector (in websites and other Internet services)?</w:t>
      </w:r>
    </w:p>
    <w:p w14:paraId="1D9924A2" w14:textId="77777777" w:rsidR="00E116B9" w:rsidRDefault="008E2239" w:rsidP="00755CA7">
      <w:pPr>
        <w:pStyle w:val="enumlev2"/>
        <w:numPr>
          <w:ilvl w:val="0"/>
          <w:numId w:val="2"/>
        </w:numPr>
      </w:pPr>
      <w:r>
        <w:t>What problems (if any) have ITU member states and sector members experienced concerning the promotion of Universal Acceptance?</w:t>
      </w:r>
    </w:p>
    <w:p w14:paraId="171F1E11" w14:textId="77777777" w:rsidR="00E116B9" w:rsidRDefault="008E2239" w:rsidP="00755CA7">
      <w:pPr>
        <w:pStyle w:val="enumlev2"/>
        <w:numPr>
          <w:ilvl w:val="0"/>
          <w:numId w:val="2"/>
        </w:numPr>
      </w:pPr>
      <w:r>
        <w:t>How can the ITU and its members work to promote Universal Acceptance?</w:t>
      </w:r>
    </w:p>
    <w:p w14:paraId="1FD12308" w14:textId="77777777" w:rsidR="00E116B9" w:rsidRDefault="008E2239">
      <w:pPr>
        <w:spacing w:after="240"/>
        <w:rPr>
          <w:u w:val="single"/>
        </w:rPr>
      </w:pPr>
      <w:r>
        <w:rPr>
          <w:u w:val="single"/>
        </w:rPr>
        <w:t>Invitation to ICANN</w:t>
      </w:r>
    </w:p>
    <w:p w14:paraId="3539ADDE" w14:textId="77777777" w:rsidR="00E116B9" w:rsidRDefault="008E2239" w:rsidP="00755CA7">
      <w:r>
        <w:t xml:space="preserve">ICANN plays a critical role in promoting Universal Acceptance and it has created a multi-stakeholder UA Steering Group which works with governments, business and the technical Community to promote UA across the global Internet. </w:t>
      </w:r>
    </w:p>
    <w:p w14:paraId="00CFEDD3" w14:textId="77777777" w:rsidR="00E116B9" w:rsidRDefault="008E2239" w:rsidP="00755CA7">
      <w:pPr>
        <w:rPr>
          <w:color w:val="333333"/>
        </w:rPr>
      </w:pPr>
      <w:r>
        <w:t xml:space="preserve">We propose that the </w:t>
      </w:r>
      <w:r>
        <w:rPr>
          <w:color w:val="222222"/>
          <w:highlight w:val="white"/>
        </w:rPr>
        <w:t xml:space="preserve">CWG-Internet invites a senior representative from ICANN to the CWG-Internet meeting itself to present and discuss directly with Member States the work it is doing on Universal Acceptance, and to consider opportunities for cooperation between ICANN and ITU Member States. This would be particularly valuable ahead </w:t>
      </w:r>
      <w:r>
        <w:rPr>
          <w:color w:val="333333"/>
          <w:highlight w:val="white"/>
        </w:rPr>
        <w:t>of the new application round for gTLDS planned for ICANN in 2026 for which applications for IDN variants will be welcomed for the first time.</w:t>
      </w:r>
    </w:p>
    <w:p w14:paraId="4A921F72" w14:textId="4F53CF0A" w:rsidR="00755CA7" w:rsidRDefault="00755CA7" w:rsidP="00755CA7">
      <w:pPr>
        <w:spacing w:before="840"/>
        <w:jc w:val="center"/>
        <w:rPr>
          <w:sz w:val="26"/>
          <w:szCs w:val="26"/>
        </w:rPr>
      </w:pPr>
      <w:r>
        <w:rPr>
          <w:color w:val="333333"/>
        </w:rPr>
        <w:t>___________________</w:t>
      </w:r>
    </w:p>
    <w:sectPr w:rsidR="00755CA7">
      <w:footerReference w:type="default" r:id="rId11"/>
      <w:headerReference w:type="first" r:id="rId12"/>
      <w:footerReference w:type="first" r:id="rId13"/>
      <w:pgSz w:w="11907" w:h="16834"/>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7212" w14:textId="77777777" w:rsidR="008E2239" w:rsidRDefault="008E2239">
      <w:pPr>
        <w:spacing w:before="0"/>
      </w:pPr>
      <w:r>
        <w:separator/>
      </w:r>
    </w:p>
  </w:endnote>
  <w:endnote w:type="continuationSeparator" w:id="0">
    <w:p w14:paraId="028BBE53" w14:textId="77777777" w:rsidR="008E2239" w:rsidRDefault="008E22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6F89" w14:textId="77777777" w:rsidR="00E116B9" w:rsidRDefault="00E116B9">
    <w:pPr>
      <w:widowControl w:val="0"/>
      <w:pBdr>
        <w:top w:val="nil"/>
        <w:left w:val="nil"/>
        <w:bottom w:val="nil"/>
        <w:right w:val="nil"/>
        <w:between w:val="nil"/>
      </w:pBdr>
      <w:spacing w:before="0" w:line="276" w:lineRule="auto"/>
      <w:rPr>
        <w:color w:val="7F7F7F"/>
        <w:sz w:val="18"/>
        <w:szCs w:val="18"/>
      </w:rPr>
    </w:pPr>
  </w:p>
  <w:tbl>
    <w:tblPr>
      <w:tblStyle w:val="a1"/>
      <w:tblW w:w="10064" w:type="dxa"/>
      <w:jc w:val="center"/>
      <w:tblBorders>
        <w:top w:val="nil"/>
        <w:left w:val="nil"/>
        <w:bottom w:val="nil"/>
        <w:right w:val="nil"/>
        <w:insideH w:val="nil"/>
        <w:insideV w:val="nil"/>
      </w:tblBorders>
      <w:tblLayout w:type="fixed"/>
      <w:tblLook w:val="0400" w:firstRow="0" w:lastRow="0" w:firstColumn="0" w:lastColumn="0" w:noHBand="0" w:noVBand="1"/>
    </w:tblPr>
    <w:tblGrid>
      <w:gridCol w:w="1803"/>
      <w:gridCol w:w="8261"/>
    </w:tblGrid>
    <w:tr w:rsidR="00E116B9" w14:paraId="1E39B159" w14:textId="77777777">
      <w:trPr>
        <w:jc w:val="center"/>
      </w:trPr>
      <w:tc>
        <w:tcPr>
          <w:tcW w:w="1803" w:type="dxa"/>
          <w:vAlign w:val="center"/>
        </w:tcPr>
        <w:p w14:paraId="236397D7" w14:textId="7EC4CDB9" w:rsidR="00E116B9" w:rsidRDefault="00E116B9">
          <w:pPr>
            <w:pBdr>
              <w:top w:val="nil"/>
              <w:left w:val="nil"/>
              <w:bottom w:val="nil"/>
              <w:right w:val="nil"/>
              <w:between w:val="nil"/>
            </w:pBdr>
            <w:spacing w:before="0"/>
            <w:rPr>
              <w:color w:val="7F7F7F"/>
              <w:sz w:val="18"/>
              <w:szCs w:val="18"/>
            </w:rPr>
          </w:pPr>
        </w:p>
      </w:tc>
      <w:tc>
        <w:tcPr>
          <w:tcW w:w="8261" w:type="dxa"/>
        </w:tcPr>
        <w:p w14:paraId="3EC4C801" w14:textId="0E4B6DED" w:rsidR="00E116B9" w:rsidRDefault="008E2239" w:rsidP="00755CA7">
          <w:pPr>
            <w:pBdr>
              <w:top w:val="nil"/>
              <w:left w:val="nil"/>
              <w:bottom w:val="nil"/>
              <w:right w:val="nil"/>
              <w:between w:val="nil"/>
            </w:pBdr>
            <w:tabs>
              <w:tab w:val="left" w:pos="6028"/>
              <w:tab w:val="right" w:pos="8505"/>
              <w:tab w:val="right" w:pos="9639"/>
            </w:tabs>
            <w:spacing w:before="0"/>
            <w:jc w:val="right"/>
            <w:rPr>
              <w:rFonts w:ascii="Arial" w:eastAsia="Arial" w:hAnsi="Arial" w:cs="Arial"/>
              <w:b/>
              <w:color w:val="7F7F7F"/>
              <w:sz w:val="18"/>
              <w:szCs w:val="18"/>
            </w:rPr>
          </w:pPr>
          <w:r>
            <w:rPr>
              <w:color w:val="7F7F7F"/>
              <w:sz w:val="18"/>
              <w:szCs w:val="18"/>
            </w:rPr>
            <w:tab/>
            <w:t>CWG-Internet-18/</w:t>
          </w:r>
          <w:r w:rsidR="00755CA7">
            <w:rPr>
              <w:color w:val="7F7F7F"/>
              <w:sz w:val="18"/>
              <w:szCs w:val="18"/>
            </w:rPr>
            <w:t>4</w:t>
          </w:r>
          <w:r>
            <w:rPr>
              <w:color w:val="7F7F7F"/>
              <w:sz w:val="18"/>
              <w:szCs w:val="18"/>
            </w:rPr>
            <w:tab/>
          </w:r>
          <w:r>
            <w:rPr>
              <w:color w:val="7F7F7F"/>
              <w:sz w:val="18"/>
              <w:szCs w:val="18"/>
            </w:rPr>
            <w:fldChar w:fldCharType="begin"/>
          </w:r>
          <w:r>
            <w:rPr>
              <w:color w:val="7F7F7F"/>
              <w:sz w:val="18"/>
              <w:szCs w:val="18"/>
            </w:rPr>
            <w:instrText>PAGE</w:instrText>
          </w:r>
          <w:r>
            <w:rPr>
              <w:color w:val="7F7F7F"/>
              <w:sz w:val="18"/>
              <w:szCs w:val="18"/>
            </w:rPr>
            <w:fldChar w:fldCharType="separate"/>
          </w:r>
          <w:r w:rsidR="00755CA7">
            <w:rPr>
              <w:noProof/>
              <w:color w:val="7F7F7F"/>
              <w:sz w:val="18"/>
              <w:szCs w:val="18"/>
            </w:rPr>
            <w:t>2</w:t>
          </w:r>
          <w:r>
            <w:rPr>
              <w:color w:val="7F7F7F"/>
              <w:sz w:val="18"/>
              <w:szCs w:val="18"/>
            </w:rPr>
            <w:fldChar w:fldCharType="end"/>
          </w:r>
        </w:p>
      </w:tc>
    </w:tr>
  </w:tbl>
  <w:p w14:paraId="265554C9" w14:textId="77777777" w:rsidR="00E116B9" w:rsidRDefault="00E116B9">
    <w:pPr>
      <w:pBdr>
        <w:top w:val="nil"/>
        <w:left w:val="nil"/>
        <w:bottom w:val="nil"/>
        <w:right w:val="nil"/>
        <w:between w:val="nil"/>
      </w:pBdr>
      <w:tabs>
        <w:tab w:val="left" w:pos="8080"/>
        <w:tab w:val="right" w:pos="9072"/>
      </w:tabs>
      <w:spacing w:before="0"/>
      <w:rPr>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5FB7" w14:textId="77777777" w:rsidR="00E116B9" w:rsidRDefault="00E116B9">
    <w:pPr>
      <w:widowControl w:val="0"/>
      <w:pBdr>
        <w:top w:val="nil"/>
        <w:left w:val="nil"/>
        <w:bottom w:val="nil"/>
        <w:right w:val="nil"/>
        <w:between w:val="nil"/>
      </w:pBdr>
      <w:spacing w:before="0" w:line="276" w:lineRule="auto"/>
      <w:rPr>
        <w:color w:val="7F7F7F"/>
        <w:sz w:val="18"/>
        <w:szCs w:val="18"/>
      </w:rPr>
    </w:pPr>
  </w:p>
  <w:tbl>
    <w:tblPr>
      <w:tblStyle w:val="a2"/>
      <w:tblW w:w="10064" w:type="dxa"/>
      <w:jc w:val="center"/>
      <w:tblBorders>
        <w:top w:val="nil"/>
        <w:left w:val="nil"/>
        <w:bottom w:val="nil"/>
        <w:right w:val="nil"/>
        <w:insideH w:val="nil"/>
        <w:insideV w:val="nil"/>
      </w:tblBorders>
      <w:tblLayout w:type="fixed"/>
      <w:tblLook w:val="0400" w:firstRow="0" w:lastRow="0" w:firstColumn="0" w:lastColumn="0" w:noHBand="0" w:noVBand="1"/>
    </w:tblPr>
    <w:tblGrid>
      <w:gridCol w:w="3107"/>
      <w:gridCol w:w="6957"/>
    </w:tblGrid>
    <w:tr w:rsidR="00E116B9" w14:paraId="1BB68363" w14:textId="77777777">
      <w:trPr>
        <w:jc w:val="center"/>
      </w:trPr>
      <w:tc>
        <w:tcPr>
          <w:tcW w:w="3107" w:type="dxa"/>
          <w:vAlign w:val="center"/>
        </w:tcPr>
        <w:p w14:paraId="7E32FB38" w14:textId="77777777" w:rsidR="00E116B9" w:rsidRDefault="008E2239">
          <w:pPr>
            <w:pBdr>
              <w:top w:val="nil"/>
              <w:left w:val="nil"/>
              <w:bottom w:val="nil"/>
              <w:right w:val="nil"/>
              <w:between w:val="nil"/>
            </w:pBdr>
            <w:spacing w:before="0"/>
            <w:rPr>
              <w:color w:val="7F7F7F"/>
              <w:sz w:val="18"/>
              <w:szCs w:val="18"/>
            </w:rPr>
          </w:pPr>
          <w:r>
            <w:rPr>
              <w:color w:val="0070C0"/>
              <w:sz w:val="18"/>
              <w:szCs w:val="18"/>
            </w:rPr>
            <w:t>https://council.itu.int/working-groups</w:t>
          </w:r>
        </w:p>
      </w:tc>
      <w:tc>
        <w:tcPr>
          <w:tcW w:w="6957" w:type="dxa"/>
        </w:tcPr>
        <w:p w14:paraId="04DC8A69" w14:textId="1C5F15B6" w:rsidR="00E116B9" w:rsidRDefault="008E2239" w:rsidP="00755CA7">
          <w:pPr>
            <w:pBdr>
              <w:top w:val="nil"/>
              <w:left w:val="nil"/>
              <w:bottom w:val="nil"/>
              <w:right w:val="nil"/>
              <w:between w:val="nil"/>
            </w:pBdr>
            <w:tabs>
              <w:tab w:val="left" w:pos="4718"/>
              <w:tab w:val="right" w:pos="8505"/>
              <w:tab w:val="right" w:pos="9639"/>
            </w:tabs>
            <w:spacing w:before="0"/>
            <w:jc w:val="right"/>
            <w:rPr>
              <w:rFonts w:ascii="Arial" w:eastAsia="Arial" w:hAnsi="Arial" w:cs="Arial"/>
              <w:b/>
              <w:color w:val="7F7F7F"/>
              <w:sz w:val="18"/>
              <w:szCs w:val="18"/>
            </w:rPr>
          </w:pPr>
          <w:r>
            <w:rPr>
              <w:color w:val="7F7F7F"/>
              <w:sz w:val="18"/>
              <w:szCs w:val="18"/>
            </w:rPr>
            <w:tab/>
            <w:t>CWG-Internet-18/</w:t>
          </w:r>
          <w:r w:rsidR="00755CA7">
            <w:rPr>
              <w:color w:val="7F7F7F"/>
              <w:sz w:val="18"/>
              <w:szCs w:val="18"/>
            </w:rPr>
            <w:t>4</w:t>
          </w:r>
          <w:r>
            <w:rPr>
              <w:color w:val="7F7F7F"/>
              <w:sz w:val="18"/>
              <w:szCs w:val="18"/>
            </w:rPr>
            <w:tab/>
          </w:r>
          <w:r>
            <w:rPr>
              <w:color w:val="7F7F7F"/>
              <w:sz w:val="18"/>
              <w:szCs w:val="18"/>
            </w:rPr>
            <w:fldChar w:fldCharType="begin"/>
          </w:r>
          <w:r>
            <w:rPr>
              <w:color w:val="7F7F7F"/>
              <w:sz w:val="18"/>
              <w:szCs w:val="18"/>
            </w:rPr>
            <w:instrText>PAGE</w:instrText>
          </w:r>
          <w:r>
            <w:rPr>
              <w:color w:val="7F7F7F"/>
              <w:sz w:val="18"/>
              <w:szCs w:val="18"/>
            </w:rPr>
            <w:fldChar w:fldCharType="separate"/>
          </w:r>
          <w:r w:rsidR="00755CA7">
            <w:rPr>
              <w:noProof/>
              <w:color w:val="7F7F7F"/>
              <w:sz w:val="18"/>
              <w:szCs w:val="18"/>
            </w:rPr>
            <w:t>1</w:t>
          </w:r>
          <w:r>
            <w:rPr>
              <w:color w:val="7F7F7F"/>
              <w:sz w:val="18"/>
              <w:szCs w:val="18"/>
            </w:rPr>
            <w:fldChar w:fldCharType="end"/>
          </w:r>
        </w:p>
      </w:tc>
    </w:tr>
  </w:tbl>
  <w:p w14:paraId="43DB2B01" w14:textId="77777777" w:rsidR="00E116B9" w:rsidRDefault="00E116B9">
    <w:pPr>
      <w:pBdr>
        <w:top w:val="nil"/>
        <w:left w:val="nil"/>
        <w:bottom w:val="nil"/>
        <w:right w:val="nil"/>
        <w:between w:val="nil"/>
      </w:pBdr>
      <w:tabs>
        <w:tab w:val="left" w:pos="8080"/>
        <w:tab w:val="right" w:pos="9072"/>
      </w:tabs>
      <w:spacing w:before="0"/>
      <w:jc w:val="right"/>
      <w:rPr>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78C4" w14:textId="77777777" w:rsidR="008E2239" w:rsidRDefault="008E2239">
      <w:pPr>
        <w:spacing w:before="0"/>
      </w:pPr>
      <w:r>
        <w:separator/>
      </w:r>
    </w:p>
  </w:footnote>
  <w:footnote w:type="continuationSeparator" w:id="0">
    <w:p w14:paraId="02295A5A" w14:textId="77777777" w:rsidR="008E2239" w:rsidRDefault="008E223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D5B" w14:textId="34EE0F83" w:rsidR="00E116B9" w:rsidRDefault="00755CA7">
    <w:pPr>
      <w:widowControl w:val="0"/>
      <w:pBdr>
        <w:top w:val="nil"/>
        <w:left w:val="nil"/>
        <w:bottom w:val="nil"/>
        <w:right w:val="nil"/>
        <w:between w:val="nil"/>
      </w:pBdr>
      <w:spacing w:before="0" w:line="276" w:lineRule="auto"/>
    </w:pPr>
    <w:r>
      <w:rPr>
        <w:noProof/>
      </w:rPr>
      <mc:AlternateContent>
        <mc:Choice Requires="wps">
          <w:drawing>
            <wp:anchor distT="0" distB="0" distL="114300" distR="114300" simplePos="0" relativeHeight="251660288" behindDoc="0" locked="0" layoutInCell="1" hidden="0" allowOverlap="1" wp14:anchorId="0E0AE2E3" wp14:editId="2F059FBB">
              <wp:simplePos x="0" y="0"/>
              <wp:positionH relativeFrom="column">
                <wp:posOffset>288290</wp:posOffset>
              </wp:positionH>
              <wp:positionV relativeFrom="paragraph">
                <wp:posOffset>205740</wp:posOffset>
              </wp:positionV>
              <wp:extent cx="3999230" cy="629920"/>
              <wp:effectExtent l="0" t="0" r="0" b="0"/>
              <wp:wrapNone/>
              <wp:docPr id="219" name=""/>
              <wp:cNvGraphicFramePr/>
              <a:graphic xmlns:a="http://schemas.openxmlformats.org/drawingml/2006/main">
                <a:graphicData uri="http://schemas.microsoft.com/office/word/2010/wordprocessingShape">
                  <wps:wsp>
                    <wps:cNvSpPr/>
                    <wps:spPr>
                      <a:xfrm>
                        <a:off x="0" y="0"/>
                        <a:ext cx="3999230" cy="629920"/>
                      </a:xfrm>
                      <a:prstGeom prst="rect">
                        <a:avLst/>
                      </a:prstGeom>
                      <a:noFill/>
                      <a:ln>
                        <a:noFill/>
                      </a:ln>
                    </wps:spPr>
                    <wps:txbx>
                      <w:txbxContent>
                        <w:p w14:paraId="7C117E00" w14:textId="3F1FB377" w:rsidR="00E116B9" w:rsidRDefault="00755CA7">
                          <w:pPr>
                            <w:spacing w:before="0"/>
                            <w:textDirection w:val="btLr"/>
                          </w:pPr>
                          <w:r w:rsidRPr="00F74694">
                            <w:rPr>
                              <w:b/>
                              <w:bCs/>
                            </w:rPr>
                            <w:t xml:space="preserve">Council Working Group </w:t>
                          </w:r>
                          <w:r w:rsidRPr="00F74694">
                            <w:rPr>
                              <w:b/>
                              <w:bCs/>
                            </w:rPr>
                            <w:br/>
                            <w:t xml:space="preserve">on </w:t>
                          </w:r>
                          <w:r>
                            <w:rPr>
                              <w:b/>
                              <w:bCs/>
                            </w:rPr>
                            <w:t>International Internet-related Public Policy Issues</w:t>
                          </w:r>
                          <w:r>
                            <w:br/>
                          </w:r>
                          <w:r>
                            <w:rPr>
                              <w:sz w:val="20"/>
                            </w:rPr>
                            <w:t>Eighteenth</w:t>
                          </w:r>
                          <w:r w:rsidRPr="00130599">
                            <w:rPr>
                              <w:sz w:val="20"/>
                            </w:rPr>
                            <w:t xml:space="preserve"> meeting </w:t>
                          </w:r>
                          <w:r>
                            <w:rPr>
                              <w:sz w:val="20"/>
                            </w:rPr>
                            <w:t>- Wednesday,</w:t>
                          </w:r>
                          <w:r w:rsidRPr="00130599">
                            <w:rPr>
                              <w:sz w:val="20"/>
                            </w:rPr>
                            <w:t xml:space="preserve"> 1</w:t>
                          </w:r>
                          <w:r>
                            <w:rPr>
                              <w:sz w:val="20"/>
                            </w:rPr>
                            <w:t>8 October 2023</w:t>
                          </w:r>
                          <w:r w:rsidR="008E2239">
                            <w:rPr>
                              <w:color w:val="000000"/>
                            </w:rPr>
                            <w:br/>
                          </w:r>
                          <w:r w:rsidR="008E2239">
                            <w:rPr>
                              <w:color w:val="000000"/>
                              <w:sz w:val="20"/>
                            </w:rPr>
                            <w:t>Eighteenth meeting - Wednesday, 18 October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0AE2E3" id="_x0000_s1026" style="position:absolute;margin-left:22.7pt;margin-top:16.2pt;width:314.9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" filled="f" stroked="f">
              <v:textbox inset="2.53958mm,1.2694mm,2.53958mm,1.2694mm">
                <w:txbxContent>
                  <w:p w14:paraId="7C117E00" w14:textId="3F1FB377" w:rsidR="00E116B9" w:rsidRDefault="00755CA7">
                    <w:pPr>
                      <w:spacing w:before="0"/>
                      <w:textDirection w:val="btLr"/>
                    </w:pPr>
                    <w:r w:rsidRPr="00F74694">
                      <w:rPr>
                        <w:b/>
                        <w:bCs/>
                      </w:rPr>
                      <w:t xml:space="preserve">Council Working Group </w:t>
                    </w:r>
                    <w:r w:rsidRPr="00F74694">
                      <w:rPr>
                        <w:b/>
                        <w:bCs/>
                      </w:rPr>
                      <w:br/>
                      <w:t xml:space="preserve">on </w:t>
                    </w:r>
                    <w:r>
                      <w:rPr>
                        <w:b/>
                        <w:bCs/>
                      </w:rPr>
                      <w:t>International Internet-related Public Policy Issues</w:t>
                    </w:r>
                    <w:r>
                      <w:br/>
                    </w:r>
                    <w:r>
                      <w:rPr>
                        <w:sz w:val="20"/>
                      </w:rPr>
                      <w:t>Eighteenth</w:t>
                    </w:r>
                    <w:r w:rsidRPr="00130599">
                      <w:rPr>
                        <w:sz w:val="20"/>
                      </w:rPr>
                      <w:t xml:space="preserve"> meeting </w:t>
                    </w:r>
                    <w:r>
                      <w:rPr>
                        <w:sz w:val="20"/>
                      </w:rPr>
                      <w:t>- Wednesday,</w:t>
                    </w:r>
                    <w:r w:rsidRPr="00130599">
                      <w:rPr>
                        <w:sz w:val="20"/>
                      </w:rPr>
                      <w:t xml:space="preserve"> 1</w:t>
                    </w:r>
                    <w:r>
                      <w:rPr>
                        <w:sz w:val="20"/>
                      </w:rPr>
                      <w:t>8 October 2023</w:t>
                    </w:r>
                    <w:r w:rsidR="008E2239">
                      <w:rPr>
                        <w:color w:val="000000"/>
                      </w:rPr>
                      <w:br/>
                    </w:r>
                    <w:r w:rsidR="008E2239">
                      <w:rPr>
                        <w:color w:val="000000"/>
                        <w:sz w:val="20"/>
                      </w:rPr>
                      <w:t>Eighteenth meeting - Wednesday, 18 October 2023</w:t>
                    </w:r>
                  </w:p>
                </w:txbxContent>
              </v:textbox>
            </v:rect>
          </w:pict>
        </mc:Fallback>
      </mc:AlternateContent>
    </w:r>
  </w:p>
  <w:tbl>
    <w:tblPr>
      <w:tblStyle w:val="a0"/>
      <w:tblW w:w="10020" w:type="dxa"/>
      <w:jc w:val="center"/>
      <w:tblBorders>
        <w:top w:val="nil"/>
        <w:left w:val="nil"/>
        <w:bottom w:val="nil"/>
        <w:right w:val="nil"/>
        <w:insideH w:val="nil"/>
        <w:insideV w:val="nil"/>
      </w:tblBorders>
      <w:tblLayout w:type="fixed"/>
      <w:tblLook w:val="0400" w:firstRow="0" w:lastRow="0" w:firstColumn="0" w:lastColumn="0" w:noHBand="0" w:noVBand="1"/>
    </w:tblPr>
    <w:tblGrid>
      <w:gridCol w:w="6546"/>
      <w:gridCol w:w="3474"/>
    </w:tblGrid>
    <w:tr w:rsidR="00E116B9" w14:paraId="7892F09C" w14:textId="77777777">
      <w:trPr>
        <w:trHeight w:val="1304"/>
        <w:jc w:val="center"/>
      </w:trPr>
      <w:tc>
        <w:tcPr>
          <w:tcW w:w="6546" w:type="dxa"/>
        </w:tcPr>
        <w:p w14:paraId="293A302C" w14:textId="77777777" w:rsidR="00E116B9" w:rsidRDefault="008E2239">
          <w:pPr>
            <w:pBdr>
              <w:top w:val="nil"/>
              <w:left w:val="nil"/>
              <w:bottom w:val="nil"/>
              <w:right w:val="nil"/>
              <w:between w:val="nil"/>
            </w:pBdr>
            <w:spacing w:before="0"/>
            <w:rPr>
              <w:rFonts w:ascii="Arial" w:eastAsia="Arial" w:hAnsi="Arial" w:cs="Arial"/>
              <w:b/>
              <w:color w:val="009CD6"/>
              <w:sz w:val="36"/>
              <w:szCs w:val="36"/>
            </w:rPr>
          </w:pPr>
          <w:bookmarkStart w:id="5" w:name="_heading=h.3dy6vkm" w:colFirst="0" w:colLast="0"/>
          <w:bookmarkEnd w:id="5"/>
          <w:r>
            <w:rPr>
              <w:noProof/>
              <w:color w:val="7F7F7F"/>
              <w:sz w:val="18"/>
              <w:szCs w:val="18"/>
            </w:rPr>
            <w:drawing>
              <wp:inline distT="0" distB="0" distL="0" distR="0" wp14:anchorId="34F85266" wp14:editId="357DE0FB">
                <wp:extent cx="2250000" cy="622800"/>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0000" cy="6228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92CD36D" wp14:editId="07B7D910">
                    <wp:simplePos x="0" y="0"/>
                    <wp:positionH relativeFrom="column">
                      <wp:posOffset>558800</wp:posOffset>
                    </wp:positionH>
                    <wp:positionV relativeFrom="paragraph">
                      <wp:posOffset>50800</wp:posOffset>
                    </wp:positionV>
                    <wp:extent cx="1662479" cy="550740"/>
                    <wp:effectExtent l="0" t="0" r="0" b="0"/>
                    <wp:wrapNone/>
                    <wp:docPr id="220" name=""/>
                    <wp:cNvGraphicFramePr/>
                    <a:graphic xmlns:a="http://schemas.openxmlformats.org/drawingml/2006/main">
                      <a:graphicData uri="http://schemas.microsoft.com/office/word/2010/wordprocessingShape">
                        <wps:wsp>
                          <wps:cNvSpPr/>
                          <wps:spPr>
                            <a:xfrm>
                              <a:off x="4519523" y="3509393"/>
                              <a:ext cx="1652954" cy="541215"/>
                            </a:xfrm>
                            <a:prstGeom prst="rect">
                              <a:avLst/>
                            </a:prstGeom>
                            <a:solidFill>
                              <a:schemeClr val="lt1"/>
                            </a:solidFill>
                            <a:ln>
                              <a:noFill/>
                            </a:ln>
                          </wps:spPr>
                          <wps:txbx>
                            <w:txbxContent>
                              <w:p w14:paraId="1A22E06C" w14:textId="77777777" w:rsidR="00E116B9" w:rsidRDefault="00E116B9">
                                <w:pPr>
                                  <w:spacing w:befor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50800</wp:posOffset>
                    </wp:positionV>
                    <wp:extent cx="1662479" cy="550740"/>
                    <wp:effectExtent b="0" l="0" r="0" t="0"/>
                    <wp:wrapNone/>
                    <wp:docPr id="22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662479" cy="550740"/>
                            </a:xfrm>
                            <a:prstGeom prst="rect"/>
                            <a:ln/>
                          </pic:spPr>
                        </pic:pic>
                      </a:graphicData>
                    </a:graphic>
                  </wp:anchor>
                </w:drawing>
              </mc:Fallback>
            </mc:AlternateContent>
          </w:r>
        </w:p>
      </w:tc>
      <w:tc>
        <w:tcPr>
          <w:tcW w:w="3474" w:type="dxa"/>
        </w:tcPr>
        <w:p w14:paraId="3856BFBB" w14:textId="77777777" w:rsidR="00E116B9" w:rsidRDefault="00E116B9">
          <w:pPr>
            <w:pBdr>
              <w:top w:val="nil"/>
              <w:left w:val="nil"/>
              <w:bottom w:val="nil"/>
              <w:right w:val="nil"/>
              <w:between w:val="nil"/>
            </w:pBdr>
            <w:spacing w:before="0"/>
            <w:jc w:val="right"/>
            <w:rPr>
              <w:rFonts w:ascii="Arial" w:eastAsia="Arial" w:hAnsi="Arial" w:cs="Arial"/>
              <w:b/>
              <w:color w:val="009CD6"/>
              <w:sz w:val="18"/>
              <w:szCs w:val="18"/>
            </w:rPr>
          </w:pPr>
        </w:p>
        <w:p w14:paraId="7306482A" w14:textId="77777777" w:rsidR="00E116B9" w:rsidRDefault="00E116B9">
          <w:pPr>
            <w:pBdr>
              <w:top w:val="nil"/>
              <w:left w:val="nil"/>
              <w:bottom w:val="nil"/>
              <w:right w:val="nil"/>
              <w:between w:val="nil"/>
            </w:pBdr>
            <w:spacing w:before="0"/>
            <w:jc w:val="right"/>
            <w:rPr>
              <w:rFonts w:ascii="Arial" w:eastAsia="Arial" w:hAnsi="Arial" w:cs="Arial"/>
              <w:b/>
              <w:color w:val="009CD6"/>
              <w:sz w:val="18"/>
              <w:szCs w:val="18"/>
            </w:rPr>
          </w:pPr>
        </w:p>
        <w:p w14:paraId="530B6E4A" w14:textId="77777777" w:rsidR="00E116B9" w:rsidRDefault="008E2239">
          <w:pPr>
            <w:pBdr>
              <w:top w:val="nil"/>
              <w:left w:val="nil"/>
              <w:bottom w:val="nil"/>
              <w:right w:val="nil"/>
              <w:between w:val="nil"/>
            </w:pBdr>
            <w:spacing w:before="0"/>
            <w:jc w:val="right"/>
            <w:rPr>
              <w:rFonts w:ascii="Arial" w:eastAsia="Arial" w:hAnsi="Arial" w:cs="Arial"/>
              <w:color w:val="009CD6"/>
              <w:sz w:val="18"/>
              <w:szCs w:val="18"/>
            </w:rPr>
          </w:pPr>
          <w:r>
            <w:rPr>
              <w:rFonts w:ascii="Arial" w:eastAsia="Arial" w:hAnsi="Arial" w:cs="Arial"/>
              <w:b/>
              <w:color w:val="009CD6"/>
              <w:sz w:val="18"/>
              <w:szCs w:val="18"/>
            </w:rPr>
            <w:t xml:space="preserve"> </w:t>
          </w:r>
        </w:p>
      </w:tc>
    </w:tr>
  </w:tbl>
  <w:p w14:paraId="382587CF" w14:textId="107D608F" w:rsidR="00E116B9" w:rsidRDefault="008E2239">
    <w:pPr>
      <w:pBdr>
        <w:top w:val="nil"/>
        <w:left w:val="nil"/>
        <w:bottom w:val="nil"/>
        <w:right w:val="nil"/>
        <w:between w:val="nil"/>
      </w:pBdr>
      <w:spacing w:before="0"/>
      <w:jc w:val="center"/>
      <w:rPr>
        <w:color w:val="7F7F7F"/>
        <w:sz w:val="18"/>
        <w:szCs w:val="18"/>
      </w:rPr>
    </w:pPr>
    <w:r>
      <w:rPr>
        <w:rFonts w:ascii="Avenir" w:eastAsia="Avenir" w:hAnsi="Avenir" w:cs="Avenir"/>
        <w:noProof/>
        <w:color w:val="7F7F7F"/>
        <w:sz w:val="18"/>
        <w:szCs w:val="18"/>
      </w:rPr>
      <mc:AlternateContent>
        <mc:Choice Requires="wps">
          <w:drawing>
            <wp:anchor distT="0" distB="0" distL="114300" distR="114300" simplePos="0" relativeHeight="251659264" behindDoc="0" locked="0" layoutInCell="1" hidden="0" allowOverlap="1" wp14:anchorId="330EF3D6" wp14:editId="7AC11BD6">
              <wp:simplePos x="0" y="0"/>
              <wp:positionH relativeFrom="page">
                <wp:posOffset>9843</wp:posOffset>
              </wp:positionH>
              <wp:positionV relativeFrom="topMargin">
                <wp:posOffset>550863</wp:posOffset>
              </wp:positionV>
              <wp:extent cx="102870" cy="441325"/>
              <wp:effectExtent l="0" t="0" r="0" b="0"/>
              <wp:wrapNone/>
              <wp:docPr id="218" name=""/>
              <wp:cNvGraphicFramePr/>
              <a:graphic xmlns:a="http://schemas.openxmlformats.org/drawingml/2006/main">
                <a:graphicData uri="http://schemas.microsoft.com/office/word/2010/wordprocessingShape">
                  <wps:wsp>
                    <wps:cNvSpPr/>
                    <wps:spPr>
                      <a:xfrm>
                        <a:off x="5299328" y="3564100"/>
                        <a:ext cx="93345" cy="431800"/>
                      </a:xfrm>
                      <a:prstGeom prst="rect">
                        <a:avLst/>
                      </a:prstGeom>
                      <a:solidFill>
                        <a:srgbClr val="009CD5"/>
                      </a:solidFill>
                      <a:ln>
                        <a:noFill/>
                      </a:ln>
                    </wps:spPr>
                    <wps:txbx>
                      <w:txbxContent>
                        <w:p w14:paraId="2255F8E7" w14:textId="77777777" w:rsidR="00E116B9" w:rsidRDefault="00E116B9">
                          <w:pPr>
                            <w:spacing w:before="0"/>
                            <w:textDirection w:val="btLr"/>
                          </w:pPr>
                        </w:p>
                      </w:txbxContent>
                    </wps:txbx>
                    <wps:bodyPr spcFirstLastPara="1" wrap="square" lIns="91425" tIns="91425" rIns="91425" bIns="91425" anchor="ctr" anchorCtr="0">
                      <a:noAutofit/>
                    </wps:bodyPr>
                  </wps:wsp>
                </a:graphicData>
              </a:graphic>
            </wp:anchor>
          </w:drawing>
        </mc:Choice>
        <mc:Fallback>
          <w:pict>
            <v:rect w14:anchorId="330EF3D6" id="_x0000_s1028" style="position:absolute;left:0;text-align:left;margin-left:.8pt;margin-top:43.4pt;width:8.1pt;height:34.75pt;z-index:251659264;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" fillcolor="#009cd5" stroked="f">
              <v:textbox inset="2.53958mm,2.53958mm,2.53958mm,2.53958mm">
                <w:txbxContent>
                  <w:p w14:paraId="2255F8E7" w14:textId="77777777" w:rsidR="00E116B9" w:rsidRDefault="00E116B9">
                    <w:pPr>
                      <w:spacing w:before="0"/>
                      <w:textDirection w:val="btLr"/>
                    </w:pP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5D4A"/>
    <w:multiLevelType w:val="hybridMultilevel"/>
    <w:tmpl w:val="5E9882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66CA251D"/>
    <w:multiLevelType w:val="multilevel"/>
    <w:tmpl w:val="EDDC8E5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39171982">
    <w:abstractNumId w:val="1"/>
  </w:num>
  <w:num w:numId="2" w16cid:durableId="191970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B9"/>
    <w:rsid w:val="00091B8A"/>
    <w:rsid w:val="00755CA7"/>
    <w:rsid w:val="008E2239"/>
    <w:rsid w:val="00E116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A991"/>
  <w15:docId w15:val="{29EC5299-1A16-48D8-8AD6-0C3B6FB9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E2"/>
    <w:pPr>
      <w:overflowPunct w:val="0"/>
      <w:autoSpaceDE w:val="0"/>
      <w:autoSpaceDN w:val="0"/>
      <w:adjustRightInd w:val="0"/>
      <w:textAlignment w:val="baseline"/>
    </w:pPr>
    <w:rPr>
      <w:lang w:eastAsia="en-US"/>
    </w:rPr>
  </w:style>
  <w:style w:type="paragraph" w:styleId="Heading1">
    <w:name w:val="heading 1"/>
    <w:basedOn w:val="Normal"/>
    <w:next w:val="Normal"/>
    <w:uiPriority w:val="9"/>
    <w:qFormat/>
    <w:rsid w:val="00813E5E"/>
    <w:pPr>
      <w:keepNext/>
      <w:keepLines/>
      <w:spacing w:before="480"/>
      <w:ind w:left="567" w:hanging="567"/>
      <w:outlineLvl w:val="0"/>
    </w:pPr>
    <w:rPr>
      <w:b/>
      <w:sz w:val="28"/>
    </w:rPr>
  </w:style>
  <w:style w:type="paragraph" w:styleId="Heading2">
    <w:name w:val="heading 2"/>
    <w:basedOn w:val="Heading1"/>
    <w:next w:val="Normal"/>
    <w:uiPriority w:val="9"/>
    <w:semiHidden/>
    <w:unhideWhenUsed/>
    <w:qFormat/>
    <w:rsid w:val="00813E5E"/>
    <w:pPr>
      <w:spacing w:before="320"/>
      <w:outlineLvl w:val="1"/>
    </w:pPr>
    <w:rPr>
      <w:sz w:val="24"/>
    </w:rPr>
  </w:style>
  <w:style w:type="paragraph" w:styleId="Heading3">
    <w:name w:val="heading 3"/>
    <w:basedOn w:val="Heading1"/>
    <w:next w:val="Normal"/>
    <w:uiPriority w:val="9"/>
    <w:semiHidden/>
    <w:unhideWhenUsed/>
    <w:qFormat/>
    <w:rsid w:val="00813E5E"/>
    <w:pPr>
      <w:spacing w:before="200"/>
      <w:outlineLvl w:val="2"/>
    </w:pPr>
    <w:rPr>
      <w:sz w:val="24"/>
    </w:rPr>
  </w:style>
  <w:style w:type="paragraph" w:styleId="Heading4">
    <w:name w:val="heading 4"/>
    <w:basedOn w:val="Heading3"/>
    <w:next w:val="Normal"/>
    <w:uiPriority w:val="9"/>
    <w:semiHidden/>
    <w:unhideWhenUsed/>
    <w:qFormat/>
    <w:rsid w:val="00813E5E"/>
    <w:pPr>
      <w:ind w:left="1134" w:hanging="1134"/>
      <w:outlineLvl w:val="3"/>
    </w:pPr>
  </w:style>
  <w:style w:type="paragraph" w:styleId="Heading5">
    <w:name w:val="heading 5"/>
    <w:basedOn w:val="Heading4"/>
    <w:next w:val="Normal"/>
    <w:uiPriority w:val="9"/>
    <w:semiHidden/>
    <w:unhideWhenUsed/>
    <w:qFormat/>
    <w:rsid w:val="00813E5E"/>
    <w:pPr>
      <w:outlineLvl w:val="4"/>
    </w:pPr>
  </w:style>
  <w:style w:type="paragraph" w:styleId="Heading6">
    <w:name w:val="heading 6"/>
    <w:basedOn w:val="Heading4"/>
    <w:next w:val="Normal"/>
    <w:uiPriority w:val="9"/>
    <w:semiHidden/>
    <w:unhideWhenUsed/>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Subtitle0">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Pages/stat/defaul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asg.tech/wp-content/uploads/2017/04/Unleashing-the-Power-of-All-Domains-White-Paper.pdf" TargetMode="External"/><Relationship Id="rId4" Type="http://schemas.openxmlformats.org/officeDocument/2006/relationships/settings" Target="settings.xml"/><Relationship Id="rId9" Type="http://schemas.openxmlformats.org/officeDocument/2006/relationships/hyperlink" Target="https://w3techs.com/technologies/overview/content_langu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4KK0gOmovuORLXZWI984Hz3sw==">CgMxLjAyCmlkLjMwajB6bGwyCWlkLmdqZGd4czIJaC4xZm9iOXRlMgppZC4zem55c2g3MghoLnR5amN3dDIJaC4zZHk2dmttOAByITF2RkpHRGMwZ0czVFk2dmowMnE4SnFjeDNMZWdkdGphdQ==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United Kingdom of Great Britain and Northern Ireland - Topic for consultation: The role of public policy in promoting Universal Acceptance</dc:title>
  <dc:creator>Xue, Kun</dc:creator>
  <cp:keywords>CWG-Internet, C23, Council-23, C23-ADD</cp:keywords>
  <cp:lastModifiedBy>Xue, Kun</cp:lastModifiedBy>
  <cp:revision>4</cp:revision>
  <dcterms:created xsi:type="dcterms:W3CDTF">2023-10-05T08:23:00Z</dcterms:created>
  <dcterms:modified xsi:type="dcterms:W3CDTF">2023-10-05T08:28:00Z</dcterms:modified>
</cp:coreProperties>
</file>