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3187582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AE9AF8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0C26F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A4BEAD4" w:rsidR="00AD3606" w:rsidRPr="00E85629" w:rsidRDefault="000C26F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May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002816F0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47B91AA8" w14:textId="1F695BF6" w:rsidR="00AD3606" w:rsidRPr="006850BE" w:rsidRDefault="003F710A" w:rsidP="006850B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DRAFT AGENDA OF THE 2024 SESSION OF THE COUNCIL</w:t>
            </w:r>
          </w:p>
        </w:tc>
      </w:tr>
      <w:tr w:rsidR="00AD3606" w:rsidRPr="00813E5E" w14:paraId="1F564D2D" w14:textId="77777777" w:rsidTr="002816F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175CD6C" w14:textId="77777777" w:rsidR="003F710A" w:rsidRDefault="003F710A" w:rsidP="003F710A">
            <w:pPr>
              <w:spacing w:before="160"/>
            </w:pPr>
          </w:p>
        </w:tc>
      </w:tr>
    </w:tbl>
    <w:p w14:paraId="70869731" w14:textId="77777777" w:rsidR="005C22BA" w:rsidRPr="002816F0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  <w:bookmarkEnd w:id="3"/>
      <w:bookmarkEnd w:id="4"/>
    </w:p>
    <w:tbl>
      <w:tblPr>
        <w:tblW w:w="945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7200"/>
        <w:gridCol w:w="1350"/>
      </w:tblGrid>
      <w:tr w:rsidR="005C22BA" w:rsidRPr="003422B2" w14:paraId="4C9CBD0A" w14:textId="56377123" w:rsidTr="00B2724C">
        <w:trPr>
          <w:tblHeader/>
        </w:trPr>
        <w:tc>
          <w:tcPr>
            <w:tcW w:w="90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5BA3446" w14:textId="77777777" w:rsidR="005C22BA" w:rsidRPr="003422B2" w:rsidRDefault="005C22BA" w:rsidP="00FD0C3F">
            <w:pPr>
              <w:spacing w:after="120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743832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7FC348B" w14:textId="6F19FE15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 xml:space="preserve">Document 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br/>
              <w:t>n°C2</w:t>
            </w:r>
            <w:r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4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/XX</w:t>
            </w:r>
          </w:p>
        </w:tc>
      </w:tr>
      <w:tr w:rsidR="005C22BA" w:rsidRPr="003422B2" w14:paraId="07B560CC" w14:textId="11787065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40D119C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695381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47C997F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16D5005" w14:textId="4B198FED" w:rsidTr="00B2724C">
        <w:trPr>
          <w:tblHeader/>
        </w:trPr>
        <w:tc>
          <w:tcPr>
            <w:tcW w:w="900" w:type="dxa"/>
            <w:tcBorders>
              <w:top w:val="single" w:sz="4" w:space="0" w:color="808080"/>
            </w:tcBorders>
          </w:tcPr>
          <w:p w14:paraId="544F18FF" w14:textId="77777777" w:rsidR="005C22BA" w:rsidRPr="00160C3F" w:rsidRDefault="005C22BA" w:rsidP="00FD0C3F">
            <w:pPr>
              <w:spacing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7ED2E3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EB35B6E" w14:textId="5E6A3997" w:rsidR="005C22BA" w:rsidRPr="003422B2" w:rsidRDefault="00B2724C" w:rsidP="00FD0C3F">
            <w:pPr>
              <w:spacing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5C22BA" w:rsidRPr="003422B2" w14:paraId="175A6A7C" w14:textId="31C746C1" w:rsidTr="00B2724C">
        <w:trPr>
          <w:tblHeader/>
        </w:trPr>
        <w:tc>
          <w:tcPr>
            <w:tcW w:w="900" w:type="dxa"/>
          </w:tcPr>
          <w:p w14:paraId="29A3858B" w14:textId="77777777" w:rsidR="005C22BA" w:rsidRPr="00160C3F" w:rsidRDefault="005C22BA" w:rsidP="00FD0C3F">
            <w:pPr>
              <w:spacing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6E20B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Report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 xml:space="preserve"> for 2023-2024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4F23201" w14:textId="029229B6" w:rsidR="005C22BA" w:rsidRPr="003422B2" w:rsidRDefault="00133213" w:rsidP="00FD0C3F">
            <w:pPr>
              <w:spacing w:after="120"/>
              <w:rPr>
                <w:sz w:val="21"/>
                <w:szCs w:val="21"/>
                <w:lang w:val="en-US"/>
              </w:rPr>
            </w:pPr>
            <w:hyperlink r:id="rId8" w:history="1">
              <w:r w:rsidR="005C22BA" w:rsidRPr="005C22BA">
                <w:rPr>
                  <w:rStyle w:val="Hyperlink"/>
                  <w:sz w:val="21"/>
                  <w:szCs w:val="21"/>
                  <w:lang w:val="en-US"/>
                </w:rPr>
                <w:t>C24/35</w:t>
              </w:r>
            </w:hyperlink>
          </w:p>
        </w:tc>
      </w:tr>
      <w:tr w:rsidR="005C22BA" w:rsidRPr="003422B2" w14:paraId="1D15E463" w14:textId="1A752CAD" w:rsidTr="00B2724C">
        <w:tc>
          <w:tcPr>
            <w:tcW w:w="900" w:type="dxa"/>
          </w:tcPr>
          <w:p w14:paraId="02B3CA27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465EF480" w14:textId="24E2274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 on the t</w:t>
            </w:r>
            <w:r w:rsidRPr="00E338E0">
              <w:rPr>
                <w:sz w:val="21"/>
                <w:szCs w:val="21"/>
                <w:lang w:val="en-US"/>
              </w:rPr>
              <w:t xml:space="preserve">ransformation </w:t>
            </w:r>
            <w:proofErr w:type="gramStart"/>
            <w:r>
              <w:rPr>
                <w:sz w:val="21"/>
                <w:szCs w:val="21"/>
                <w:lang w:val="en-US"/>
              </w:rPr>
              <w:t>process</w:t>
            </w:r>
            <w:proofErr w:type="gramEnd"/>
          </w:p>
          <w:p w14:paraId="43D6A8C8" w14:textId="67EB186C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Transformation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350" w:type="dxa"/>
          </w:tcPr>
          <w:p w14:paraId="3D64481B" w14:textId="77777777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C24/52</w:t>
              </w:r>
            </w:hyperlink>
          </w:p>
          <w:p w14:paraId="1C3FBA4C" w14:textId="2DA8A84A" w:rsidR="005C22BA" w:rsidDel="00D753F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C24/73</w:t>
              </w:r>
            </w:hyperlink>
          </w:p>
        </w:tc>
      </w:tr>
      <w:tr w:rsidR="005C22BA" w:rsidRPr="003422B2" w14:paraId="385412EC" w14:textId="53DABA18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BE77AB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A5C7728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9220550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7676F33C" w14:textId="79327253" w:rsidTr="00B2724C">
        <w:tc>
          <w:tcPr>
            <w:tcW w:w="900" w:type="dxa"/>
            <w:tcBorders>
              <w:top w:val="single" w:sz="4" w:space="0" w:color="808080"/>
            </w:tcBorders>
          </w:tcPr>
          <w:p w14:paraId="0C66B5F7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  <w:bottom w:val="single" w:sz="4" w:space="0" w:color="808080"/>
            </w:tcBorders>
          </w:tcPr>
          <w:p w14:paraId="5B5F6A1E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350" w:type="dxa"/>
            <w:tcBorders>
              <w:top w:val="single" w:sz="4" w:space="0" w:color="808080"/>
              <w:bottom w:val="single" w:sz="4" w:space="0" w:color="808080"/>
            </w:tcBorders>
          </w:tcPr>
          <w:p w14:paraId="1F58D70F" w14:textId="65992A5D" w:rsidR="005C22BA" w:rsidRPr="003422B2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1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C24/27</w:t>
              </w:r>
            </w:hyperlink>
          </w:p>
        </w:tc>
      </w:tr>
      <w:tr w:rsidR="005C22BA" w:rsidRPr="003422B2" w14:paraId="5DA77B77" w14:textId="2E3F2C7F" w:rsidTr="00B2724C">
        <w:tc>
          <w:tcPr>
            <w:tcW w:w="900" w:type="dxa"/>
            <w:tcBorders>
              <w:top w:val="single" w:sz="4" w:space="0" w:color="808080"/>
            </w:tcBorders>
          </w:tcPr>
          <w:p w14:paraId="4C5E4C0B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  <w:bottom w:val="single" w:sz="4" w:space="0" w:color="808080"/>
            </w:tcBorders>
          </w:tcPr>
          <w:p w14:paraId="58981697" w14:textId="579B40E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the “One ITU” concept</w:t>
            </w:r>
          </w:p>
        </w:tc>
        <w:tc>
          <w:tcPr>
            <w:tcW w:w="1350" w:type="dxa"/>
            <w:tcBorders>
              <w:top w:val="single" w:sz="4" w:space="0" w:color="808080"/>
              <w:bottom w:val="single" w:sz="4" w:space="0" w:color="808080"/>
            </w:tcBorders>
          </w:tcPr>
          <w:p w14:paraId="489ADA01" w14:textId="46200168" w:rsidR="005C22BA" w:rsidDel="004E52E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C24/17</w:t>
              </w:r>
            </w:hyperlink>
          </w:p>
        </w:tc>
      </w:tr>
      <w:tr w:rsidR="005C22BA" w:rsidRPr="003422B2" w14:paraId="4D7B3EBA" w14:textId="77AA3858" w:rsidTr="00B2724C">
        <w:tc>
          <w:tcPr>
            <w:tcW w:w="900" w:type="dxa"/>
          </w:tcPr>
          <w:p w14:paraId="7D38718C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7969089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</w:t>
            </w:r>
            <w:r>
              <w:rPr>
                <w:sz w:val="21"/>
                <w:szCs w:val="21"/>
                <w:lang w:val="en-US"/>
              </w:rPr>
              <w:t>s</w:t>
            </w:r>
            <w:r w:rsidRPr="003422B2">
              <w:rPr>
                <w:sz w:val="21"/>
                <w:szCs w:val="21"/>
                <w:lang w:val="en-US"/>
              </w:rPr>
              <w:t xml:space="preserve"> for the Union for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8407BF5" w14:textId="4F026523" w:rsidR="005C22BA" w:rsidRPr="003422B2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3" w:history="1">
              <w:r w:rsidR="00B557E4">
                <w:rPr>
                  <w:rStyle w:val="Hyperlink"/>
                  <w:sz w:val="21"/>
                  <w:szCs w:val="21"/>
                  <w:lang w:val="en-US"/>
                </w:rPr>
                <w:t>C24/28</w:t>
              </w:r>
            </w:hyperlink>
          </w:p>
        </w:tc>
      </w:tr>
      <w:tr w:rsidR="005C22BA" w:rsidRPr="003422B2" w14:paraId="2E9741A4" w14:textId="3CE046BD" w:rsidTr="00B2724C">
        <w:tc>
          <w:tcPr>
            <w:tcW w:w="900" w:type="dxa"/>
          </w:tcPr>
          <w:p w14:paraId="0C22567E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C5CC8FD" w14:textId="7A15D919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ITU’s regional presence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306873F" w14:textId="6686DA1B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4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C24/25</w:t>
              </w:r>
            </w:hyperlink>
          </w:p>
        </w:tc>
      </w:tr>
      <w:tr w:rsidR="005C22BA" w:rsidRPr="003422B2" w14:paraId="1D084479" w14:textId="2C7F3369" w:rsidTr="00B2724C">
        <w:tc>
          <w:tcPr>
            <w:tcW w:w="900" w:type="dxa"/>
          </w:tcPr>
          <w:p w14:paraId="7BBDFF1A" w14:textId="7777777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42F07012" w14:textId="6ACC9E05" w:rsidR="005C22BA" w:rsidRDefault="00DA604D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Strengthening the regional presence - </w:t>
            </w:r>
            <w:r w:rsidR="005C22BA" w:rsidRPr="006739F6">
              <w:rPr>
                <w:sz w:val="21"/>
                <w:szCs w:val="21"/>
                <w:lang w:val="en-US"/>
              </w:rPr>
              <w:t xml:space="preserve">Criteria for establishing future </w:t>
            </w:r>
            <w:r>
              <w:rPr>
                <w:sz w:val="21"/>
                <w:szCs w:val="21"/>
                <w:lang w:val="en-US"/>
              </w:rPr>
              <w:t xml:space="preserve">regional and </w:t>
            </w:r>
            <w:r w:rsidR="005C22BA" w:rsidRPr="006739F6">
              <w:rPr>
                <w:sz w:val="21"/>
                <w:szCs w:val="21"/>
                <w:lang w:val="en-US"/>
              </w:rPr>
              <w:t>area offices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6E40D7A" w14:textId="4A2843E4" w:rsidR="005C22BA" w:rsidRPr="006739F6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5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C24/66</w:t>
              </w:r>
            </w:hyperlink>
          </w:p>
        </w:tc>
      </w:tr>
      <w:tr w:rsidR="005C22BA" w:rsidRPr="003422B2" w14:paraId="0AA70766" w14:textId="15E5D2FF" w:rsidTr="00B2724C">
        <w:tc>
          <w:tcPr>
            <w:tcW w:w="900" w:type="dxa"/>
          </w:tcPr>
          <w:p w14:paraId="613798F1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2CF33E3A" w14:textId="7777777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of the Chair of the Council Working Group on Child Online Protection (CWG-COP)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CDC33AA" w14:textId="74958A48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6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C24/15</w:t>
              </w:r>
            </w:hyperlink>
          </w:p>
        </w:tc>
      </w:tr>
      <w:tr w:rsidR="005C22BA" w:rsidRPr="003422B2" w14:paraId="49D5CE66" w14:textId="16B6CEFC" w:rsidTr="00B2724C">
        <w:tc>
          <w:tcPr>
            <w:tcW w:w="900" w:type="dxa"/>
          </w:tcPr>
          <w:p w14:paraId="44D37CBE" w14:textId="77777777" w:rsidR="005C22BA" w:rsidRPr="00820399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06550B5" w14:textId="3B9E2C10" w:rsidR="005C22BA" w:rsidRPr="00820399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74DB8">
              <w:rPr>
                <w:sz w:val="21"/>
                <w:szCs w:val="21"/>
                <w:lang w:val="en-US"/>
              </w:rPr>
              <w:t xml:space="preserve">Report </w:t>
            </w:r>
            <w:r w:rsidR="00374DB8">
              <w:rPr>
                <w:sz w:val="21"/>
                <w:szCs w:val="21"/>
                <w:lang w:val="en-US"/>
              </w:rPr>
              <w:t>by</w:t>
            </w:r>
            <w:r w:rsidRPr="00374DB8">
              <w:rPr>
                <w:sz w:val="21"/>
                <w:szCs w:val="21"/>
                <w:lang w:val="en-US"/>
              </w:rPr>
              <w:t xml:space="preserve"> the Chair of the Council Working Group on Languages (</w:t>
            </w:r>
            <w:proofErr w:type="spellStart"/>
            <w:r w:rsidRPr="00374DB8">
              <w:rPr>
                <w:sz w:val="21"/>
                <w:szCs w:val="21"/>
                <w:lang w:val="en-US"/>
              </w:rPr>
              <w:t>CWG-Lang</w:t>
            </w:r>
            <w:proofErr w:type="spellEnd"/>
            <w:r w:rsidRPr="00374DB8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E2F654C" w14:textId="34C9BA71" w:rsidR="005C22BA" w:rsidRPr="005C22BA" w:rsidRDefault="00133213" w:rsidP="00FD0C3F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17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C24/12</w:t>
              </w:r>
            </w:hyperlink>
          </w:p>
        </w:tc>
      </w:tr>
      <w:tr w:rsidR="005C22BA" w:rsidRPr="003422B2" w14:paraId="5BCA928D" w14:textId="7B4E06F2" w:rsidTr="00B2724C">
        <w:tc>
          <w:tcPr>
            <w:tcW w:w="900" w:type="dxa"/>
          </w:tcPr>
          <w:p w14:paraId="2A5C0410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271495FB" w14:textId="33368599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International Internet-related </w:t>
            </w:r>
            <w:r w:rsidR="00CC7557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B6D794E" w14:textId="4EAE8FF7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8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C24/51</w:t>
              </w:r>
            </w:hyperlink>
          </w:p>
        </w:tc>
      </w:tr>
      <w:tr w:rsidR="005C22BA" w:rsidRPr="003422B2" w14:paraId="0C1604EB" w14:textId="31D3AE3B" w:rsidTr="00B2724C">
        <w:tc>
          <w:tcPr>
            <w:tcW w:w="900" w:type="dxa"/>
          </w:tcPr>
          <w:p w14:paraId="0565194C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2882592" w14:textId="78B9AC7D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r</w:t>
            </w:r>
            <w:r w:rsidRPr="003F710A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the International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0CFE1E1" w14:textId="58A904C3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9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C24/26</w:t>
              </w:r>
            </w:hyperlink>
          </w:p>
        </w:tc>
      </w:tr>
      <w:tr w:rsidR="005C22BA" w:rsidRPr="003422B2" w14:paraId="6853F58E" w14:textId="62194369" w:rsidTr="00B2724C">
        <w:tc>
          <w:tcPr>
            <w:tcW w:w="900" w:type="dxa"/>
          </w:tcPr>
          <w:p w14:paraId="43C76BA9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47A0663" w14:textId="33ADB3B0" w:rsidR="005C22BA" w:rsidRPr="003F710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 w:rsidR="00374DB8"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E3C08B4" w14:textId="0FF80CB3" w:rsidR="005C22BA" w:rsidRPr="003F710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0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C24/8</w:t>
              </w:r>
            </w:hyperlink>
          </w:p>
        </w:tc>
      </w:tr>
      <w:tr w:rsidR="005C22BA" w:rsidRPr="003422B2" w14:paraId="7362D10C" w14:textId="6026E15E" w:rsidTr="00B2724C">
        <w:tc>
          <w:tcPr>
            <w:tcW w:w="900" w:type="dxa"/>
          </w:tcPr>
          <w:p w14:paraId="78003082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A51E8F5" w14:textId="77777777" w:rsidR="005C22BA" w:rsidRPr="003F710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Draft WSIS+20 Report: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4EA0B647" w14:textId="0D4DB230" w:rsidR="005C22BA" w:rsidRPr="00C13D86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1" w:history="1">
              <w:r w:rsidR="00B557E4">
                <w:rPr>
                  <w:rStyle w:val="Hyperlink"/>
                  <w:sz w:val="21"/>
                  <w:szCs w:val="21"/>
                  <w:lang w:val="en-US"/>
                </w:rPr>
                <w:t>C24/60</w:t>
              </w:r>
            </w:hyperlink>
          </w:p>
        </w:tc>
      </w:tr>
      <w:tr w:rsidR="005C22BA" w:rsidRPr="003422B2" w14:paraId="53916279" w14:textId="067DA78D" w:rsidTr="00B2724C">
        <w:tc>
          <w:tcPr>
            <w:tcW w:w="900" w:type="dxa"/>
          </w:tcPr>
          <w:p w14:paraId="30FAB597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D1541FE" w14:textId="77777777" w:rsidR="005C22BA" w:rsidRPr="003F710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D9172F7" w14:textId="1358A64B" w:rsidR="005C22BA" w:rsidRPr="00EA4757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2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C24/33</w:t>
              </w:r>
            </w:hyperlink>
          </w:p>
        </w:tc>
      </w:tr>
      <w:tr w:rsidR="005C22BA" w:rsidRPr="003422B2" w14:paraId="15B55404" w14:textId="6FF41DAF" w:rsidTr="00B2724C">
        <w:tc>
          <w:tcPr>
            <w:tcW w:w="900" w:type="dxa"/>
          </w:tcPr>
          <w:p w14:paraId="0B7B9473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EFAC71D" w14:textId="46BF562A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 xml:space="preserve">ITU activities on strengthening the role of ITU in building confidence and security in the use of ICTs 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323A602" w14:textId="1E8AF2EC" w:rsidR="005C22BA" w:rsidRPr="00EA4757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3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C24/18</w:t>
              </w:r>
            </w:hyperlink>
          </w:p>
        </w:tc>
      </w:tr>
      <w:tr w:rsidR="005C22BA" w:rsidRPr="003422B2" w14:paraId="463EBE8C" w14:textId="09A44FB4" w:rsidTr="00B2724C">
        <w:tc>
          <w:tcPr>
            <w:tcW w:w="900" w:type="dxa"/>
          </w:tcPr>
          <w:p w14:paraId="6864E4EF" w14:textId="77777777" w:rsidR="005C22BA" w:rsidRPr="00DF138D" w:rsidRDefault="005C22BA" w:rsidP="00FD0C3F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1AF899B" w14:textId="161AB8DB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A4757">
              <w:rPr>
                <w:sz w:val="21"/>
                <w:szCs w:val="21"/>
                <w:lang w:val="en-US"/>
              </w:rPr>
              <w:t xml:space="preserve">s </w:t>
            </w:r>
            <w:proofErr w:type="spellStart"/>
            <w:r w:rsidRPr="00EA4757">
              <w:rPr>
                <w:sz w:val="21"/>
                <w:szCs w:val="21"/>
                <w:lang w:val="en-US"/>
              </w:rPr>
              <w:t>programme</w:t>
            </w:r>
            <w:proofErr w:type="spellEnd"/>
            <w:r w:rsidRPr="00EA4757">
              <w:rPr>
                <w:sz w:val="21"/>
                <w:szCs w:val="21"/>
                <w:lang w:val="en-US"/>
              </w:rPr>
              <w:t xml:space="preserve"> on gender equality including </w:t>
            </w:r>
            <w:r>
              <w:rPr>
                <w:sz w:val="21"/>
                <w:szCs w:val="21"/>
                <w:lang w:val="en-US"/>
              </w:rPr>
              <w:t>updates on Council-23 decisions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F926FFA" w14:textId="577E3767" w:rsidR="005C22BA" w:rsidRPr="00EA4757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4" w:history="1">
              <w:r w:rsidR="00A36FEE">
                <w:rPr>
                  <w:rStyle w:val="Hyperlink"/>
                  <w:sz w:val="21"/>
                  <w:szCs w:val="21"/>
                  <w:lang w:val="en-US"/>
                </w:rPr>
                <w:t>C24/6</w:t>
              </w:r>
            </w:hyperlink>
          </w:p>
        </w:tc>
      </w:tr>
      <w:tr w:rsidR="005C22BA" w:rsidRPr="003422B2" w14:paraId="01FE69BC" w14:textId="2FDEB483" w:rsidTr="00B2724C">
        <w:tc>
          <w:tcPr>
            <w:tcW w:w="900" w:type="dxa"/>
          </w:tcPr>
          <w:p w14:paraId="7020E663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9335987" w14:textId="77777777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Youth engagement and initiatives at ITU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DBFC31C" w14:textId="1A3C326E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5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C24/31</w:t>
              </w:r>
            </w:hyperlink>
          </w:p>
        </w:tc>
      </w:tr>
      <w:tr w:rsidR="005C22BA" w:rsidRPr="003422B2" w14:paraId="798B539C" w14:textId="10ACC185" w:rsidTr="00B2724C">
        <w:tc>
          <w:tcPr>
            <w:tcW w:w="900" w:type="dxa"/>
          </w:tcPr>
          <w:p w14:paraId="182B1509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47D2B58A" w14:textId="77777777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Progress made in the preparation of the Youth Summit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4E88D592" w14:textId="1BE4B12A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6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C24/32</w:t>
              </w:r>
            </w:hyperlink>
          </w:p>
        </w:tc>
      </w:tr>
      <w:tr w:rsidR="005C22BA" w:rsidRPr="003422B2" w14:paraId="2C77AD55" w14:textId="72761C1A" w:rsidTr="00B2724C">
        <w:tc>
          <w:tcPr>
            <w:tcW w:w="900" w:type="dxa"/>
          </w:tcPr>
          <w:p w14:paraId="711377C3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2E669DB" w14:textId="410D89D3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 w:rsidR="00051200"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 w:rsidR="00051200"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 xml:space="preserve">and </w:t>
            </w:r>
            <w:r w:rsidRPr="00EF205C">
              <w:rPr>
                <w:sz w:val="21"/>
                <w:szCs w:val="21"/>
                <w:lang w:val="en-US"/>
              </w:rPr>
              <w:t>other international intergovernmental processes</w:t>
            </w:r>
            <w:r w:rsidR="00051200"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s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820F806" w14:textId="7C89E2AE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7" w:history="1">
              <w:r w:rsidR="00051200">
                <w:rPr>
                  <w:rStyle w:val="Hyperlink"/>
                  <w:sz w:val="21"/>
                  <w:szCs w:val="21"/>
                  <w:lang w:val="en-US"/>
                </w:rPr>
                <w:t>C24/55</w:t>
              </w:r>
            </w:hyperlink>
          </w:p>
        </w:tc>
      </w:tr>
      <w:tr w:rsidR="005C22BA" w:rsidRPr="003422B2" w14:paraId="53E35EB2" w14:textId="63D7CB47" w:rsidTr="00B2724C">
        <w:tc>
          <w:tcPr>
            <w:tcW w:w="900" w:type="dxa"/>
          </w:tcPr>
          <w:p w14:paraId="06416741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622E622" w14:textId="5B2DAFD8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 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agenda</w:t>
            </w:r>
            <w:r>
              <w:rPr>
                <w:sz w:val="21"/>
                <w:szCs w:val="21"/>
                <w:lang w:val="en-US"/>
              </w:rPr>
              <w:t>: space as a driver of sustainable development, and its follow-up and review process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89E5F79" w14:textId="03133516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8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C24/36</w:t>
              </w:r>
            </w:hyperlink>
          </w:p>
        </w:tc>
      </w:tr>
      <w:tr w:rsidR="005C22BA" w:rsidRPr="003422B2" w14:paraId="67E7F9EB" w14:textId="1EC18864" w:rsidTr="00B2724C">
        <w:tc>
          <w:tcPr>
            <w:tcW w:w="900" w:type="dxa"/>
          </w:tcPr>
          <w:p w14:paraId="54B4C348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5B47B39" w14:textId="137CE0A6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</w:t>
            </w:r>
            <w:r w:rsidR="006F41DE">
              <w:rPr>
                <w:sz w:val="21"/>
                <w:szCs w:val="21"/>
                <w:lang w:val="en-US"/>
              </w:rPr>
              <w:t xml:space="preserve">PP </w:t>
            </w:r>
            <w:r>
              <w:rPr>
                <w:sz w:val="21"/>
                <w:szCs w:val="21"/>
                <w:lang w:val="en-US"/>
              </w:rPr>
              <w:t>Resolution 214 (Bucharest, 2022) “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  <w:r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19A193B" w14:textId="4289F5F8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9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C24/67</w:t>
              </w:r>
            </w:hyperlink>
          </w:p>
        </w:tc>
      </w:tr>
      <w:tr w:rsidR="005C22BA" w:rsidRPr="003422B2" w14:paraId="716BD7FC" w14:textId="0FC6A90E" w:rsidTr="00B2724C">
        <w:tc>
          <w:tcPr>
            <w:tcW w:w="900" w:type="dxa"/>
          </w:tcPr>
          <w:p w14:paraId="496B9FC3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40DCCB30" w14:textId="5F344AAD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Preparation for the 2026</w:t>
            </w:r>
            <w:r w:rsidRPr="00EF205C">
              <w:rPr>
                <w:sz w:val="21"/>
                <w:szCs w:val="21"/>
                <w:lang w:val="en-US"/>
              </w:rPr>
              <w:t xml:space="preserve"> World Telecommunication/I</w:t>
            </w:r>
            <w:r>
              <w:rPr>
                <w:sz w:val="21"/>
                <w:szCs w:val="21"/>
                <w:lang w:val="en-US"/>
              </w:rPr>
              <w:t>CT</w:t>
            </w:r>
            <w:r w:rsidRPr="00EF205C">
              <w:rPr>
                <w:sz w:val="21"/>
                <w:szCs w:val="21"/>
                <w:lang w:val="en-US"/>
              </w:rPr>
              <w:t xml:space="preserve"> Policy Forum (WTPF</w:t>
            </w:r>
            <w:r w:rsidR="006F41DE">
              <w:rPr>
                <w:sz w:val="21"/>
                <w:szCs w:val="21"/>
                <w:lang w:val="en-US"/>
              </w:rPr>
              <w:t>-26</w:t>
            </w:r>
            <w:r w:rsidRPr="00EF205C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3502F8A" w14:textId="30C3E602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0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C24/5</w:t>
              </w:r>
            </w:hyperlink>
          </w:p>
        </w:tc>
      </w:tr>
      <w:tr w:rsidR="005C22BA" w:rsidRPr="003422B2" w14:paraId="2B64DBF7" w14:textId="463CA1FA" w:rsidTr="00B2724C">
        <w:tc>
          <w:tcPr>
            <w:tcW w:w="900" w:type="dxa"/>
          </w:tcPr>
          <w:p w14:paraId="5149DFCC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A1B7BB0" w14:textId="5FEBC28C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F1ED814" w14:textId="43436286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1" w:history="1">
              <w:r w:rsidR="00051200">
                <w:rPr>
                  <w:rStyle w:val="Hyperlink"/>
                  <w:sz w:val="21"/>
                  <w:szCs w:val="21"/>
                  <w:lang w:val="en-US"/>
                </w:rPr>
                <w:t>C24/68</w:t>
              </w:r>
            </w:hyperlink>
          </w:p>
        </w:tc>
      </w:tr>
      <w:tr w:rsidR="005C22BA" w:rsidRPr="003422B2" w14:paraId="010CACD1" w14:textId="7D542C16" w:rsidTr="00B2724C">
        <w:tc>
          <w:tcPr>
            <w:tcW w:w="900" w:type="dxa"/>
          </w:tcPr>
          <w:p w14:paraId="57576214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4E5A80D1" w14:textId="403BBB25" w:rsidR="005C22BA" w:rsidRPr="00EF205C" w:rsidRDefault="006F41DE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="005C22BA" w:rsidRPr="007F6584">
              <w:rPr>
                <w:sz w:val="21"/>
                <w:szCs w:val="21"/>
                <w:lang w:val="en-US"/>
              </w:rPr>
              <w:t xml:space="preserve">eport on </w:t>
            </w:r>
            <w:r w:rsidR="005C22BA">
              <w:rPr>
                <w:sz w:val="21"/>
                <w:szCs w:val="21"/>
                <w:lang w:val="en-US"/>
              </w:rPr>
              <w:t>a</w:t>
            </w:r>
            <w:r w:rsidR="005C22BA"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12C4A5F" w14:textId="3F3B62BA" w:rsidR="005C22BA" w:rsidRPr="007F658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2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C24/69</w:t>
              </w:r>
            </w:hyperlink>
          </w:p>
        </w:tc>
      </w:tr>
      <w:tr w:rsidR="00DA604D" w:rsidRPr="003422B2" w14:paraId="0F8464D3" w14:textId="77777777" w:rsidTr="00B2724C">
        <w:tc>
          <w:tcPr>
            <w:tcW w:w="900" w:type="dxa"/>
          </w:tcPr>
          <w:p w14:paraId="45865523" w14:textId="77777777" w:rsidR="00DA604D" w:rsidRPr="00160C3F" w:rsidRDefault="00DA604D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4D7CF9EE" w14:textId="4AEFE359" w:rsidR="00DA604D" w:rsidRPr="007F6584" w:rsidRDefault="00DA604D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activities on climate change and environmental sustainability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4E8CED9C" w14:textId="79BA1C2A" w:rsidR="00DA604D" w:rsidRPr="007F658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3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C24/72</w:t>
              </w:r>
            </w:hyperlink>
          </w:p>
        </w:tc>
      </w:tr>
      <w:tr w:rsidR="005C22BA" w:rsidRPr="003422B2" w14:paraId="325624BB" w14:textId="3B2DD416" w:rsidTr="00B2724C">
        <w:tc>
          <w:tcPr>
            <w:tcW w:w="900" w:type="dxa"/>
          </w:tcPr>
          <w:p w14:paraId="5E4E8E10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6ACE83D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82E24F5" w14:textId="3F0DD8CF" w:rsidR="005C22BA" w:rsidRPr="00EF205C" w:rsidRDefault="00DA604D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5C22BA" w:rsidRPr="003422B2" w14:paraId="32317F93" w14:textId="4D4CCA75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DCBF918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51FDB6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CWGs matters, RRB)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5FFC339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52299AB" w14:textId="0FF11795" w:rsidTr="00B2724C">
        <w:tc>
          <w:tcPr>
            <w:tcW w:w="900" w:type="dxa"/>
            <w:tcBorders>
              <w:top w:val="single" w:sz="4" w:space="0" w:color="808080"/>
            </w:tcBorders>
          </w:tcPr>
          <w:p w14:paraId="2FF7ECDD" w14:textId="77777777" w:rsidR="005C22BA" w:rsidDel="0071259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546B88B" w14:textId="6A541AB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Radiocommunication Assembly (RA-23) and </w:t>
            </w:r>
            <w:r w:rsidR="00820399">
              <w:rPr>
                <w:sz w:val="21"/>
                <w:szCs w:val="21"/>
                <w:lang w:val="en-US"/>
              </w:rPr>
              <w:t xml:space="preserve">the </w:t>
            </w:r>
            <w:r w:rsidRPr="00EF205C">
              <w:rPr>
                <w:sz w:val="21"/>
                <w:szCs w:val="21"/>
                <w:lang w:val="en-US"/>
              </w:rPr>
              <w:t>World Radiocommunication Conference</w:t>
            </w:r>
            <w:r w:rsidR="00820399">
              <w:rPr>
                <w:sz w:val="21"/>
                <w:szCs w:val="21"/>
                <w:lang w:val="en-US"/>
              </w:rPr>
              <w:t xml:space="preserve"> 2023</w:t>
            </w:r>
            <w:r w:rsidRPr="00EF205C">
              <w:rPr>
                <w:sz w:val="21"/>
                <w:szCs w:val="21"/>
                <w:lang w:val="en-US"/>
              </w:rPr>
              <w:t xml:space="preserve"> (WRC-23)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F22799C" w14:textId="02F18E47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4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C24/13</w:t>
              </w:r>
            </w:hyperlink>
          </w:p>
        </w:tc>
      </w:tr>
      <w:tr w:rsidR="005C22BA" w:rsidRPr="003422B2" w14:paraId="4C97DFAB" w14:textId="58A01E47" w:rsidTr="00B2724C">
        <w:tc>
          <w:tcPr>
            <w:tcW w:w="900" w:type="dxa"/>
          </w:tcPr>
          <w:p w14:paraId="6B6E018C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763E3C2F" w14:textId="5BFC48FF" w:rsidR="005C22BA" w:rsidRPr="00EF205C" w:rsidRDefault="00D40DA6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Agenda of the </w:t>
            </w:r>
            <w:r w:rsidR="005C22BA">
              <w:rPr>
                <w:sz w:val="21"/>
                <w:szCs w:val="21"/>
                <w:lang w:val="en-US"/>
              </w:rPr>
              <w:t>World Radiocommunication Conference 2027</w:t>
            </w:r>
            <w:r>
              <w:rPr>
                <w:sz w:val="21"/>
                <w:szCs w:val="21"/>
                <w:lang w:val="en-US"/>
              </w:rPr>
              <w:t xml:space="preserve"> (WRC-27)</w:t>
            </w:r>
          </w:p>
        </w:tc>
        <w:tc>
          <w:tcPr>
            <w:tcW w:w="1350" w:type="dxa"/>
          </w:tcPr>
          <w:p w14:paraId="11B66403" w14:textId="50E497A4" w:rsidR="005C22BA" w:rsidRDefault="00D40DA6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C24/64</w:t>
              </w:r>
            </w:hyperlink>
          </w:p>
        </w:tc>
      </w:tr>
      <w:tr w:rsidR="005C22BA" w:rsidRPr="003422B2" w14:paraId="188268BD" w14:textId="1D276EE1" w:rsidTr="00B2724C">
        <w:tc>
          <w:tcPr>
            <w:tcW w:w="900" w:type="dxa"/>
          </w:tcPr>
          <w:p w14:paraId="796C820D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52C6323E" w14:textId="7421C4B5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Preparation</w:t>
            </w:r>
            <w:r>
              <w:rPr>
                <w:sz w:val="21"/>
                <w:szCs w:val="21"/>
                <w:lang w:val="en-US"/>
              </w:rPr>
              <w:t>s</w:t>
            </w:r>
            <w:r w:rsidRPr="00EF205C">
              <w:rPr>
                <w:sz w:val="21"/>
                <w:szCs w:val="21"/>
                <w:lang w:val="en-US"/>
              </w:rPr>
              <w:t xml:space="preserve"> for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="00374DB8">
              <w:rPr>
                <w:sz w:val="21"/>
                <w:szCs w:val="21"/>
                <w:lang w:val="en-US"/>
              </w:rPr>
              <w:t xml:space="preserve">2024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</w:tcPr>
          <w:p w14:paraId="0CD57287" w14:textId="30A3FC78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6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C24/24</w:t>
              </w:r>
            </w:hyperlink>
          </w:p>
        </w:tc>
      </w:tr>
      <w:tr w:rsidR="005C22BA" w:rsidRPr="003422B2" w14:paraId="1986B2CB" w14:textId="73974EC6" w:rsidTr="00B2724C">
        <w:tc>
          <w:tcPr>
            <w:tcW w:w="900" w:type="dxa"/>
          </w:tcPr>
          <w:p w14:paraId="5DF8E9EF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1335668" w14:textId="012C32E0" w:rsidR="005C22BA" w:rsidRPr="00CE4D40" w:rsidRDefault="005C22BA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r>
              <w:rPr>
                <w:spacing w:val="-2"/>
                <w:sz w:val="21"/>
                <w:szCs w:val="21"/>
                <w:lang w:val="en-US"/>
              </w:rPr>
              <w:t>Preparation</w:t>
            </w:r>
            <w:r w:rsidR="00DA604D">
              <w:rPr>
                <w:spacing w:val="-2"/>
                <w:sz w:val="21"/>
                <w:szCs w:val="21"/>
                <w:lang w:val="en-US"/>
              </w:rPr>
              <w:t>s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for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the </w:t>
            </w:r>
            <w:r w:rsidR="00DA604D">
              <w:rPr>
                <w:spacing w:val="-2"/>
                <w:sz w:val="21"/>
                <w:szCs w:val="21"/>
                <w:lang w:val="en-US"/>
              </w:rPr>
              <w:t xml:space="preserve">2025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World Telecommunication Development Conference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</w:t>
            </w:r>
            <w:r w:rsidR="00DA604D">
              <w:rPr>
                <w:spacing w:val="-2"/>
                <w:sz w:val="21"/>
                <w:szCs w:val="21"/>
                <w:lang w:val="en-US"/>
              </w:rPr>
              <w:t>(WTDC-</w:t>
            </w:r>
            <w:r>
              <w:rPr>
                <w:spacing w:val="-2"/>
                <w:sz w:val="21"/>
                <w:szCs w:val="21"/>
                <w:lang w:val="en-US"/>
              </w:rPr>
              <w:t>25</w:t>
            </w:r>
            <w:r w:rsidR="00DA604D">
              <w:rPr>
                <w:spacing w:val="-2"/>
                <w:sz w:val="21"/>
                <w:szCs w:val="21"/>
                <w:lang w:val="en-US"/>
              </w:rPr>
              <w:t>)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0EB608CE" w14:textId="5D8FFB9D" w:rsidR="005C22BA" w:rsidRPr="00CE4D40" w:rsidDel="00BF346B" w:rsidRDefault="00133213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hyperlink r:id="rId37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C24/30</w:t>
              </w:r>
            </w:hyperlink>
          </w:p>
        </w:tc>
      </w:tr>
      <w:tr w:rsidR="005C22BA" w:rsidRPr="003422B2" w14:paraId="7F1175B1" w14:textId="787C7883" w:rsidTr="00B2724C">
        <w:tc>
          <w:tcPr>
            <w:tcW w:w="900" w:type="dxa"/>
          </w:tcPr>
          <w:p w14:paraId="5F85D582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2C5CCC2C" w14:textId="04B61EA0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Outcome of consultations on proposed improvements o</w:t>
            </w:r>
            <w:r w:rsidR="00051200">
              <w:rPr>
                <w:sz w:val="21"/>
                <w:szCs w:val="21"/>
                <w:lang w:val="en-US"/>
              </w:rPr>
              <w:t>f</w:t>
            </w:r>
            <w:r w:rsidRPr="00EF205C">
              <w:rPr>
                <w:sz w:val="21"/>
                <w:szCs w:val="21"/>
                <w:lang w:val="en-US"/>
              </w:rPr>
              <w:t xml:space="preserve"> the Plenipotentiary Conference</w:t>
            </w:r>
          </w:p>
        </w:tc>
        <w:tc>
          <w:tcPr>
            <w:tcW w:w="1350" w:type="dxa"/>
          </w:tcPr>
          <w:p w14:paraId="5A2823D6" w14:textId="0C79EAD0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8" w:history="1">
              <w:r w:rsidR="00051200">
                <w:rPr>
                  <w:rStyle w:val="Hyperlink"/>
                  <w:sz w:val="21"/>
                  <w:szCs w:val="21"/>
                  <w:lang w:val="en-US"/>
                </w:rPr>
                <w:t>C24/4</w:t>
              </w:r>
            </w:hyperlink>
          </w:p>
        </w:tc>
      </w:tr>
      <w:tr w:rsidR="005C22BA" w:rsidRPr="003422B2" w14:paraId="2B3DF76F" w14:textId="50F3B876" w:rsidTr="00B2724C">
        <w:tc>
          <w:tcPr>
            <w:tcW w:w="900" w:type="dxa"/>
          </w:tcPr>
          <w:p w14:paraId="5BDD12F7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4B2D7DBF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F6584">
              <w:rPr>
                <w:sz w:val="21"/>
                <w:szCs w:val="21"/>
                <w:lang w:val="en-US"/>
              </w:rPr>
              <w:t>Preparation of the ITU Strategic and Financial Plans for 2028-2031</w:t>
            </w:r>
          </w:p>
        </w:tc>
        <w:tc>
          <w:tcPr>
            <w:tcW w:w="1350" w:type="dxa"/>
          </w:tcPr>
          <w:p w14:paraId="30F85A0A" w14:textId="40CE6FC6" w:rsidR="005C22BA" w:rsidRPr="007F658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9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C24/59</w:t>
              </w:r>
            </w:hyperlink>
          </w:p>
        </w:tc>
      </w:tr>
      <w:tr w:rsidR="005C22BA" w:rsidRPr="003422B2" w14:paraId="5A4AA01E" w14:textId="42A2FCF0" w:rsidTr="00B2724C">
        <w:tc>
          <w:tcPr>
            <w:tcW w:w="900" w:type="dxa"/>
          </w:tcPr>
          <w:p w14:paraId="034A1826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4C8D0D78" w14:textId="158E224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List of Chairs and Vice-Chairs of </w:t>
            </w:r>
            <w:r>
              <w:rPr>
                <w:sz w:val="21"/>
                <w:szCs w:val="21"/>
                <w:lang w:val="en-US"/>
              </w:rPr>
              <w:t>the Council Working Groups</w:t>
            </w:r>
            <w:r w:rsidR="00B2724C">
              <w:rPr>
                <w:sz w:val="21"/>
                <w:szCs w:val="21"/>
                <w:lang w:val="en-US"/>
              </w:rPr>
              <w:t xml:space="preserve"> and</w:t>
            </w:r>
            <w:r>
              <w:rPr>
                <w:sz w:val="21"/>
                <w:szCs w:val="21"/>
                <w:lang w:val="en-US"/>
              </w:rPr>
              <w:t xml:space="preserve"> Expert Groups</w:t>
            </w:r>
          </w:p>
        </w:tc>
        <w:tc>
          <w:tcPr>
            <w:tcW w:w="1350" w:type="dxa"/>
          </w:tcPr>
          <w:p w14:paraId="01CE4BB9" w14:textId="75B598F2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0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C24/21</w:t>
              </w:r>
            </w:hyperlink>
          </w:p>
        </w:tc>
      </w:tr>
      <w:tr w:rsidR="005C22BA" w:rsidRPr="003422B2" w14:paraId="3B30A80E" w14:textId="623BA516" w:rsidTr="00B2724C">
        <w:tc>
          <w:tcPr>
            <w:tcW w:w="900" w:type="dxa"/>
          </w:tcPr>
          <w:p w14:paraId="7BED827A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61B36B85" w14:textId="26C83890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2025, 2026, 2027 sessions of the Council</w:t>
            </w:r>
            <w:r>
              <w:rPr>
                <w:sz w:val="21"/>
                <w:szCs w:val="21"/>
                <w:lang w:val="en-US"/>
              </w:rPr>
              <w:t xml:space="preserve"> along with the proposed dates of clusters of</w:t>
            </w:r>
            <w:r w:rsidRPr="00EF205C">
              <w:rPr>
                <w:sz w:val="21"/>
                <w:szCs w:val="21"/>
                <w:lang w:val="en-US"/>
              </w:rPr>
              <w:t xml:space="preserve"> 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EF205C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EF205C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>roups and Expert Groups for the same period</w:t>
            </w:r>
          </w:p>
        </w:tc>
        <w:tc>
          <w:tcPr>
            <w:tcW w:w="1350" w:type="dxa"/>
          </w:tcPr>
          <w:p w14:paraId="253935A2" w14:textId="1DFF1359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1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C24/2</w:t>
              </w:r>
            </w:hyperlink>
          </w:p>
        </w:tc>
      </w:tr>
      <w:tr w:rsidR="005C22BA" w:rsidRPr="003422B2" w14:paraId="4E4381D0" w14:textId="1ECB3CE7" w:rsidTr="00B2724C">
        <w:tc>
          <w:tcPr>
            <w:tcW w:w="900" w:type="dxa"/>
          </w:tcPr>
          <w:p w14:paraId="54ABF9A6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649549F7" w14:textId="6A2EBE6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Schedule of future conferences, </w:t>
            </w:r>
            <w:proofErr w:type="gramStart"/>
            <w:r w:rsidRPr="00EF205C">
              <w:rPr>
                <w:sz w:val="21"/>
                <w:szCs w:val="21"/>
                <w:lang w:val="en-US"/>
              </w:rPr>
              <w:t>assemblies</w:t>
            </w:r>
            <w:proofErr w:type="gramEnd"/>
            <w:r w:rsidRPr="00EF205C">
              <w:rPr>
                <w:sz w:val="21"/>
                <w:szCs w:val="21"/>
                <w:lang w:val="en-US"/>
              </w:rPr>
              <w:t xml:space="preserve"> and meetings of the Union: 2024-2027 </w:t>
            </w:r>
          </w:p>
        </w:tc>
        <w:tc>
          <w:tcPr>
            <w:tcW w:w="1350" w:type="dxa"/>
          </w:tcPr>
          <w:p w14:paraId="75EC3478" w14:textId="599182D2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C24/37</w:t>
              </w:r>
            </w:hyperlink>
          </w:p>
        </w:tc>
      </w:tr>
      <w:tr w:rsidR="005C22BA" w:rsidRPr="003422B2" w14:paraId="393F56C4" w14:textId="01A5D589" w:rsidTr="00B2724C">
        <w:tc>
          <w:tcPr>
            <w:tcW w:w="900" w:type="dxa"/>
          </w:tcPr>
          <w:p w14:paraId="0ED7F6C9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0E2337EB" w14:textId="7777777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Obsolete Council Resolutions &amp; Decisions</w:t>
            </w:r>
          </w:p>
          <w:p w14:paraId="7824DD01" w14:textId="77E71E9A" w:rsidR="005C22BA" w:rsidRPr="00A32B29" w:rsidRDefault="005C22BA" w:rsidP="000C26F4">
            <w:pPr>
              <w:pStyle w:val="ListParagraph"/>
              <w:numPr>
                <w:ilvl w:val="0"/>
                <w:numId w:val="2"/>
              </w:numPr>
              <w:spacing w:before="0" w:after="120" w:line="240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Conclusions from the third meeting of the </w:t>
            </w:r>
            <w:r w:rsidRPr="00E67ED1">
              <w:rPr>
                <w:sz w:val="21"/>
                <w:szCs w:val="21"/>
                <w:lang w:val="en-US"/>
              </w:rPr>
              <w:t xml:space="preserve">TSAG </w:t>
            </w:r>
            <w:r>
              <w:rPr>
                <w:sz w:val="21"/>
                <w:szCs w:val="21"/>
                <w:lang w:val="en-US"/>
              </w:rPr>
              <w:t>on the use of the term “Chair” instead of “Chairman” in ITU-T recommendations</w:t>
            </w:r>
          </w:p>
        </w:tc>
        <w:tc>
          <w:tcPr>
            <w:tcW w:w="1350" w:type="dxa"/>
          </w:tcPr>
          <w:p w14:paraId="411B6797" w14:textId="77777777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3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</w:t>
              </w:r>
            </w:hyperlink>
          </w:p>
          <w:p w14:paraId="51FD98A6" w14:textId="44BE362E" w:rsidR="00B2724C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4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C24/65</w:t>
              </w:r>
            </w:hyperlink>
          </w:p>
        </w:tc>
      </w:tr>
      <w:tr w:rsidR="005C22BA" w:rsidRPr="003422B2" w14:paraId="006AFE52" w14:textId="08D5F4C5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DF06A27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B2548EA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31BEE0E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2C2B55C9" w14:textId="31884350" w:rsidTr="00B2724C">
        <w:tc>
          <w:tcPr>
            <w:tcW w:w="900" w:type="dxa"/>
            <w:tcBorders>
              <w:top w:val="single" w:sz="4" w:space="0" w:color="808080"/>
            </w:tcBorders>
          </w:tcPr>
          <w:p w14:paraId="23AB43F1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7C5A3835" w14:textId="788DFF9D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 resource mobilization strategy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38B1EB1" w14:textId="1EBA7C30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5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C24/70</w:t>
              </w:r>
            </w:hyperlink>
          </w:p>
        </w:tc>
      </w:tr>
      <w:tr w:rsidR="005C22BA" w:rsidRPr="003422B2" w14:paraId="2184D130" w14:textId="1B2542D8" w:rsidTr="00B2724C">
        <w:tc>
          <w:tcPr>
            <w:tcW w:w="900" w:type="dxa"/>
            <w:tcBorders>
              <w:top w:val="single" w:sz="4" w:space="0" w:color="808080"/>
            </w:tcBorders>
          </w:tcPr>
          <w:p w14:paraId="1586B9F1" w14:textId="77777777" w:rsidR="005C22BA" w:rsidRPr="00160C3F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6C9815AF" w14:textId="7D4CE690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 w:rsidR="00DA604D"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F822A70" w14:textId="26926974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6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C24/50</w:t>
              </w:r>
            </w:hyperlink>
          </w:p>
        </w:tc>
      </w:tr>
      <w:tr w:rsidR="005C22BA" w:rsidRPr="003422B2" w14:paraId="36D44993" w14:textId="3FA2FFF3" w:rsidTr="00B2724C">
        <w:tc>
          <w:tcPr>
            <w:tcW w:w="900" w:type="dxa"/>
            <w:tcBorders>
              <w:top w:val="single" w:sz="4" w:space="0" w:color="808080"/>
            </w:tcBorders>
          </w:tcPr>
          <w:p w14:paraId="7F59E697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6F02BFD" w14:textId="1475F9B4" w:rsidR="005C22BA" w:rsidRPr="003422B2" w:rsidRDefault="00B272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</w:t>
            </w:r>
            <w:r w:rsidR="005C22BA" w:rsidRPr="00EF205C">
              <w:rPr>
                <w:sz w:val="21"/>
                <w:szCs w:val="21"/>
                <w:lang w:val="en-US"/>
              </w:rPr>
              <w:t xml:space="preserve">Chair of </w:t>
            </w:r>
            <w:r w:rsidR="005C22BA">
              <w:rPr>
                <w:sz w:val="21"/>
                <w:szCs w:val="21"/>
                <w:lang w:val="en-US"/>
              </w:rPr>
              <w:t>the Expert Group on Decision 482 (</w:t>
            </w:r>
            <w:r w:rsidR="005C22BA" w:rsidRPr="00EF205C">
              <w:rPr>
                <w:sz w:val="21"/>
                <w:szCs w:val="21"/>
                <w:lang w:val="en-US"/>
              </w:rPr>
              <w:t>EG-Dec482</w:t>
            </w:r>
            <w:r w:rsidR="005C22B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B41F174" w14:textId="635BE31F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7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C24/10</w:t>
              </w:r>
            </w:hyperlink>
          </w:p>
        </w:tc>
      </w:tr>
      <w:tr w:rsidR="005C22BA" w:rsidRPr="003422B2" w14:paraId="658FE538" w14:textId="5BD8E9B9" w:rsidTr="00B2724C">
        <w:tc>
          <w:tcPr>
            <w:tcW w:w="900" w:type="dxa"/>
            <w:tcBorders>
              <w:top w:val="single" w:sz="4" w:space="0" w:color="808080"/>
            </w:tcBorders>
          </w:tcPr>
          <w:p w14:paraId="09175CE1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6052DA5C" w14:textId="61F7F6AF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Annual review of revenue and expenses of the implementation of the </w:t>
            </w:r>
            <w:r w:rsidR="00D40DA6">
              <w:rPr>
                <w:sz w:val="21"/>
                <w:szCs w:val="21"/>
                <w:lang w:val="en-US"/>
              </w:rPr>
              <w:t xml:space="preserve">2024 </w:t>
            </w:r>
            <w:r w:rsidRPr="00EF205C">
              <w:rPr>
                <w:sz w:val="21"/>
                <w:szCs w:val="21"/>
                <w:lang w:val="en-US"/>
              </w:rPr>
              <w:t>budget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2B8B3E57" w14:textId="4D4B1464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8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C24/9</w:t>
              </w:r>
            </w:hyperlink>
          </w:p>
        </w:tc>
      </w:tr>
      <w:tr w:rsidR="005C22BA" w:rsidRPr="003422B2" w14:paraId="656389B9" w14:textId="4A9D04DE" w:rsidTr="00B2724C">
        <w:tc>
          <w:tcPr>
            <w:tcW w:w="900" w:type="dxa"/>
            <w:tcBorders>
              <w:top w:val="single" w:sz="4" w:space="0" w:color="808080"/>
            </w:tcBorders>
          </w:tcPr>
          <w:p w14:paraId="37C422FA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7A7E9693" w14:textId="0A1DD14B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4D08F7F" w14:textId="5E687F4A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9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C24/16</w:t>
              </w:r>
            </w:hyperlink>
          </w:p>
        </w:tc>
      </w:tr>
      <w:tr w:rsidR="005C22BA" w:rsidRPr="003422B2" w14:paraId="0632FE91" w14:textId="501D9C41" w:rsidTr="00B2724C">
        <w:tc>
          <w:tcPr>
            <w:tcW w:w="900" w:type="dxa"/>
            <w:tcBorders>
              <w:top w:val="single" w:sz="4" w:space="0" w:color="808080"/>
            </w:tcBorders>
          </w:tcPr>
          <w:p w14:paraId="36A7760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167624D" w14:textId="7A942C0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Arrears and special arrears accounts 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B004E65" w14:textId="7CFDAD68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0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C24/11</w:t>
              </w:r>
            </w:hyperlink>
          </w:p>
        </w:tc>
      </w:tr>
      <w:tr w:rsidR="005C22BA" w:rsidRPr="003422B2" w14:paraId="5EE1D2C3" w14:textId="75CC37EE" w:rsidTr="00B2724C">
        <w:tc>
          <w:tcPr>
            <w:tcW w:w="900" w:type="dxa"/>
            <w:tcBorders>
              <w:top w:val="single" w:sz="4" w:space="0" w:color="808080"/>
            </w:tcBorders>
          </w:tcPr>
          <w:p w14:paraId="6D5CA4F0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6308819" w14:textId="02788D1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68A8AFD" w14:textId="3557BD96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1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C24/38</w:t>
              </w:r>
            </w:hyperlink>
          </w:p>
        </w:tc>
      </w:tr>
      <w:tr w:rsidR="005C22BA" w:rsidRPr="003422B2" w14:paraId="2432A34F" w14:textId="7C02EA8B" w:rsidTr="00B2724C">
        <w:tc>
          <w:tcPr>
            <w:tcW w:w="900" w:type="dxa"/>
            <w:tcBorders>
              <w:top w:val="single" w:sz="4" w:space="0" w:color="808080"/>
            </w:tcBorders>
          </w:tcPr>
          <w:p w14:paraId="185F7F13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229AB586" w14:textId="65C9856B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Information and Communication Technologies Development Fund (ICT-DF) 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6ECC026" w14:textId="08EC7263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2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C24/34</w:t>
              </w:r>
            </w:hyperlink>
          </w:p>
        </w:tc>
      </w:tr>
      <w:tr w:rsidR="005C22BA" w:rsidRPr="003422B2" w14:paraId="71528025" w14:textId="139429C7" w:rsidTr="00B2724C">
        <w:tc>
          <w:tcPr>
            <w:tcW w:w="900" w:type="dxa"/>
            <w:tcBorders>
              <w:top w:val="single" w:sz="4" w:space="0" w:color="808080"/>
            </w:tcBorders>
          </w:tcPr>
          <w:p w14:paraId="45AFC811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39B2120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6138512" w14:textId="7CE3A2BD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3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C24/46</w:t>
              </w:r>
            </w:hyperlink>
          </w:p>
        </w:tc>
      </w:tr>
      <w:tr w:rsidR="005C22BA" w:rsidRPr="003422B2" w14:paraId="3144E30F" w14:textId="25E4CBD9" w:rsidTr="00B2724C">
        <w:tc>
          <w:tcPr>
            <w:tcW w:w="900" w:type="dxa"/>
            <w:tcBorders>
              <w:top w:val="single" w:sz="4" w:space="0" w:color="808080"/>
            </w:tcBorders>
          </w:tcPr>
          <w:p w14:paraId="050AFC23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1778563" w14:textId="70B94E8E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 fee</w:t>
            </w:r>
            <w:r>
              <w:rPr>
                <w:sz w:val="21"/>
                <w:szCs w:val="21"/>
                <w:lang w:val="en-US"/>
              </w:rPr>
              <w:t xml:space="preserve">s for </w:t>
            </w:r>
            <w:r w:rsidRPr="00EF205C">
              <w:rPr>
                <w:sz w:val="21"/>
                <w:szCs w:val="21"/>
                <w:lang w:val="en-US"/>
              </w:rPr>
              <w:t>organizations</w:t>
            </w:r>
            <w:r>
              <w:rPr>
                <w:sz w:val="21"/>
                <w:szCs w:val="21"/>
                <w:lang w:val="en-US"/>
              </w:rPr>
              <w:t xml:space="preserve">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 </w:t>
            </w:r>
            <w:r>
              <w:rPr>
                <w:sz w:val="21"/>
                <w:szCs w:val="21"/>
                <w:lang w:val="en-US"/>
              </w:rPr>
              <w:t>character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56D022C" w14:textId="49B28C8A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4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C24/39</w:t>
              </w:r>
            </w:hyperlink>
          </w:p>
        </w:tc>
      </w:tr>
      <w:tr w:rsidR="005C22BA" w:rsidRPr="003422B2" w14:paraId="6998CF20" w14:textId="51F9309E" w:rsidTr="00B2724C">
        <w:tc>
          <w:tcPr>
            <w:tcW w:w="900" w:type="dxa"/>
            <w:tcBorders>
              <w:top w:val="single" w:sz="4" w:space="0" w:color="808080"/>
            </w:tcBorders>
          </w:tcPr>
          <w:p w14:paraId="3AC783DA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31A0E07" w14:textId="10078CE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>articipation of</w:t>
            </w:r>
            <w:r>
              <w:rPr>
                <w:sz w:val="21"/>
                <w:szCs w:val="21"/>
                <w:lang w:val="en-US"/>
              </w:rPr>
              <w:t xml:space="preserve"> other</w:t>
            </w:r>
            <w:r w:rsidRPr="00EF205C">
              <w:rPr>
                <w:sz w:val="21"/>
                <w:szCs w:val="21"/>
                <w:lang w:val="en-US"/>
              </w:rPr>
              <w:t xml:space="preserve"> entities dealing with telecommunication matters in the activities of ITU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FCB070C" w14:textId="0F1B48D9" w:rsidR="005C22BA" w:rsidRPr="00EF205C" w:rsidDel="00D753F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5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C24/58</w:t>
              </w:r>
            </w:hyperlink>
          </w:p>
        </w:tc>
      </w:tr>
      <w:tr w:rsidR="005C22BA" w:rsidRPr="003422B2" w14:paraId="400F7F0B" w14:textId="0ADA358C" w:rsidTr="00B2724C">
        <w:tc>
          <w:tcPr>
            <w:tcW w:w="900" w:type="dxa"/>
            <w:tcBorders>
              <w:top w:val="single" w:sz="4" w:space="0" w:color="808080"/>
            </w:tcBorders>
          </w:tcPr>
          <w:p w14:paraId="264EDB63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A4339DC" w14:textId="159176B5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Admittance of the Republic of </w:t>
            </w:r>
            <w:r w:rsidRPr="00C5371A">
              <w:rPr>
                <w:sz w:val="21"/>
                <w:szCs w:val="21"/>
                <w:lang w:val="en-US"/>
              </w:rPr>
              <w:t>Palau</w:t>
            </w:r>
            <w:r>
              <w:rPr>
                <w:sz w:val="21"/>
                <w:szCs w:val="21"/>
                <w:lang w:val="en-US"/>
              </w:rPr>
              <w:t xml:space="preserve"> and subsequent contributory share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7044FBB2" w14:textId="60B30F00" w:rsidR="005C22B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6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C24/62</w:t>
              </w:r>
            </w:hyperlink>
          </w:p>
        </w:tc>
      </w:tr>
      <w:tr w:rsidR="005C22BA" w:rsidRPr="003422B2" w14:paraId="1AC7F087" w14:textId="2178D294" w:rsidTr="00B2724C">
        <w:tc>
          <w:tcPr>
            <w:tcW w:w="900" w:type="dxa"/>
            <w:tcBorders>
              <w:top w:val="single" w:sz="4" w:space="0" w:color="808080"/>
            </w:tcBorders>
          </w:tcPr>
          <w:p w14:paraId="2D89A5D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14ABB83E" w14:textId="77777777" w:rsidR="005C22BA" w:rsidRPr="00C5371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 xml:space="preserve">Allocations of savings achieved in 2023 budget implementation and </w:t>
            </w:r>
            <w:r>
              <w:rPr>
                <w:sz w:val="21"/>
                <w:szCs w:val="21"/>
                <w:lang w:val="en-US"/>
              </w:rPr>
              <w:t>E</w:t>
            </w:r>
            <w:r w:rsidRPr="00432350">
              <w:rPr>
                <w:sz w:val="21"/>
                <w:szCs w:val="21"/>
                <w:lang w:val="en-US"/>
              </w:rPr>
              <w:t xml:space="preserve">xhibition </w:t>
            </w:r>
            <w:r>
              <w:rPr>
                <w:sz w:val="21"/>
                <w:szCs w:val="21"/>
                <w:lang w:val="en-US"/>
              </w:rPr>
              <w:t>W</w:t>
            </w:r>
            <w:r w:rsidRPr="00432350">
              <w:rPr>
                <w:sz w:val="21"/>
                <w:szCs w:val="21"/>
                <w:lang w:val="en-US"/>
              </w:rPr>
              <w:t xml:space="preserve">orking </w:t>
            </w:r>
            <w:r>
              <w:rPr>
                <w:sz w:val="21"/>
                <w:szCs w:val="21"/>
                <w:lang w:val="en-US"/>
              </w:rPr>
              <w:t>C</w:t>
            </w:r>
            <w:r w:rsidRPr="00432350">
              <w:rPr>
                <w:sz w:val="21"/>
                <w:szCs w:val="21"/>
                <w:lang w:val="en-US"/>
              </w:rPr>
              <w:t xml:space="preserve">apital </w:t>
            </w:r>
            <w:r>
              <w:rPr>
                <w:sz w:val="21"/>
                <w:szCs w:val="21"/>
                <w:lang w:val="en-US"/>
              </w:rPr>
              <w:t>F</w:t>
            </w:r>
            <w:r w:rsidRPr="00432350">
              <w:rPr>
                <w:sz w:val="21"/>
                <w:szCs w:val="21"/>
                <w:lang w:val="en-US"/>
              </w:rPr>
              <w:t>und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333356F" w14:textId="3A1AA662" w:rsidR="005C22BA" w:rsidRPr="00432350" w:rsidRDefault="00820399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C24/19</w:t>
              </w:r>
            </w:hyperlink>
          </w:p>
        </w:tc>
      </w:tr>
      <w:tr w:rsidR="005C22BA" w:rsidRPr="003422B2" w14:paraId="6CCB5161" w14:textId="4E95A99B" w:rsidTr="00B2724C">
        <w:tc>
          <w:tcPr>
            <w:tcW w:w="900" w:type="dxa"/>
            <w:tcBorders>
              <w:top w:val="single" w:sz="4" w:space="0" w:color="808080"/>
            </w:tcBorders>
          </w:tcPr>
          <w:p w14:paraId="036321E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D18002C" w14:textId="77777777" w:rsidR="005C22BA" w:rsidRPr="00C5371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>Annual budgetary implications of addressing the WRC-23 decisions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E9887AF" w14:textId="5F094A53" w:rsidR="005C22BA" w:rsidRPr="00432350" w:rsidRDefault="00CC7557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C24/63</w:t>
              </w:r>
            </w:hyperlink>
          </w:p>
        </w:tc>
      </w:tr>
      <w:tr w:rsidR="005C22BA" w:rsidRPr="003422B2" w14:paraId="07EB84CC" w14:textId="1C9A1F64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EFDD552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AED97F5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FB2F87F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37536A7E" w14:textId="6FF410AD" w:rsidTr="00B2724C">
        <w:tc>
          <w:tcPr>
            <w:tcW w:w="900" w:type="dxa"/>
            <w:tcBorders>
              <w:top w:val="single" w:sz="4" w:space="0" w:color="808080"/>
            </w:tcBorders>
          </w:tcPr>
          <w:p w14:paraId="71524413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7C0A6F0E" w14:textId="16E6BAF2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Financial operating report for </w:t>
            </w:r>
            <w:r w:rsidR="00CC7557">
              <w:rPr>
                <w:sz w:val="21"/>
                <w:szCs w:val="21"/>
                <w:lang w:val="en-US"/>
              </w:rPr>
              <w:t xml:space="preserve">the financial year </w:t>
            </w:r>
            <w:r w:rsidRPr="003422B2">
              <w:rPr>
                <w:sz w:val="21"/>
                <w:szCs w:val="21"/>
                <w:lang w:val="en-US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0130B650" w14:textId="20468C44" w:rsidR="005C22BA" w:rsidRPr="003422B2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9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C24/40</w:t>
              </w:r>
            </w:hyperlink>
          </w:p>
        </w:tc>
      </w:tr>
      <w:tr w:rsidR="005C22BA" w:rsidRPr="003422B2" w14:paraId="6F850E11" w14:textId="44CEB91C" w:rsidTr="00B2724C">
        <w:tc>
          <w:tcPr>
            <w:tcW w:w="900" w:type="dxa"/>
          </w:tcPr>
          <w:p w14:paraId="162927BC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43E62778" w14:textId="724292D3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</w:t>
            </w:r>
            <w:r w:rsidR="00CC7557">
              <w:rPr>
                <w:sz w:val="21"/>
                <w:szCs w:val="21"/>
                <w:lang w:val="en-US"/>
              </w:rPr>
              <w:t>’s</w:t>
            </w:r>
            <w:r w:rsidRPr="003422B2">
              <w:rPr>
                <w:sz w:val="21"/>
                <w:szCs w:val="21"/>
                <w:lang w:val="en-US"/>
              </w:rPr>
              <w:t xml:space="preserve"> report</w:t>
            </w:r>
            <w:r w:rsidR="00CC7557">
              <w:rPr>
                <w:sz w:val="21"/>
                <w:szCs w:val="21"/>
                <w:lang w:val="en-US"/>
              </w:rPr>
              <w:t xml:space="preserve"> on ITU’s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2022</w:t>
            </w:r>
            <w:r w:rsidR="00CC7557">
              <w:rPr>
                <w:sz w:val="21"/>
                <w:szCs w:val="21"/>
                <w:lang w:val="en-US"/>
              </w:rPr>
              <w:t xml:space="preserve"> financial statements</w:t>
            </w:r>
          </w:p>
        </w:tc>
        <w:tc>
          <w:tcPr>
            <w:tcW w:w="1350" w:type="dxa"/>
          </w:tcPr>
          <w:p w14:paraId="49A03ACB" w14:textId="1C6C6E28" w:rsidR="005C22BA" w:rsidRPr="003422B2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0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C24/41</w:t>
              </w:r>
            </w:hyperlink>
          </w:p>
        </w:tc>
      </w:tr>
      <w:tr w:rsidR="005C22BA" w:rsidRPr="003422B2" w14:paraId="53DAFAAC" w14:textId="22FC57F6" w:rsidTr="00B2724C">
        <w:tc>
          <w:tcPr>
            <w:tcW w:w="900" w:type="dxa"/>
          </w:tcPr>
          <w:p w14:paraId="5E799C75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7A741F20" w14:textId="0F327041" w:rsidR="005C22BA" w:rsidRPr="008C4A58" w:rsidRDefault="008C4A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 xml:space="preserve">Financial operating report for the financial year </w:t>
            </w:r>
            <w:r w:rsidR="005C22BA" w:rsidRPr="008C4A58">
              <w:rPr>
                <w:sz w:val="21"/>
                <w:szCs w:val="21"/>
                <w:lang w:val="en-US"/>
              </w:rPr>
              <w:t>2023</w:t>
            </w:r>
          </w:p>
        </w:tc>
        <w:tc>
          <w:tcPr>
            <w:tcW w:w="1350" w:type="dxa"/>
          </w:tcPr>
          <w:p w14:paraId="45C74684" w14:textId="72350096" w:rsidR="005C22BA" w:rsidRPr="008C4A58" w:rsidRDefault="00133213" w:rsidP="00FD0C3F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61" w:history="1">
              <w:r w:rsidRPr="00133213">
                <w:rPr>
                  <w:rStyle w:val="Hyperlink"/>
                  <w:sz w:val="21"/>
                  <w:szCs w:val="21"/>
                  <w:lang w:val="en-US"/>
                </w:rPr>
                <w:t>C24/XX</w:t>
              </w:r>
            </w:hyperlink>
          </w:p>
        </w:tc>
      </w:tr>
      <w:tr w:rsidR="005C22BA" w:rsidRPr="003422B2" w14:paraId="2B22B2FB" w14:textId="08E9211B" w:rsidTr="00B2724C">
        <w:tc>
          <w:tcPr>
            <w:tcW w:w="900" w:type="dxa"/>
          </w:tcPr>
          <w:p w14:paraId="12CF6FA1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AFA307B" w14:textId="77777777" w:rsidR="005C22BA" w:rsidRPr="008C4A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External Auditor report: Union’s account 2023</w:t>
            </w:r>
          </w:p>
        </w:tc>
        <w:tc>
          <w:tcPr>
            <w:tcW w:w="1350" w:type="dxa"/>
          </w:tcPr>
          <w:p w14:paraId="72A7B28A" w14:textId="02C6F0BF" w:rsidR="005C22BA" w:rsidRPr="008C4A58" w:rsidRDefault="00133213" w:rsidP="00FD0C3F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62" w:history="1">
              <w:r w:rsidR="008C4A58" w:rsidRPr="00133213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Pr="00133213">
                <w:rPr>
                  <w:rStyle w:val="Hyperlink"/>
                  <w:sz w:val="21"/>
                  <w:szCs w:val="21"/>
                  <w:lang w:val="en-US"/>
                </w:rPr>
                <w:t>XX</w:t>
              </w:r>
            </w:hyperlink>
          </w:p>
        </w:tc>
      </w:tr>
      <w:tr w:rsidR="005C22BA" w:rsidRPr="003422B2" w14:paraId="3866574A" w14:textId="26795F01" w:rsidTr="00B2724C">
        <w:tc>
          <w:tcPr>
            <w:tcW w:w="900" w:type="dxa"/>
          </w:tcPr>
          <w:p w14:paraId="6D3907EB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FF1C02D" w14:textId="11E03DF4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 w:rsidR="00DA604D">
              <w:rPr>
                <w:sz w:val="21"/>
                <w:szCs w:val="21"/>
                <w:lang w:val="en-US"/>
              </w:rPr>
              <w:t xml:space="preserve"> on</w:t>
            </w:r>
            <w:r w:rsidRPr="00EF205C">
              <w:rPr>
                <w:sz w:val="21"/>
                <w:szCs w:val="21"/>
                <w:lang w:val="en-US"/>
              </w:rPr>
              <w:t xml:space="preserve"> internal audit </w:t>
            </w:r>
            <w:r w:rsidR="00DA604D">
              <w:rPr>
                <w:sz w:val="21"/>
                <w:szCs w:val="21"/>
                <w:lang w:val="en-US"/>
              </w:rPr>
              <w:t>activities</w:t>
            </w:r>
          </w:p>
        </w:tc>
        <w:tc>
          <w:tcPr>
            <w:tcW w:w="1350" w:type="dxa"/>
          </w:tcPr>
          <w:p w14:paraId="193E8168" w14:textId="7F409345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3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C24/44</w:t>
              </w:r>
            </w:hyperlink>
          </w:p>
        </w:tc>
      </w:tr>
      <w:tr w:rsidR="005C22BA" w:rsidRPr="003422B2" w14:paraId="2D0EB21B" w14:textId="0DF736AB" w:rsidTr="00B2724C">
        <w:tc>
          <w:tcPr>
            <w:tcW w:w="900" w:type="dxa"/>
          </w:tcPr>
          <w:p w14:paraId="492F7CA9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DCE43E0" w14:textId="0B0C6DAC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 w:rsidR="00DA604D">
              <w:rPr>
                <w:sz w:val="21"/>
                <w:szCs w:val="21"/>
                <w:lang w:val="en-US"/>
              </w:rPr>
              <w:t xml:space="preserve"> -</w:t>
            </w:r>
            <w:r w:rsidRPr="00EF205C">
              <w:rPr>
                <w:sz w:val="21"/>
                <w:szCs w:val="21"/>
                <w:lang w:val="en-US"/>
              </w:rPr>
              <w:t xml:space="preserve"> investigation function</w:t>
            </w:r>
          </w:p>
        </w:tc>
        <w:tc>
          <w:tcPr>
            <w:tcW w:w="1350" w:type="dxa"/>
          </w:tcPr>
          <w:p w14:paraId="5FF90753" w14:textId="6B5ECD67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4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C24/47</w:t>
              </w:r>
            </w:hyperlink>
          </w:p>
        </w:tc>
      </w:tr>
      <w:tr w:rsidR="005C22BA" w:rsidRPr="003422B2" w14:paraId="216FA315" w14:textId="6F9AE6BF" w:rsidTr="00B2724C">
        <w:tc>
          <w:tcPr>
            <w:tcW w:w="900" w:type="dxa"/>
          </w:tcPr>
          <w:p w14:paraId="27D38576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78B3B690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350" w:type="dxa"/>
          </w:tcPr>
          <w:p w14:paraId="2493274C" w14:textId="576C380B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5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C24/14</w:t>
              </w:r>
            </w:hyperlink>
          </w:p>
        </w:tc>
      </w:tr>
      <w:tr w:rsidR="005C22BA" w:rsidRPr="003422B2" w14:paraId="5A7CB84C" w14:textId="3C575677" w:rsidTr="00B2724C">
        <w:tc>
          <w:tcPr>
            <w:tcW w:w="900" w:type="dxa"/>
          </w:tcPr>
          <w:p w14:paraId="52D01E57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1528D4E9" w14:textId="0883BCFF" w:rsidR="005C22BA" w:rsidRPr="008C4A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350" w:type="dxa"/>
          </w:tcPr>
          <w:p w14:paraId="7D9CF47C" w14:textId="7016DB87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6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C24/49</w:t>
              </w:r>
            </w:hyperlink>
          </w:p>
        </w:tc>
      </w:tr>
      <w:tr w:rsidR="005C22BA" w:rsidRPr="003422B2" w14:paraId="7563F515" w14:textId="67CFD0E5" w:rsidTr="00B2724C">
        <w:tc>
          <w:tcPr>
            <w:tcW w:w="900" w:type="dxa"/>
          </w:tcPr>
          <w:p w14:paraId="0AAB082E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5E6575C5" w14:textId="14819F82" w:rsidR="005C22BA" w:rsidRPr="008C4A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Thirteenth report of the Independent Management Advisory Committee (IMAC)</w:t>
            </w:r>
          </w:p>
        </w:tc>
        <w:tc>
          <w:tcPr>
            <w:tcW w:w="1350" w:type="dxa"/>
          </w:tcPr>
          <w:p w14:paraId="2A8DCBD1" w14:textId="106D3C9D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7" w:history="1">
              <w:r w:rsidR="005D54F4">
                <w:rPr>
                  <w:rStyle w:val="Hyperlink"/>
                  <w:sz w:val="21"/>
                  <w:szCs w:val="21"/>
                  <w:lang w:val="en-US"/>
                </w:rPr>
                <w:t>C24/22</w:t>
              </w:r>
            </w:hyperlink>
          </w:p>
        </w:tc>
      </w:tr>
      <w:tr w:rsidR="005C22BA" w:rsidRPr="003422B2" w14:paraId="0C761557" w14:textId="1CD0D69D" w:rsidTr="00B2724C">
        <w:tc>
          <w:tcPr>
            <w:tcW w:w="900" w:type="dxa"/>
          </w:tcPr>
          <w:p w14:paraId="16BE23C3" w14:textId="77777777" w:rsidR="005C22BA" w:rsidRPr="00160C3F" w:rsidRDefault="005C22BA" w:rsidP="00FD0C3F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176EB081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2022-2023 and recommendations to executive heads and legislative bodies</w:t>
            </w:r>
          </w:p>
        </w:tc>
        <w:tc>
          <w:tcPr>
            <w:tcW w:w="1350" w:type="dxa"/>
          </w:tcPr>
          <w:p w14:paraId="12C5F5AB" w14:textId="2E10679A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8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C24/57</w:t>
              </w:r>
            </w:hyperlink>
          </w:p>
        </w:tc>
      </w:tr>
      <w:tr w:rsidR="005C22BA" w:rsidRPr="003422B2" w14:paraId="7E914BC4" w14:textId="4F6E502D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91D613B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727D7DE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606AAE2" w14:textId="77777777" w:rsidR="005C22BA" w:rsidRPr="00E34034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26B63443" w14:textId="58D68674" w:rsidTr="00B2724C">
        <w:tc>
          <w:tcPr>
            <w:tcW w:w="900" w:type="dxa"/>
            <w:tcBorders>
              <w:top w:val="single" w:sz="4" w:space="0" w:color="808080"/>
            </w:tcBorders>
          </w:tcPr>
          <w:p w14:paraId="2714A287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DABE67D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Progress report on the implementation of the Human Resources strategic plan and of Resolution 48 (Rev. Bucharest, 2022)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8F0EEA0" w14:textId="43364D2D" w:rsidR="005C22BA" w:rsidRPr="003422B2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9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C24/29</w:t>
              </w:r>
            </w:hyperlink>
          </w:p>
        </w:tc>
      </w:tr>
      <w:tr w:rsidR="005C22BA" w:rsidRPr="003422B2" w14:paraId="5DB109E0" w14:textId="0DFF4BD7" w:rsidTr="00B2724C">
        <w:tc>
          <w:tcPr>
            <w:tcW w:w="900" w:type="dxa"/>
            <w:tcBorders>
              <w:top w:val="single" w:sz="4" w:space="0" w:color="808080"/>
            </w:tcBorders>
          </w:tcPr>
          <w:p w14:paraId="36FFA291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80C5F4F" w14:textId="35889D54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Changes in</w:t>
            </w:r>
            <w:r w:rsidRPr="00EF205C">
              <w:rPr>
                <w:sz w:val="21"/>
                <w:szCs w:val="21"/>
                <w:lang w:val="en-US"/>
              </w:rPr>
              <w:t xml:space="preserve"> the conditions of service under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common system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60D372C" w14:textId="0D71D671" w:rsidR="005C22BA" w:rsidRPr="00EF205C" w:rsidDel="00432350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0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C24/23</w:t>
              </w:r>
            </w:hyperlink>
          </w:p>
        </w:tc>
      </w:tr>
      <w:tr w:rsidR="005C22BA" w:rsidRPr="003422B2" w14:paraId="63E6DCA1" w14:textId="140A5214" w:rsidTr="00B2724C">
        <w:tc>
          <w:tcPr>
            <w:tcW w:w="900" w:type="dxa"/>
            <w:tcBorders>
              <w:top w:val="single" w:sz="4" w:space="0" w:color="808080"/>
            </w:tcBorders>
          </w:tcPr>
          <w:p w14:paraId="6BD4CEB5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E0AEB04" w14:textId="55086A5E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</w:t>
            </w:r>
            <w:r w:rsidRPr="00E36BA0">
              <w:rPr>
                <w:sz w:val="21"/>
                <w:szCs w:val="21"/>
                <w:lang w:val="en-US"/>
              </w:rPr>
              <w:t>implementation of R</w:t>
            </w:r>
            <w:r>
              <w:rPr>
                <w:sz w:val="21"/>
                <w:szCs w:val="21"/>
                <w:lang w:val="en-US"/>
              </w:rPr>
              <w:t>esolution</w:t>
            </w:r>
            <w:r w:rsidRPr="00E36BA0">
              <w:rPr>
                <w:sz w:val="21"/>
                <w:szCs w:val="21"/>
                <w:lang w:val="en-US"/>
              </w:rPr>
              <w:t> 1420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AFB7A7E" w14:textId="038ABDCF" w:rsidR="005C22BA" w:rsidRPr="00EF205C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1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C24/56</w:t>
              </w:r>
            </w:hyperlink>
          </w:p>
        </w:tc>
      </w:tr>
      <w:tr w:rsidR="005C22BA" w:rsidRPr="003422B2" w14:paraId="3CEE2B0C" w14:textId="4C971A93" w:rsidTr="00B2724C">
        <w:tc>
          <w:tcPr>
            <w:tcW w:w="900" w:type="dxa"/>
            <w:tcBorders>
              <w:top w:val="single" w:sz="4" w:space="0" w:color="808080"/>
            </w:tcBorders>
          </w:tcPr>
          <w:p w14:paraId="2AAB0713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7E3B1DAB" w14:textId="77777777" w:rsidR="005C22BA" w:rsidRPr="008C4A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Telecommunication Standardization Bureau (TSB) Reorganization 2024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5BE35B55" w14:textId="3C3BC696" w:rsidR="005C22BA" w:rsidRDefault="00DA604D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C24/71</w:t>
              </w:r>
            </w:hyperlink>
          </w:p>
        </w:tc>
      </w:tr>
      <w:tr w:rsidR="005C22BA" w:rsidRPr="003422B2" w14:paraId="5C714ACA" w14:textId="22F221B6" w:rsidTr="00B2724C">
        <w:tc>
          <w:tcPr>
            <w:tcW w:w="900" w:type="dxa"/>
            <w:tcBorders>
              <w:top w:val="single" w:sz="4" w:space="0" w:color="808080"/>
            </w:tcBorders>
          </w:tcPr>
          <w:p w14:paraId="6C506A59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640CDC6E" w14:textId="1083FF2E" w:rsidR="005C22BA" w:rsidRPr="008C4A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 xml:space="preserve">Report on establishing a governance structure for cyber security, </w:t>
            </w:r>
            <w:proofErr w:type="gramStart"/>
            <w:r w:rsidRPr="008C4A58">
              <w:rPr>
                <w:sz w:val="21"/>
                <w:szCs w:val="21"/>
                <w:lang w:val="en-US"/>
              </w:rPr>
              <w:t>I</w:t>
            </w:r>
            <w:r w:rsidR="008C4A58" w:rsidRPr="008C4A58">
              <w:rPr>
                <w:sz w:val="21"/>
                <w:szCs w:val="21"/>
                <w:lang w:val="en-US"/>
              </w:rPr>
              <w:t>C</w:t>
            </w:r>
            <w:r w:rsidRPr="008C4A58">
              <w:rPr>
                <w:sz w:val="21"/>
                <w:szCs w:val="21"/>
                <w:lang w:val="en-US"/>
              </w:rPr>
              <w:t>T</w:t>
            </w:r>
            <w:proofErr w:type="gramEnd"/>
            <w:r w:rsidRPr="008C4A58">
              <w:rPr>
                <w:sz w:val="21"/>
                <w:szCs w:val="21"/>
                <w:lang w:val="en-US"/>
              </w:rPr>
              <w:t xml:space="preserve"> and data/information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E04122B" w14:textId="2C256256" w:rsidR="005C22BA" w:rsidRPr="00C100A0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3" w:history="1">
              <w:r w:rsidR="008C4A58">
                <w:rPr>
                  <w:rStyle w:val="Hyperlink"/>
                  <w:sz w:val="21"/>
                  <w:szCs w:val="21"/>
                  <w:lang w:val="en-US"/>
                </w:rPr>
                <w:t>C24/54</w:t>
              </w:r>
            </w:hyperlink>
          </w:p>
        </w:tc>
      </w:tr>
      <w:tr w:rsidR="005C22BA" w:rsidRPr="003422B2" w14:paraId="038844F1" w14:textId="3D39C74D" w:rsidTr="00B2724C">
        <w:tc>
          <w:tcPr>
            <w:tcW w:w="900" w:type="dxa"/>
            <w:tcBorders>
              <w:top w:val="single" w:sz="4" w:space="0" w:color="808080"/>
            </w:tcBorders>
          </w:tcPr>
          <w:p w14:paraId="014F17A1" w14:textId="77777777" w:rsidR="005C22BA" w:rsidRPr="003422B2" w:rsidRDefault="005C22B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24A32B6" w14:textId="05F64A32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Roadmap </w:t>
            </w:r>
            <w:r>
              <w:rPr>
                <w:sz w:val="21"/>
                <w:szCs w:val="21"/>
                <w:lang w:val="en-US"/>
              </w:rPr>
              <w:t>to improve</w:t>
            </w:r>
            <w:r w:rsidRPr="00242F9A">
              <w:rPr>
                <w:sz w:val="21"/>
                <w:szCs w:val="21"/>
                <w:lang w:val="en-US"/>
              </w:rPr>
              <w:t xml:space="preserve"> ITU website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C9F99FB" w14:textId="6E6DAA1B" w:rsidR="005C22BA" w:rsidRPr="00242F9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4" w:history="1">
              <w:r w:rsidR="00344CD0">
                <w:rPr>
                  <w:rStyle w:val="Hyperlink"/>
                  <w:sz w:val="21"/>
                  <w:szCs w:val="21"/>
                  <w:lang w:val="en-US"/>
                </w:rPr>
                <w:t>C24/53</w:t>
              </w:r>
            </w:hyperlink>
          </w:p>
        </w:tc>
      </w:tr>
      <w:tr w:rsidR="005C22BA" w:rsidRPr="003422B2" w14:paraId="5DA96112" w14:textId="41E31730" w:rsidTr="00B2724C">
        <w:tc>
          <w:tcPr>
            <w:tcW w:w="900" w:type="dxa"/>
            <w:tcBorders>
              <w:top w:val="single" w:sz="4" w:space="0" w:color="808080"/>
            </w:tcBorders>
          </w:tcPr>
          <w:p w14:paraId="1DC981CF" w14:textId="77777777" w:rsidR="005C22BA" w:rsidRPr="00160C3F" w:rsidRDefault="005C22B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568594C6" w14:textId="5648DCF6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</w:t>
            </w:r>
            <w:r w:rsidRPr="00242F9A">
              <w:rPr>
                <w:sz w:val="21"/>
                <w:szCs w:val="21"/>
                <w:lang w:val="en-US"/>
              </w:rPr>
              <w:t>emote participation</w:t>
            </w:r>
            <w:r>
              <w:rPr>
                <w:sz w:val="21"/>
                <w:szCs w:val="21"/>
                <w:lang w:val="en-US"/>
              </w:rPr>
              <w:t xml:space="preserve"> in line with the implementation of</w:t>
            </w:r>
            <w:r w:rsidRPr="00242F9A">
              <w:rPr>
                <w:sz w:val="21"/>
                <w:szCs w:val="21"/>
                <w:lang w:val="en-US"/>
              </w:rPr>
              <w:t xml:space="preserve"> Res</w:t>
            </w:r>
            <w:r>
              <w:rPr>
                <w:sz w:val="21"/>
                <w:szCs w:val="21"/>
                <w:lang w:val="en-US"/>
              </w:rPr>
              <w:t>olution</w:t>
            </w:r>
            <w:r w:rsidRPr="00242F9A">
              <w:rPr>
                <w:sz w:val="21"/>
                <w:szCs w:val="21"/>
                <w:lang w:val="en-US"/>
              </w:rPr>
              <w:t xml:space="preserve"> 167</w:t>
            </w:r>
            <w:r>
              <w:rPr>
                <w:sz w:val="21"/>
                <w:szCs w:val="21"/>
                <w:lang w:val="en-US"/>
              </w:rPr>
              <w:t xml:space="preserve"> (Rev. Bucharest, 2022</w:t>
            </w:r>
            <w:r w:rsidRPr="00242F9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3FFD6095" w14:textId="5884170A" w:rsidR="005C22BA" w:rsidRPr="00242F9A" w:rsidDel="00D753F4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5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C24/61</w:t>
              </w:r>
            </w:hyperlink>
          </w:p>
        </w:tc>
      </w:tr>
      <w:tr w:rsidR="005C22BA" w:rsidRPr="003422B2" w14:paraId="77320381" w14:textId="766F0D4A" w:rsidTr="00B2724C">
        <w:tc>
          <w:tcPr>
            <w:tcW w:w="900" w:type="dxa"/>
            <w:tcBorders>
              <w:top w:val="single" w:sz="4" w:space="0" w:color="808080"/>
            </w:tcBorders>
          </w:tcPr>
          <w:p w14:paraId="45FDD405" w14:textId="77777777" w:rsidR="005C22BA" w:rsidRPr="00160C3F" w:rsidRDefault="005C22B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35BB8D8C" w14:textId="4338E8EF" w:rsidR="005C22BA" w:rsidRPr="00242F9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Report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D5DD5EF" w14:textId="458E8D7B" w:rsidR="005C22BA" w:rsidRPr="00242F9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6" w:history="1">
              <w:r w:rsidR="00344CD0">
                <w:rPr>
                  <w:rStyle w:val="Hyperlink"/>
                  <w:sz w:val="21"/>
                  <w:szCs w:val="21"/>
                  <w:lang w:val="en-US"/>
                </w:rPr>
                <w:t>C24/7</w:t>
              </w:r>
            </w:hyperlink>
          </w:p>
        </w:tc>
      </w:tr>
      <w:tr w:rsidR="005C22BA" w:rsidRPr="003422B2" w14:paraId="32DF7C43" w14:textId="33E4E3A7" w:rsidTr="00B2724C">
        <w:tc>
          <w:tcPr>
            <w:tcW w:w="900" w:type="dxa"/>
            <w:tcBorders>
              <w:top w:val="single" w:sz="4" w:space="0" w:color="808080"/>
            </w:tcBorders>
          </w:tcPr>
          <w:p w14:paraId="54BD6F49" w14:textId="77777777" w:rsidR="005C22BA" w:rsidRPr="00160C3F" w:rsidRDefault="005C22B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2633471" w14:textId="4036FF50" w:rsidR="005C22BA" w:rsidRPr="00242F9A" w:rsidRDefault="008C4A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Summary r</w:t>
            </w:r>
            <w:r w:rsidR="005C22BA" w:rsidRPr="008C4A58">
              <w:rPr>
                <w:sz w:val="21"/>
                <w:szCs w:val="21"/>
                <w:lang w:val="en-US"/>
              </w:rPr>
              <w:t xml:space="preserve">eport </w:t>
            </w:r>
            <w:r w:rsidRPr="008C4A58">
              <w:rPr>
                <w:sz w:val="21"/>
                <w:szCs w:val="21"/>
                <w:lang w:val="en-US"/>
              </w:rPr>
              <w:t>on the work of the</w:t>
            </w:r>
            <w:r w:rsidR="005C22BA" w:rsidRPr="008C4A58">
              <w:rPr>
                <w:sz w:val="21"/>
                <w:szCs w:val="21"/>
                <w:lang w:val="en-US"/>
              </w:rPr>
              <w:t xml:space="preserve"> Member States Advisory Group</w:t>
            </w:r>
            <w:r w:rsidRPr="008C4A58">
              <w:rPr>
                <w:sz w:val="21"/>
                <w:szCs w:val="21"/>
                <w:lang w:val="en-US"/>
              </w:rPr>
              <w:t xml:space="preserve"> on the Union’s headquarters premises project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6EFE4F7D" w14:textId="37497D7A" w:rsidR="005C22BA" w:rsidRPr="00242F9A" w:rsidRDefault="0013321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7" w:history="1">
              <w:r w:rsidR="005D54F4">
                <w:rPr>
                  <w:rStyle w:val="Hyperlink"/>
                  <w:sz w:val="21"/>
                  <w:szCs w:val="21"/>
                  <w:lang w:val="en-US"/>
                </w:rPr>
                <w:t>C24/48</w:t>
              </w:r>
            </w:hyperlink>
          </w:p>
        </w:tc>
      </w:tr>
      <w:tr w:rsidR="005C22BA" w:rsidRPr="003422B2" w14:paraId="6A84E0C1" w14:textId="2D3C55BD" w:rsidTr="00B2724C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2AEEC6F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BB143DA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B1F9B7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4DDF4C8D" w14:textId="0CC5DB51" w:rsidTr="00B2724C">
        <w:tc>
          <w:tcPr>
            <w:tcW w:w="900" w:type="dxa"/>
            <w:tcBorders>
              <w:top w:val="single" w:sz="4" w:space="0" w:color="808080"/>
            </w:tcBorders>
          </w:tcPr>
          <w:p w14:paraId="06AF2ECC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808080"/>
            </w:tcBorders>
          </w:tcPr>
          <w:p w14:paraId="09A3040E" w14:textId="77777777" w:rsidR="005C22BA" w:rsidRPr="003422B2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Human Resources reporting and statistics </w:t>
            </w:r>
          </w:p>
        </w:tc>
        <w:tc>
          <w:tcPr>
            <w:tcW w:w="1350" w:type="dxa"/>
            <w:tcBorders>
              <w:top w:val="single" w:sz="4" w:space="0" w:color="808080"/>
            </w:tcBorders>
          </w:tcPr>
          <w:p w14:paraId="1D7B7364" w14:textId="6C76FA3E" w:rsidR="005C22BA" w:rsidRPr="003422B2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78" w:history="1">
              <w:r w:rsidR="00344CD0">
                <w:rPr>
                  <w:rStyle w:val="Hyperlink"/>
                  <w:sz w:val="21"/>
                  <w:szCs w:val="21"/>
                  <w:lang w:val="en-US"/>
                </w:rPr>
                <w:t>C24/INF/4</w:t>
              </w:r>
            </w:hyperlink>
          </w:p>
        </w:tc>
      </w:tr>
      <w:tr w:rsidR="005C22BA" w:rsidRPr="003422B2" w14:paraId="4C5C1EDB" w14:textId="24068950" w:rsidTr="00B2724C">
        <w:tc>
          <w:tcPr>
            <w:tcW w:w="900" w:type="dxa"/>
          </w:tcPr>
          <w:p w14:paraId="0A88914C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43ABC72" w14:textId="77777777" w:rsidR="005C22BA" w:rsidRPr="003422B2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Situation of arrears of the Union </w:t>
            </w:r>
            <w:proofErr w:type="gramStart"/>
            <w:r w:rsidRPr="003422B2">
              <w:rPr>
                <w:sz w:val="21"/>
                <w:szCs w:val="21"/>
                <w:lang w:val="en-US"/>
              </w:rPr>
              <w:t>at</w:t>
            </w:r>
            <w:proofErr w:type="gramEnd"/>
            <w:r w:rsidRPr="003422B2">
              <w:rPr>
                <w:sz w:val="21"/>
                <w:szCs w:val="21"/>
                <w:lang w:val="en-US"/>
              </w:rPr>
              <w:t xml:space="preserve"> 31 March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350" w:type="dxa"/>
          </w:tcPr>
          <w:p w14:paraId="29CE8E91" w14:textId="5C445826" w:rsidR="005C22BA" w:rsidRPr="003422B2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79" w:history="1">
              <w:r w:rsidR="00D40DA6" w:rsidRPr="00344CD0">
                <w:rPr>
                  <w:rStyle w:val="Hyperlink"/>
                  <w:sz w:val="21"/>
                  <w:szCs w:val="21"/>
                  <w:lang w:val="en-US"/>
                </w:rPr>
                <w:t>C24/INF/6</w:t>
              </w:r>
            </w:hyperlink>
          </w:p>
        </w:tc>
      </w:tr>
      <w:tr w:rsidR="005C22BA" w:rsidRPr="003422B2" w14:paraId="62DD6F05" w14:textId="7440159B" w:rsidTr="00B2724C">
        <w:tc>
          <w:tcPr>
            <w:tcW w:w="900" w:type="dxa"/>
          </w:tcPr>
          <w:p w14:paraId="05188F4E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1A3E4B5A" w14:textId="7C9A795F" w:rsidR="005C22BA" w:rsidRPr="003422B2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ITU Council contribution to the High-Level Political Forum on Sustainable Development (HLPF) 2024 </w:t>
            </w:r>
          </w:p>
        </w:tc>
        <w:tc>
          <w:tcPr>
            <w:tcW w:w="1350" w:type="dxa"/>
          </w:tcPr>
          <w:p w14:paraId="5989DFB5" w14:textId="0EAD3DFA" w:rsidR="005C22BA" w:rsidRPr="00242F9A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0" w:history="1">
              <w:r w:rsidR="00344CD0">
                <w:rPr>
                  <w:rStyle w:val="Hyperlink"/>
                  <w:sz w:val="21"/>
                  <w:szCs w:val="21"/>
                  <w:lang w:val="en-US"/>
                </w:rPr>
                <w:t>C24/INF/3</w:t>
              </w:r>
            </w:hyperlink>
          </w:p>
        </w:tc>
      </w:tr>
      <w:tr w:rsidR="005C22BA" w:rsidRPr="003422B2" w14:paraId="197C032F" w14:textId="014DD269" w:rsidTr="00B2724C">
        <w:tc>
          <w:tcPr>
            <w:tcW w:w="900" w:type="dxa"/>
          </w:tcPr>
          <w:p w14:paraId="7D1516E1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2D1BAB01" w14:textId="17BE4898" w:rsidR="005C22BA" w:rsidRPr="00646177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voluntary contribution</w:t>
            </w:r>
            <w:r w:rsidR="00D40DA6">
              <w:rPr>
                <w:sz w:val="21"/>
                <w:szCs w:val="21"/>
                <w:lang w:val="en-US"/>
              </w:rPr>
              <w:t>s and sponsorships received in</w:t>
            </w:r>
            <w:r>
              <w:rPr>
                <w:sz w:val="21"/>
                <w:szCs w:val="21"/>
                <w:lang w:val="en-US"/>
              </w:rPr>
              <w:t xml:space="preserve"> 2023</w:t>
            </w:r>
          </w:p>
        </w:tc>
        <w:tc>
          <w:tcPr>
            <w:tcW w:w="1350" w:type="dxa"/>
          </w:tcPr>
          <w:p w14:paraId="218DA684" w14:textId="116FB0D9" w:rsidR="005C22BA" w:rsidRDefault="00344CD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1" w:history="1">
              <w:r w:rsidR="00D40DA6" w:rsidRPr="00344CD0">
                <w:rPr>
                  <w:rStyle w:val="Hyperlink"/>
                  <w:sz w:val="21"/>
                  <w:szCs w:val="21"/>
                  <w:lang w:val="en-US"/>
                </w:rPr>
                <w:t>C24/INF/12</w:t>
              </w:r>
            </w:hyperlink>
          </w:p>
        </w:tc>
      </w:tr>
      <w:tr w:rsidR="005C22BA" w:rsidRPr="003422B2" w14:paraId="24594BC8" w14:textId="5239DB69" w:rsidTr="00B2724C">
        <w:tc>
          <w:tcPr>
            <w:tcW w:w="900" w:type="dxa"/>
          </w:tcPr>
          <w:p w14:paraId="4592CFEE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2C3FBD98" w14:textId="6037BAF8" w:rsidR="005C22BA" w:rsidRPr="00646177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</w:t>
            </w:r>
            <w:r w:rsidR="00D40DA6">
              <w:rPr>
                <w:sz w:val="21"/>
                <w:szCs w:val="21"/>
                <w:lang w:val="en-US"/>
              </w:rPr>
              <w:t xml:space="preserve">nited </w:t>
            </w:r>
            <w:r w:rsidRPr="00646177">
              <w:rPr>
                <w:sz w:val="21"/>
                <w:szCs w:val="21"/>
                <w:lang w:val="en-US"/>
              </w:rPr>
              <w:t>N</w:t>
            </w:r>
            <w:r w:rsidR="00D40DA6">
              <w:rPr>
                <w:sz w:val="21"/>
                <w:szCs w:val="21"/>
                <w:lang w:val="en-US"/>
              </w:rPr>
              <w:t>ations</w:t>
            </w:r>
            <w:r w:rsidRPr="00646177">
              <w:rPr>
                <w:sz w:val="21"/>
                <w:szCs w:val="21"/>
                <w:lang w:val="en-US"/>
              </w:rPr>
              <w:t xml:space="preserve"> system</w:t>
            </w:r>
          </w:p>
        </w:tc>
        <w:tc>
          <w:tcPr>
            <w:tcW w:w="1350" w:type="dxa"/>
          </w:tcPr>
          <w:p w14:paraId="10A33F19" w14:textId="49AD5AA0" w:rsidR="005C22BA" w:rsidRPr="00646177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2" w:history="1">
              <w:r w:rsidR="00D40DA6" w:rsidRPr="00344CD0">
                <w:rPr>
                  <w:rStyle w:val="Hyperlink"/>
                  <w:sz w:val="21"/>
                  <w:szCs w:val="21"/>
                  <w:lang w:val="en-US"/>
                </w:rPr>
                <w:t>C24/INF/9</w:t>
              </w:r>
            </w:hyperlink>
          </w:p>
        </w:tc>
      </w:tr>
      <w:tr w:rsidR="005C22BA" w:rsidRPr="003422B2" w14:paraId="415FB743" w14:textId="7035CE3D" w:rsidTr="00B2724C">
        <w:tc>
          <w:tcPr>
            <w:tcW w:w="900" w:type="dxa"/>
          </w:tcPr>
          <w:p w14:paraId="03D9276F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CCA8BBD" w14:textId="77777777" w:rsidR="005C22BA" w:rsidRPr="00646177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Report of the Budget Control Committees of the Radiocommunication Assembly (RA-23) and the World Radiocommunication Conference (WRC-23)</w:t>
            </w:r>
          </w:p>
        </w:tc>
        <w:tc>
          <w:tcPr>
            <w:tcW w:w="1350" w:type="dxa"/>
          </w:tcPr>
          <w:p w14:paraId="5B35EC93" w14:textId="05FA8144" w:rsidR="005C22BA" w:rsidRPr="00646177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3" w:history="1">
              <w:r w:rsidR="00344CD0">
                <w:rPr>
                  <w:rStyle w:val="Hyperlink"/>
                  <w:sz w:val="21"/>
                  <w:szCs w:val="21"/>
                  <w:lang w:val="en-US"/>
                </w:rPr>
                <w:t>C24/INF/2</w:t>
              </w:r>
            </w:hyperlink>
          </w:p>
        </w:tc>
      </w:tr>
      <w:tr w:rsidR="005C22BA" w:rsidRPr="003422B2" w14:paraId="3B54C4EF" w14:textId="3EC1AB54" w:rsidTr="00B2724C">
        <w:tc>
          <w:tcPr>
            <w:tcW w:w="900" w:type="dxa"/>
          </w:tcPr>
          <w:p w14:paraId="10066ADF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613EA535" w14:textId="67EA834B" w:rsidR="005C22BA" w:rsidRPr="00646177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1646C0">
              <w:rPr>
                <w:sz w:val="21"/>
                <w:szCs w:val="21"/>
                <w:lang w:val="en-US"/>
              </w:rPr>
              <w:t>ITU HR Partnerships - Arrangements for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1646C0">
              <w:rPr>
                <w:sz w:val="21"/>
                <w:szCs w:val="21"/>
                <w:lang w:val="en-US"/>
              </w:rPr>
              <w:t xml:space="preserve">Funds-in-trust (FIT)/secondments, </w:t>
            </w:r>
            <w:r>
              <w:rPr>
                <w:sz w:val="21"/>
                <w:szCs w:val="21"/>
                <w:lang w:val="en-US"/>
              </w:rPr>
              <w:t>l</w:t>
            </w:r>
            <w:r w:rsidRPr="001646C0">
              <w:rPr>
                <w:sz w:val="21"/>
                <w:szCs w:val="21"/>
                <w:lang w:val="en-US"/>
              </w:rPr>
              <w:t>oan</w:t>
            </w:r>
            <w:r>
              <w:rPr>
                <w:sz w:val="21"/>
                <w:szCs w:val="21"/>
                <w:lang w:val="en-US"/>
              </w:rPr>
              <w:t>s, Junior Professional Officers (</w:t>
            </w:r>
            <w:r w:rsidRPr="001646C0">
              <w:rPr>
                <w:sz w:val="21"/>
                <w:szCs w:val="21"/>
                <w:lang w:val="en-US"/>
              </w:rPr>
              <w:t>JPO</w:t>
            </w:r>
            <w:r>
              <w:rPr>
                <w:sz w:val="21"/>
                <w:szCs w:val="21"/>
                <w:lang w:val="en-US"/>
              </w:rPr>
              <w:t>)</w:t>
            </w:r>
            <w:r w:rsidRPr="001646C0">
              <w:rPr>
                <w:sz w:val="21"/>
                <w:szCs w:val="21"/>
                <w:lang w:val="en-US"/>
              </w:rPr>
              <w:t>, sponsored interns</w:t>
            </w:r>
          </w:p>
        </w:tc>
        <w:tc>
          <w:tcPr>
            <w:tcW w:w="1350" w:type="dxa"/>
          </w:tcPr>
          <w:p w14:paraId="26D68CE2" w14:textId="2FAD6CC8" w:rsidR="005C22BA" w:rsidRPr="001646C0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4" w:history="1">
              <w:r w:rsidR="00344CD0" w:rsidRPr="00344CD0">
                <w:rPr>
                  <w:rStyle w:val="Hyperlink"/>
                  <w:sz w:val="21"/>
                  <w:szCs w:val="21"/>
                  <w:lang w:val="en-US"/>
                </w:rPr>
                <w:t>C24/INF/10</w:t>
              </w:r>
            </w:hyperlink>
          </w:p>
        </w:tc>
      </w:tr>
      <w:tr w:rsidR="005C22BA" w:rsidRPr="003422B2" w14:paraId="5EBC9FFE" w14:textId="0FE78C00" w:rsidTr="00B2724C">
        <w:tc>
          <w:tcPr>
            <w:tcW w:w="900" w:type="dxa"/>
          </w:tcPr>
          <w:p w14:paraId="3E13E721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1C96C2D1" w14:textId="72C101D5" w:rsidR="005C22BA" w:rsidRPr="00646177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</w:t>
            </w:r>
            <w:r w:rsidRPr="00712592">
              <w:rPr>
                <w:sz w:val="21"/>
                <w:szCs w:val="21"/>
                <w:lang w:val="en-US"/>
              </w:rPr>
              <w:t xml:space="preserve"> Management Letter on Protection from Sexual Exploitation and Abuse (SEA) and Reporting of SEA Allegations</w:t>
            </w:r>
          </w:p>
        </w:tc>
        <w:tc>
          <w:tcPr>
            <w:tcW w:w="1350" w:type="dxa"/>
          </w:tcPr>
          <w:p w14:paraId="40F2A3EE" w14:textId="71ADAD5B" w:rsidR="005C22BA" w:rsidRPr="00712592" w:rsidDel="00E55601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5" w:history="1">
              <w:r w:rsidR="00344CD0" w:rsidRPr="00344CD0">
                <w:rPr>
                  <w:rStyle w:val="Hyperlink"/>
                  <w:sz w:val="21"/>
                  <w:szCs w:val="21"/>
                  <w:lang w:val="en-US"/>
                </w:rPr>
                <w:t>C24/INF/1</w:t>
              </w:r>
            </w:hyperlink>
          </w:p>
        </w:tc>
      </w:tr>
      <w:tr w:rsidR="005C22BA" w:rsidRPr="003422B2" w14:paraId="63F578D0" w14:textId="3787C9B0" w:rsidTr="00B2724C">
        <w:tc>
          <w:tcPr>
            <w:tcW w:w="900" w:type="dxa"/>
          </w:tcPr>
          <w:p w14:paraId="0552CBD6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54628E2F" w14:textId="77777777" w:rsidR="005C22BA" w:rsidRPr="00712592" w:rsidDel="00E55601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350" w:type="dxa"/>
          </w:tcPr>
          <w:p w14:paraId="6F5131D0" w14:textId="77F7697D" w:rsidR="005C22BA" w:rsidRDefault="00344CD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C24/INF/5</w:t>
              </w:r>
            </w:hyperlink>
          </w:p>
        </w:tc>
      </w:tr>
      <w:tr w:rsidR="005C22BA" w:rsidRPr="003422B2" w14:paraId="7C84AC7D" w14:textId="18F0E057" w:rsidTr="00B2724C">
        <w:tc>
          <w:tcPr>
            <w:tcW w:w="900" w:type="dxa"/>
          </w:tcPr>
          <w:p w14:paraId="5B28B84D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44333BA9" w14:textId="77777777" w:rsidR="005C22BA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Global Digital Compact (GDC)</w:t>
            </w:r>
          </w:p>
        </w:tc>
        <w:tc>
          <w:tcPr>
            <w:tcW w:w="1350" w:type="dxa"/>
          </w:tcPr>
          <w:p w14:paraId="6BDB331C" w14:textId="78F9CF2C" w:rsidR="005C22BA" w:rsidRDefault="00344CD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7" w:history="1">
              <w:r w:rsidR="00D40DA6" w:rsidRPr="00344CD0">
                <w:rPr>
                  <w:rStyle w:val="Hyperlink"/>
                  <w:sz w:val="21"/>
                  <w:szCs w:val="21"/>
                  <w:lang w:val="en-US"/>
                </w:rPr>
                <w:t>C24/INF/8</w:t>
              </w:r>
            </w:hyperlink>
          </w:p>
        </w:tc>
      </w:tr>
      <w:tr w:rsidR="005C22BA" w:rsidRPr="003422B2" w14:paraId="3FFA04A5" w14:textId="53449A47" w:rsidTr="00B2724C">
        <w:tc>
          <w:tcPr>
            <w:tcW w:w="900" w:type="dxa"/>
          </w:tcPr>
          <w:p w14:paraId="08DA3F69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7BF4655" w14:textId="77777777" w:rsidR="005C22BA" w:rsidRPr="00712592" w:rsidDel="00E55601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Practice of other UN organizations in managing the rights of remote participants for decision-making or legally binding meetings</w:t>
            </w:r>
          </w:p>
        </w:tc>
        <w:tc>
          <w:tcPr>
            <w:tcW w:w="1350" w:type="dxa"/>
          </w:tcPr>
          <w:p w14:paraId="09DF7F39" w14:textId="750B487B" w:rsidR="005C22BA" w:rsidRDefault="00344CD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8" w:history="1">
              <w:r w:rsidR="00051200" w:rsidRPr="00344CD0">
                <w:rPr>
                  <w:rStyle w:val="Hyperlink"/>
                  <w:sz w:val="21"/>
                  <w:szCs w:val="21"/>
                  <w:lang w:val="en-US"/>
                </w:rPr>
                <w:t>C24/INF/7</w:t>
              </w:r>
            </w:hyperlink>
          </w:p>
        </w:tc>
      </w:tr>
      <w:tr w:rsidR="005C22BA" w:rsidRPr="003422B2" w14:paraId="6A1AC2FD" w14:textId="5E20509F" w:rsidTr="00B2724C">
        <w:tc>
          <w:tcPr>
            <w:tcW w:w="900" w:type="dxa"/>
          </w:tcPr>
          <w:p w14:paraId="7590F8A4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559FAF73" w14:textId="77777777" w:rsidR="005C22BA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Q&amp;A on the Headquarters project</w:t>
            </w:r>
          </w:p>
        </w:tc>
        <w:tc>
          <w:tcPr>
            <w:tcW w:w="1350" w:type="dxa"/>
          </w:tcPr>
          <w:p w14:paraId="18C1D654" w14:textId="4B9D2D95" w:rsidR="005C22BA" w:rsidRDefault="00A3067F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9" w:history="1">
              <w:r w:rsidRPr="00A3067F">
                <w:rPr>
                  <w:rStyle w:val="Hyperlink"/>
                  <w:sz w:val="21"/>
                  <w:szCs w:val="21"/>
                  <w:lang w:val="en-US"/>
                </w:rPr>
                <w:t>C24/INF/xx</w:t>
              </w:r>
            </w:hyperlink>
          </w:p>
        </w:tc>
      </w:tr>
      <w:tr w:rsidR="00051200" w:rsidRPr="003422B2" w14:paraId="187E9376" w14:textId="77777777" w:rsidTr="00B2724C">
        <w:tc>
          <w:tcPr>
            <w:tcW w:w="900" w:type="dxa"/>
          </w:tcPr>
          <w:p w14:paraId="75B0876E" w14:textId="77777777" w:rsidR="00051200" w:rsidRPr="003422B2" w:rsidRDefault="00051200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10486DFE" w14:textId="7BB0F47E" w:rsidR="00051200" w:rsidRDefault="0005120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Outcome of consultations on proposed improvements for the Plenipotentiary Conference – compilation of proposals received from Member States as a response to CL-24/11</w:t>
            </w:r>
          </w:p>
        </w:tc>
        <w:tc>
          <w:tcPr>
            <w:tcW w:w="1350" w:type="dxa"/>
          </w:tcPr>
          <w:p w14:paraId="45B05375" w14:textId="3292F431" w:rsidR="00051200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0" w:history="1">
              <w:r w:rsidR="00051200" w:rsidRPr="00344CD0">
                <w:rPr>
                  <w:rStyle w:val="Hyperlink"/>
                  <w:sz w:val="21"/>
                  <w:szCs w:val="21"/>
                  <w:lang w:val="en-US"/>
                </w:rPr>
                <w:t>C24/INF/13</w:t>
              </w:r>
            </w:hyperlink>
          </w:p>
        </w:tc>
      </w:tr>
      <w:tr w:rsidR="005C22BA" w:rsidRPr="003422B2" w14:paraId="27963E10" w14:textId="5F4823F0" w:rsidTr="00B2724C">
        <w:tc>
          <w:tcPr>
            <w:tcW w:w="900" w:type="dxa"/>
          </w:tcPr>
          <w:p w14:paraId="1FB7598D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57F33071" w14:textId="77777777" w:rsidR="005C22BA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Capacity development manual</w:t>
            </w:r>
          </w:p>
        </w:tc>
        <w:tc>
          <w:tcPr>
            <w:tcW w:w="1350" w:type="dxa"/>
          </w:tcPr>
          <w:p w14:paraId="6D979CB4" w14:textId="2D97A52C" w:rsidR="005C22BA" w:rsidRDefault="00344CD0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1" w:history="1">
              <w:r w:rsidR="00D40DA6" w:rsidRPr="00344CD0">
                <w:rPr>
                  <w:rStyle w:val="Hyperlink"/>
                  <w:sz w:val="21"/>
                  <w:szCs w:val="21"/>
                  <w:lang w:val="en-US"/>
                </w:rPr>
                <w:t>C24/INF/14</w:t>
              </w:r>
            </w:hyperlink>
          </w:p>
        </w:tc>
      </w:tr>
      <w:tr w:rsidR="006F41DE" w:rsidRPr="003422B2" w14:paraId="1250CB11" w14:textId="77777777" w:rsidTr="00B2724C">
        <w:tc>
          <w:tcPr>
            <w:tcW w:w="900" w:type="dxa"/>
          </w:tcPr>
          <w:p w14:paraId="4CBAAB17" w14:textId="77777777" w:rsidR="006F41DE" w:rsidRPr="003422B2" w:rsidRDefault="006F41DE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30425EE8" w14:textId="3DE06D9E" w:rsidR="006F41DE" w:rsidRDefault="006F41DE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PP Resolution 214 (Bucharest, 2022) “Artificial intelligence technologies and telecommunications/information and communication technologies”</w:t>
            </w:r>
          </w:p>
        </w:tc>
        <w:tc>
          <w:tcPr>
            <w:tcW w:w="1350" w:type="dxa"/>
          </w:tcPr>
          <w:p w14:paraId="7D3FC40B" w14:textId="20DEB638" w:rsidR="006F41DE" w:rsidRDefault="00133213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2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C24/INF/15</w:t>
              </w:r>
            </w:hyperlink>
          </w:p>
        </w:tc>
      </w:tr>
      <w:tr w:rsidR="005C22BA" w:rsidRPr="003422B2" w14:paraId="700C160B" w14:textId="6C63A285" w:rsidTr="00B2724C">
        <w:tc>
          <w:tcPr>
            <w:tcW w:w="900" w:type="dxa"/>
          </w:tcPr>
          <w:p w14:paraId="49D7AB94" w14:textId="77777777" w:rsidR="005C22BA" w:rsidRPr="003422B2" w:rsidRDefault="005C22BA" w:rsidP="00FD0C3F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</w:tcPr>
          <w:p w14:paraId="71DE1658" w14:textId="77777777" w:rsidR="005C22BA" w:rsidRPr="003422B2" w:rsidRDefault="005C22BA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350" w:type="dxa"/>
          </w:tcPr>
          <w:p w14:paraId="455EAF58" w14:textId="2D003ECF" w:rsidR="005C22BA" w:rsidRPr="003422B2" w:rsidRDefault="00A3067F" w:rsidP="00FD0C3F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3" w:history="1">
              <w:r w:rsidR="008C4A58" w:rsidRPr="00A3067F">
                <w:rPr>
                  <w:rStyle w:val="Hyperlink"/>
                  <w:sz w:val="21"/>
                  <w:szCs w:val="21"/>
                  <w:lang w:val="en-US"/>
                </w:rPr>
                <w:t>C24/INF/xx</w:t>
              </w:r>
            </w:hyperlink>
          </w:p>
        </w:tc>
      </w:tr>
    </w:tbl>
    <w:p w14:paraId="3E273673" w14:textId="77777777" w:rsidR="005C22BA" w:rsidRPr="005C22BA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bookmarkEnd w:id="5"/>
    <w:bookmarkEnd w:id="10"/>
    <w:p w14:paraId="257674B4" w14:textId="77777777" w:rsidR="00A514A4" w:rsidRPr="005C22BA" w:rsidRDefault="00A514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A514A4" w:rsidRPr="005C22BA" w:rsidSect="00AD3606">
      <w:footerReference w:type="default" r:id="rId94"/>
      <w:headerReference w:type="first" r:id="rId95"/>
      <w:footerReference w:type="first" r:id="rId9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5FF2101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5B70D0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13321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392CEBA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0C26F4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0743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51200"/>
    <w:rsid w:val="00063016"/>
    <w:rsid w:val="00066795"/>
    <w:rsid w:val="00076AF6"/>
    <w:rsid w:val="00085CF2"/>
    <w:rsid w:val="000B1705"/>
    <w:rsid w:val="000C26F4"/>
    <w:rsid w:val="000D75B2"/>
    <w:rsid w:val="001121F5"/>
    <w:rsid w:val="00133213"/>
    <w:rsid w:val="001400DC"/>
    <w:rsid w:val="00140CE1"/>
    <w:rsid w:val="00160C3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2F9A"/>
    <w:rsid w:val="00264425"/>
    <w:rsid w:val="00265875"/>
    <w:rsid w:val="0027303B"/>
    <w:rsid w:val="0028109B"/>
    <w:rsid w:val="002816F0"/>
    <w:rsid w:val="002A2188"/>
    <w:rsid w:val="002B1F58"/>
    <w:rsid w:val="002C1C7A"/>
    <w:rsid w:val="002C54E2"/>
    <w:rsid w:val="0030160F"/>
    <w:rsid w:val="00320223"/>
    <w:rsid w:val="00322D0D"/>
    <w:rsid w:val="00325E67"/>
    <w:rsid w:val="00344CD0"/>
    <w:rsid w:val="00355662"/>
    <w:rsid w:val="00361465"/>
    <w:rsid w:val="00374DB8"/>
    <w:rsid w:val="003877F5"/>
    <w:rsid w:val="003942D4"/>
    <w:rsid w:val="003958A8"/>
    <w:rsid w:val="003C2533"/>
    <w:rsid w:val="003D5A7F"/>
    <w:rsid w:val="003F710A"/>
    <w:rsid w:val="004016E2"/>
    <w:rsid w:val="0040435A"/>
    <w:rsid w:val="00416A24"/>
    <w:rsid w:val="00431D9E"/>
    <w:rsid w:val="00433CE8"/>
    <w:rsid w:val="00434A5C"/>
    <w:rsid w:val="004518EE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B70D0"/>
    <w:rsid w:val="005C22BA"/>
    <w:rsid w:val="005D54F4"/>
    <w:rsid w:val="005F3269"/>
    <w:rsid w:val="00623AE3"/>
    <w:rsid w:val="00646177"/>
    <w:rsid w:val="0064737F"/>
    <w:rsid w:val="006535F1"/>
    <w:rsid w:val="0065557D"/>
    <w:rsid w:val="00660D50"/>
    <w:rsid w:val="00662984"/>
    <w:rsid w:val="006716BB"/>
    <w:rsid w:val="006850BE"/>
    <w:rsid w:val="0069099D"/>
    <w:rsid w:val="006B1859"/>
    <w:rsid w:val="006B6680"/>
    <w:rsid w:val="006B6DCC"/>
    <w:rsid w:val="006E0B93"/>
    <w:rsid w:val="006F41DE"/>
    <w:rsid w:val="00702DEF"/>
    <w:rsid w:val="00706861"/>
    <w:rsid w:val="0075051B"/>
    <w:rsid w:val="00770475"/>
    <w:rsid w:val="00793188"/>
    <w:rsid w:val="00794D34"/>
    <w:rsid w:val="00813E5E"/>
    <w:rsid w:val="00820399"/>
    <w:rsid w:val="0083581B"/>
    <w:rsid w:val="00863874"/>
    <w:rsid w:val="00864AFF"/>
    <w:rsid w:val="00865925"/>
    <w:rsid w:val="008B3545"/>
    <w:rsid w:val="008B4A6A"/>
    <w:rsid w:val="008C2D09"/>
    <w:rsid w:val="008C4A58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067F"/>
    <w:rsid w:val="00A32257"/>
    <w:rsid w:val="00A36D20"/>
    <w:rsid w:val="00A36FEE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2724C"/>
    <w:rsid w:val="00B40A81"/>
    <w:rsid w:val="00B44910"/>
    <w:rsid w:val="00B52105"/>
    <w:rsid w:val="00B557E4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100A0"/>
    <w:rsid w:val="00C374DE"/>
    <w:rsid w:val="00C47AD4"/>
    <w:rsid w:val="00C52D81"/>
    <w:rsid w:val="00C55198"/>
    <w:rsid w:val="00CA6393"/>
    <w:rsid w:val="00CB18FF"/>
    <w:rsid w:val="00CC7557"/>
    <w:rsid w:val="00CD0C08"/>
    <w:rsid w:val="00CE03FB"/>
    <w:rsid w:val="00CE433C"/>
    <w:rsid w:val="00CF0161"/>
    <w:rsid w:val="00CF33F3"/>
    <w:rsid w:val="00D06183"/>
    <w:rsid w:val="00D22C42"/>
    <w:rsid w:val="00D40DA6"/>
    <w:rsid w:val="00D65041"/>
    <w:rsid w:val="00DA604D"/>
    <w:rsid w:val="00DB1936"/>
    <w:rsid w:val="00DB384B"/>
    <w:rsid w:val="00DF0189"/>
    <w:rsid w:val="00E06FD5"/>
    <w:rsid w:val="00E10E80"/>
    <w:rsid w:val="00E124F0"/>
    <w:rsid w:val="00E155E9"/>
    <w:rsid w:val="00E227F3"/>
    <w:rsid w:val="00E23618"/>
    <w:rsid w:val="00E24E63"/>
    <w:rsid w:val="00E545C6"/>
    <w:rsid w:val="00E60F04"/>
    <w:rsid w:val="00E65B24"/>
    <w:rsid w:val="00E72287"/>
    <w:rsid w:val="00E854E4"/>
    <w:rsid w:val="00E86DBF"/>
    <w:rsid w:val="00EA4757"/>
    <w:rsid w:val="00EB0D6F"/>
    <w:rsid w:val="00EB2232"/>
    <w:rsid w:val="00EC5337"/>
    <w:rsid w:val="00EE49E8"/>
    <w:rsid w:val="00EF205C"/>
    <w:rsid w:val="00F16BAB"/>
    <w:rsid w:val="00F2150A"/>
    <w:rsid w:val="00F231D8"/>
    <w:rsid w:val="00F44C00"/>
    <w:rsid w:val="00F45D2C"/>
    <w:rsid w:val="00F46C5F"/>
    <w:rsid w:val="00F632C0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99"/>
    <w:qFormat/>
    <w:rsid w:val="005C22B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L-C-0032/en" TargetMode="External"/><Relationship Id="rId21" Type="http://schemas.openxmlformats.org/officeDocument/2006/relationships/hyperlink" Target="https://www.itu.int/md/S24-CL-C-0060/en" TargetMode="External"/><Relationship Id="rId42" Type="http://schemas.openxmlformats.org/officeDocument/2006/relationships/hyperlink" Target="https://www.itu.int/md/S24-CL-C-0037/en" TargetMode="External"/><Relationship Id="rId47" Type="http://schemas.openxmlformats.org/officeDocument/2006/relationships/hyperlink" Target="https://www.itu.int/md/S24-CL-C-0010/en" TargetMode="External"/><Relationship Id="rId63" Type="http://schemas.openxmlformats.org/officeDocument/2006/relationships/hyperlink" Target="https://www.itu.int/md/S24-CL-C-0044/en" TargetMode="External"/><Relationship Id="rId68" Type="http://schemas.openxmlformats.org/officeDocument/2006/relationships/hyperlink" Target="https://www.itu.int/md/S24-CL-C-0057/en" TargetMode="External"/><Relationship Id="rId84" Type="http://schemas.openxmlformats.org/officeDocument/2006/relationships/hyperlink" Target="https://www.itu.int/md/S24-CL-INF-0010/en" TargetMode="External"/><Relationship Id="rId89" Type="http://schemas.openxmlformats.org/officeDocument/2006/relationships/hyperlink" Target="https://www.itu.int/md/S24-CL-INF/en" TargetMode="External"/><Relationship Id="rId16" Type="http://schemas.openxmlformats.org/officeDocument/2006/relationships/hyperlink" Target="https://www.itu.int/md/S24-CL-C-0015/en" TargetMode="External"/><Relationship Id="rId11" Type="http://schemas.openxmlformats.org/officeDocument/2006/relationships/hyperlink" Target="https://www.itu.int/md/S24-CL-C-0027/en" TargetMode="External"/><Relationship Id="rId32" Type="http://schemas.openxmlformats.org/officeDocument/2006/relationships/hyperlink" Target="https://www.itu.int/md/S24-CL-C-0069/en" TargetMode="External"/><Relationship Id="rId37" Type="http://schemas.openxmlformats.org/officeDocument/2006/relationships/hyperlink" Target="https://www.itu.int/md/S24-CL-C-0030/en" TargetMode="External"/><Relationship Id="rId53" Type="http://schemas.openxmlformats.org/officeDocument/2006/relationships/hyperlink" Target="https://www.itu.int/md/S24-CL-C-0046/en" TargetMode="External"/><Relationship Id="rId58" Type="http://schemas.openxmlformats.org/officeDocument/2006/relationships/hyperlink" Target="https://www.itu.int/md/S24-CL-C-0063/en" TargetMode="External"/><Relationship Id="rId74" Type="http://schemas.openxmlformats.org/officeDocument/2006/relationships/hyperlink" Target="https://www.itu.int/md/S24-CL-C-0053/en" TargetMode="External"/><Relationship Id="rId79" Type="http://schemas.openxmlformats.org/officeDocument/2006/relationships/hyperlink" Target="https://www.itu.int/md/S24-CL-INF-0006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4-CL-INF-0013/en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itu.int/md/S24-CL-C-0033/en" TargetMode="External"/><Relationship Id="rId27" Type="http://schemas.openxmlformats.org/officeDocument/2006/relationships/hyperlink" Target="https://www.itu.int/md/S24-CL-C-0055/en" TargetMode="External"/><Relationship Id="rId43" Type="http://schemas.openxmlformats.org/officeDocument/2006/relationships/hyperlink" Target="https://www.itu.int/md/S24-CL-C-0003/en" TargetMode="External"/><Relationship Id="rId48" Type="http://schemas.openxmlformats.org/officeDocument/2006/relationships/hyperlink" Target="https://www.itu.int/md/S24-CL-C-0009/en" TargetMode="External"/><Relationship Id="rId64" Type="http://schemas.openxmlformats.org/officeDocument/2006/relationships/hyperlink" Target="https://www.itu.int/md/S24-CL-C-0047/en" TargetMode="External"/><Relationship Id="rId69" Type="http://schemas.openxmlformats.org/officeDocument/2006/relationships/hyperlink" Target="https://www.itu.int/md/S24-CL-C-0029/en" TargetMode="External"/><Relationship Id="rId80" Type="http://schemas.openxmlformats.org/officeDocument/2006/relationships/hyperlink" Target="https://www.itu.int/md/S24-CL-INF-0003/en" TargetMode="External"/><Relationship Id="rId85" Type="http://schemas.openxmlformats.org/officeDocument/2006/relationships/hyperlink" Target="https://www.itu.int/md/S24-CL-INF-0001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4-CL-C-0017/en" TargetMode="External"/><Relationship Id="rId17" Type="http://schemas.openxmlformats.org/officeDocument/2006/relationships/hyperlink" Target="https://www.itu.int/md/S24-CL-C-0012/en" TargetMode="External"/><Relationship Id="rId25" Type="http://schemas.openxmlformats.org/officeDocument/2006/relationships/hyperlink" Target="https://www.itu.int/md/S24-CL-C-0031/en" TargetMode="External"/><Relationship Id="rId33" Type="http://schemas.openxmlformats.org/officeDocument/2006/relationships/hyperlink" Target="https://www.itu.int/md/S24-CL-C-0072/en" TargetMode="External"/><Relationship Id="rId38" Type="http://schemas.openxmlformats.org/officeDocument/2006/relationships/hyperlink" Target="https://www.itu.int/md/S24-CL-C-0004/en" TargetMode="External"/><Relationship Id="rId46" Type="http://schemas.openxmlformats.org/officeDocument/2006/relationships/hyperlink" Target="https://www.itu.int/md/S24-CL-C-0050/en" TargetMode="External"/><Relationship Id="rId59" Type="http://schemas.openxmlformats.org/officeDocument/2006/relationships/hyperlink" Target="https://www.itu.int/md/S24-CL-C-0040/en" TargetMode="External"/><Relationship Id="rId67" Type="http://schemas.openxmlformats.org/officeDocument/2006/relationships/hyperlink" Target="https://www.itu.int/md/S24-CL-C-0022/en" TargetMode="External"/><Relationship Id="rId20" Type="http://schemas.openxmlformats.org/officeDocument/2006/relationships/hyperlink" Target="https://www.itu.int/md/S24-CL-C-0008/en" TargetMode="External"/><Relationship Id="rId41" Type="http://schemas.openxmlformats.org/officeDocument/2006/relationships/hyperlink" Target="https://www.itu.int/md/S24-CL-C-0002/en" TargetMode="External"/><Relationship Id="rId54" Type="http://schemas.openxmlformats.org/officeDocument/2006/relationships/hyperlink" Target="https://www.itu.int/md/S24-CL-C-0039/en" TargetMode="External"/><Relationship Id="rId62" Type="http://schemas.openxmlformats.org/officeDocument/2006/relationships/hyperlink" Target="https://www.itu.int/md/S24-CL-C" TargetMode="External"/><Relationship Id="rId70" Type="http://schemas.openxmlformats.org/officeDocument/2006/relationships/hyperlink" Target="https://www.itu.int/md/S24-CL-C-0023/en" TargetMode="External"/><Relationship Id="rId75" Type="http://schemas.openxmlformats.org/officeDocument/2006/relationships/hyperlink" Target="https://www.itu.int/md/S24-CL-C-0061/en" TargetMode="External"/><Relationship Id="rId83" Type="http://schemas.openxmlformats.org/officeDocument/2006/relationships/hyperlink" Target="https://www.itu.int/md/S24-CL-INF-0002/en" TargetMode="External"/><Relationship Id="rId88" Type="http://schemas.openxmlformats.org/officeDocument/2006/relationships/hyperlink" Target="https://www.itu.int/md/S24-CL-INF-0007/en" TargetMode="External"/><Relationship Id="rId91" Type="http://schemas.openxmlformats.org/officeDocument/2006/relationships/hyperlink" Target="https://www.itu.int/md/S24-CL-INF-0014/en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4-CL-C-0066/en" TargetMode="External"/><Relationship Id="rId23" Type="http://schemas.openxmlformats.org/officeDocument/2006/relationships/hyperlink" Target="https://www.itu.int/md/S24-CL-C-0018/en" TargetMode="External"/><Relationship Id="rId28" Type="http://schemas.openxmlformats.org/officeDocument/2006/relationships/hyperlink" Target="https://www.itu.int/md/S24-CL-C-0036/en" TargetMode="External"/><Relationship Id="rId36" Type="http://schemas.openxmlformats.org/officeDocument/2006/relationships/hyperlink" Target="https://www.itu.int/md/S24-CL-C-0024/en" TargetMode="External"/><Relationship Id="rId49" Type="http://schemas.openxmlformats.org/officeDocument/2006/relationships/hyperlink" Target="https://www.itu.int/md/S24-CL-C-0016/en" TargetMode="External"/><Relationship Id="rId57" Type="http://schemas.openxmlformats.org/officeDocument/2006/relationships/hyperlink" Target="https://www.itu.int/md/S24-CL-C-0019/en" TargetMode="External"/><Relationship Id="rId10" Type="http://schemas.openxmlformats.org/officeDocument/2006/relationships/hyperlink" Target="https://www.itu.int/md/S24-CL-C-0073/en" TargetMode="External"/><Relationship Id="rId31" Type="http://schemas.openxmlformats.org/officeDocument/2006/relationships/hyperlink" Target="https://www.itu.int/md/S24-CL-C-0068/en" TargetMode="External"/><Relationship Id="rId44" Type="http://schemas.openxmlformats.org/officeDocument/2006/relationships/hyperlink" Target="https://www.itu.int/md/S24-CL-C-0065/en" TargetMode="External"/><Relationship Id="rId52" Type="http://schemas.openxmlformats.org/officeDocument/2006/relationships/hyperlink" Target="https://www.itu.int/md/S24-CL-C-0034/en" TargetMode="External"/><Relationship Id="rId60" Type="http://schemas.openxmlformats.org/officeDocument/2006/relationships/hyperlink" Target="https://www.itu.int/md/S24-CL-C-0041/en" TargetMode="External"/><Relationship Id="rId65" Type="http://schemas.openxmlformats.org/officeDocument/2006/relationships/hyperlink" Target="https://www.itu.int/md/S24-CL-C-0014/en" TargetMode="External"/><Relationship Id="rId73" Type="http://schemas.openxmlformats.org/officeDocument/2006/relationships/hyperlink" Target="https://www.itu.int/md/S24-CL-C-0054/en" TargetMode="External"/><Relationship Id="rId78" Type="http://schemas.openxmlformats.org/officeDocument/2006/relationships/hyperlink" Target="https://www.itu.int/md/S24-CL-INF-0004/en" TargetMode="External"/><Relationship Id="rId81" Type="http://schemas.openxmlformats.org/officeDocument/2006/relationships/hyperlink" Target="https://www.itu.int/md/S24-CL-INF-0012/en" TargetMode="External"/><Relationship Id="rId86" Type="http://schemas.openxmlformats.org/officeDocument/2006/relationships/hyperlink" Target="https://www.itu.int/md/S24-CL-INF-0005/en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2/en" TargetMode="External"/><Relationship Id="rId13" Type="http://schemas.openxmlformats.org/officeDocument/2006/relationships/hyperlink" Target="https://www.itu.int/md/S24-CL-C-0028/en" TargetMode="External"/><Relationship Id="rId18" Type="http://schemas.openxmlformats.org/officeDocument/2006/relationships/hyperlink" Target="https://www.itu.int/md/S24-CL-C-0051/en" TargetMode="External"/><Relationship Id="rId39" Type="http://schemas.openxmlformats.org/officeDocument/2006/relationships/hyperlink" Target="https://www.itu.int/md/S24-CL-C-0059/en" TargetMode="External"/><Relationship Id="rId34" Type="http://schemas.openxmlformats.org/officeDocument/2006/relationships/hyperlink" Target="https://www.itu.int/md/S24-CL-C-0013/en" TargetMode="External"/><Relationship Id="rId50" Type="http://schemas.openxmlformats.org/officeDocument/2006/relationships/hyperlink" Target="https://www.itu.int/md/S24-CL-C-0011/en" TargetMode="External"/><Relationship Id="rId55" Type="http://schemas.openxmlformats.org/officeDocument/2006/relationships/hyperlink" Target="https://www.itu.int/md/S24-CL-C-0058/en" TargetMode="External"/><Relationship Id="rId76" Type="http://schemas.openxmlformats.org/officeDocument/2006/relationships/hyperlink" Target="https://www.itu.int/md/S24-CL-C-0007/en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4-CL-C-0056/en" TargetMode="External"/><Relationship Id="rId92" Type="http://schemas.openxmlformats.org/officeDocument/2006/relationships/hyperlink" Target="https://www.itu.int/md/S24-CL-INF-001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4-CL-C-0067/en" TargetMode="External"/><Relationship Id="rId24" Type="http://schemas.openxmlformats.org/officeDocument/2006/relationships/hyperlink" Target="https://www.itu.int/md/S24-CL-C-0006/en" TargetMode="External"/><Relationship Id="rId40" Type="http://schemas.openxmlformats.org/officeDocument/2006/relationships/hyperlink" Target="https://www.itu.int/md/S24-CL-C-0021/en" TargetMode="External"/><Relationship Id="rId45" Type="http://schemas.openxmlformats.org/officeDocument/2006/relationships/hyperlink" Target="https://www.itu.int/md/S24-CL-C-0070/en" TargetMode="External"/><Relationship Id="rId66" Type="http://schemas.openxmlformats.org/officeDocument/2006/relationships/hyperlink" Target="https://www.itu.int/md/S24-CL-C-0049/en" TargetMode="External"/><Relationship Id="rId87" Type="http://schemas.openxmlformats.org/officeDocument/2006/relationships/hyperlink" Target="https://www.itu.int/md/S24-CL-INF-0008/en" TargetMode="External"/><Relationship Id="rId61" Type="http://schemas.openxmlformats.org/officeDocument/2006/relationships/hyperlink" Target="https://www.itu.int/md/S24-CL-C" TargetMode="External"/><Relationship Id="rId82" Type="http://schemas.openxmlformats.org/officeDocument/2006/relationships/hyperlink" Target="https://www.itu.int/md/S24-CL-INF-0009/en" TargetMode="External"/><Relationship Id="rId19" Type="http://schemas.openxmlformats.org/officeDocument/2006/relationships/hyperlink" Target="https://www.itu.int/md/S24-CL-C-0026/en" TargetMode="External"/><Relationship Id="rId14" Type="http://schemas.openxmlformats.org/officeDocument/2006/relationships/hyperlink" Target="https://www.itu.int/md/S24-CL-C-0025/en" TargetMode="External"/><Relationship Id="rId30" Type="http://schemas.openxmlformats.org/officeDocument/2006/relationships/hyperlink" Target="https://www.itu.int/md/S24-CL-C-0005/en" TargetMode="External"/><Relationship Id="rId35" Type="http://schemas.openxmlformats.org/officeDocument/2006/relationships/hyperlink" Target="https://www.itu.int/md/S24-CL-C-0064/en" TargetMode="External"/><Relationship Id="rId56" Type="http://schemas.openxmlformats.org/officeDocument/2006/relationships/hyperlink" Target="https://www.itu.int/md/S24-CL-C-0062/en" TargetMode="External"/><Relationship Id="rId77" Type="http://schemas.openxmlformats.org/officeDocument/2006/relationships/hyperlink" Target="https://www.itu.int/md/S24-CL-C-0048/en" TargetMode="External"/><Relationship Id="rId8" Type="http://schemas.openxmlformats.org/officeDocument/2006/relationships/hyperlink" Target="https://www.itu.int/md/S24-CL-C-0035/en" TargetMode="External"/><Relationship Id="rId51" Type="http://schemas.openxmlformats.org/officeDocument/2006/relationships/hyperlink" Target="https://www.itu.int/md/S24-CL-C-0038/en" TargetMode="External"/><Relationship Id="rId72" Type="http://schemas.openxmlformats.org/officeDocument/2006/relationships/hyperlink" Target="https://www.itu.int/md/S24-CL-C-0071/en" TargetMode="External"/><Relationship Id="rId93" Type="http://schemas.openxmlformats.org/officeDocument/2006/relationships/hyperlink" Target="https://www.itu.int/md/S24-CL-INF/en" TargetMode="Externa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15</TotalTime>
  <Pages>5</Pages>
  <Words>1130</Words>
  <Characters>11982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13086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C2024, C24, Council-24</dc:title>
  <dc:subject>Council 2024</dc:subject>
  <dc:creator>author</dc:creator>
  <cp:keywords/>
  <dc:description/>
  <cp:lastModifiedBy>Aschenbrener, Elizabeth</cp:lastModifiedBy>
  <cp:revision>3</cp:revision>
  <cp:lastPrinted>2000-07-18T13:30:00Z</cp:lastPrinted>
  <dcterms:created xsi:type="dcterms:W3CDTF">2024-05-08T07:06:00Z</dcterms:created>
  <dcterms:modified xsi:type="dcterms:W3CDTF">2024-05-08T07:35:00Z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