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395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24E03" w14:paraId="211C5601" w14:textId="77777777" w:rsidTr="00093C65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C559661" w14:textId="52361BDC" w:rsidR="00796BD3" w:rsidRPr="00924E03" w:rsidRDefault="00796BD3" w:rsidP="00093C65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5A76F831" w14:textId="7B1F5729" w:rsidR="00796BD3" w:rsidRPr="00924E03" w:rsidRDefault="0033025A" w:rsidP="00093C6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24E03">
              <w:rPr>
                <w:b/>
                <w:lang w:val="ru-RU"/>
              </w:rPr>
              <w:t xml:space="preserve">Документ </w:t>
            </w:r>
            <w:r w:rsidR="00796BD3" w:rsidRPr="00924E03">
              <w:rPr>
                <w:b/>
                <w:lang w:val="ru-RU"/>
              </w:rPr>
              <w:t>C2</w:t>
            </w:r>
            <w:r w:rsidR="00660449" w:rsidRPr="00924E03">
              <w:rPr>
                <w:b/>
                <w:lang w:val="ru-RU"/>
              </w:rPr>
              <w:t>4</w:t>
            </w:r>
            <w:r w:rsidR="00796BD3" w:rsidRPr="00924E03">
              <w:rPr>
                <w:b/>
                <w:lang w:val="ru-RU"/>
              </w:rPr>
              <w:t>/</w:t>
            </w:r>
            <w:r w:rsidR="00093C65" w:rsidRPr="00924E03">
              <w:rPr>
                <w:b/>
                <w:lang w:val="ru-RU"/>
              </w:rPr>
              <w:t>1</w:t>
            </w:r>
            <w:r w:rsidR="00796BD3" w:rsidRPr="00924E03">
              <w:rPr>
                <w:b/>
                <w:lang w:val="ru-RU"/>
              </w:rPr>
              <w:t>-R</w:t>
            </w:r>
          </w:p>
        </w:tc>
      </w:tr>
      <w:tr w:rsidR="00796BD3" w:rsidRPr="00924E03" w14:paraId="179E7D43" w14:textId="77777777" w:rsidTr="00093C65">
        <w:trPr>
          <w:cantSplit/>
        </w:trPr>
        <w:tc>
          <w:tcPr>
            <w:tcW w:w="3969" w:type="dxa"/>
            <w:vMerge/>
          </w:tcPr>
          <w:p w14:paraId="571C34E9" w14:textId="77777777" w:rsidR="00796BD3" w:rsidRPr="00924E03" w:rsidRDefault="00796BD3" w:rsidP="00093C6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026B299" w14:textId="6A57BAEC" w:rsidR="00796BD3" w:rsidRPr="00924E03" w:rsidRDefault="00093C65" w:rsidP="00093C65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24E03">
              <w:rPr>
                <w:b/>
                <w:lang w:val="ru-RU"/>
              </w:rPr>
              <w:t>8</w:t>
            </w:r>
            <w:r w:rsidR="00796BD3" w:rsidRPr="00924E03">
              <w:rPr>
                <w:b/>
                <w:lang w:val="ru-RU"/>
              </w:rPr>
              <w:t xml:space="preserve"> </w:t>
            </w:r>
            <w:r w:rsidRPr="00924E03">
              <w:rPr>
                <w:b/>
                <w:lang w:val="ru-RU"/>
              </w:rPr>
              <w:t>мая</w:t>
            </w:r>
            <w:r w:rsidR="00796BD3" w:rsidRPr="00924E03">
              <w:rPr>
                <w:b/>
                <w:lang w:val="ru-RU"/>
              </w:rPr>
              <w:t xml:space="preserve"> 202</w:t>
            </w:r>
            <w:r w:rsidR="00660449" w:rsidRPr="00924E03">
              <w:rPr>
                <w:b/>
                <w:lang w:val="ru-RU"/>
              </w:rPr>
              <w:t>4</w:t>
            </w:r>
            <w:r w:rsidRPr="00924E03">
              <w:rPr>
                <w:b/>
                <w:lang w:val="ru-RU"/>
              </w:rPr>
              <w:t xml:space="preserve"> года</w:t>
            </w:r>
          </w:p>
        </w:tc>
      </w:tr>
      <w:tr w:rsidR="00796BD3" w:rsidRPr="00924E03" w14:paraId="1845BCA4" w14:textId="77777777" w:rsidTr="00093C65">
        <w:trPr>
          <w:cantSplit/>
          <w:trHeight w:val="23"/>
        </w:trPr>
        <w:tc>
          <w:tcPr>
            <w:tcW w:w="3969" w:type="dxa"/>
            <w:vMerge/>
          </w:tcPr>
          <w:p w14:paraId="3638398C" w14:textId="77777777" w:rsidR="00796BD3" w:rsidRPr="00924E03" w:rsidRDefault="00796BD3" w:rsidP="00093C6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6049145" w14:textId="77777777" w:rsidR="00796BD3" w:rsidRPr="00924E03" w:rsidRDefault="0033025A" w:rsidP="00093C6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24E0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24E03" w14:paraId="72C4B71A" w14:textId="77777777" w:rsidTr="00093C65">
        <w:trPr>
          <w:cantSplit/>
          <w:trHeight w:val="23"/>
        </w:trPr>
        <w:tc>
          <w:tcPr>
            <w:tcW w:w="3969" w:type="dxa"/>
          </w:tcPr>
          <w:p w14:paraId="46629860" w14:textId="77777777" w:rsidR="00796BD3" w:rsidRPr="00924E03" w:rsidRDefault="00796BD3" w:rsidP="00093C65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F7C6893" w14:textId="77777777" w:rsidR="00796BD3" w:rsidRPr="00924E03" w:rsidRDefault="00796BD3" w:rsidP="00093C65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24E03" w14:paraId="4F54BA67" w14:textId="77777777" w:rsidTr="00093C65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FB14944" w14:textId="77777777" w:rsidR="00796BD3" w:rsidRPr="00924E03" w:rsidRDefault="0033025A" w:rsidP="00093C65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24E03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24E03" w14:paraId="423F5957" w14:textId="77777777" w:rsidTr="00093C65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007FCF46" w14:textId="25AD63E5" w:rsidR="00796BD3" w:rsidRPr="00924E03" w:rsidRDefault="00093C65" w:rsidP="00093C65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924E03">
              <w:rPr>
                <w:rFonts w:cstheme="minorHAnsi"/>
                <w:sz w:val="32"/>
                <w:szCs w:val="32"/>
                <w:lang w:val="ru-RU"/>
              </w:rPr>
              <w:t>ПРОЕКТ ПОВЕСТКИ ДНЯ СЕССИИ СОВЕТА 2024 ГОДА</w:t>
            </w:r>
          </w:p>
        </w:tc>
      </w:tr>
      <w:tr w:rsidR="00796BD3" w:rsidRPr="00924E03" w14:paraId="007426E4" w14:textId="77777777" w:rsidTr="00093C6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5675CE32" w14:textId="77777777" w:rsidR="00796BD3" w:rsidRPr="00924E03" w:rsidRDefault="00796BD3" w:rsidP="00093C65">
            <w:pPr>
              <w:spacing w:before="160"/>
              <w:rPr>
                <w:lang w:val="ru-RU"/>
              </w:rPr>
            </w:pPr>
          </w:p>
        </w:tc>
      </w:tr>
      <w:bookmarkEnd w:id="2"/>
      <w:bookmarkEnd w:id="6"/>
    </w:tbl>
    <w:p w14:paraId="03049A53" w14:textId="77777777" w:rsidR="00796BD3" w:rsidRPr="00924E03" w:rsidRDefault="00796BD3" w:rsidP="00796BD3">
      <w:pPr>
        <w:rPr>
          <w:lang w:val="ru-RU"/>
        </w:rPr>
      </w:pPr>
    </w:p>
    <w:p w14:paraId="4FC841E3" w14:textId="77777777" w:rsidR="00093C65" w:rsidRPr="00924E03" w:rsidRDefault="00093C65" w:rsidP="00093C65">
      <w:pPr>
        <w:rPr>
          <w:lang w:val="ru-RU"/>
        </w:rPr>
      </w:pPr>
    </w:p>
    <w:tbl>
      <w:tblPr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804"/>
        <w:gridCol w:w="1417"/>
      </w:tblGrid>
      <w:tr w:rsidR="00093C65" w:rsidRPr="00322BEF" w14:paraId="7F04F21E" w14:textId="77777777" w:rsidTr="0088154F">
        <w:trPr>
          <w:cantSplit/>
          <w:tblHeader/>
        </w:trPr>
        <w:tc>
          <w:tcPr>
            <w:tcW w:w="993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59407679" w14:textId="77777777" w:rsidR="00093C65" w:rsidRPr="00322BEF" w:rsidRDefault="00093C65" w:rsidP="0088154F">
            <w:pPr>
              <w:spacing w:after="120"/>
              <w:ind w:right="-57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322BEF">
              <w:rPr>
                <w:rFonts w:cs="Calibri"/>
                <w:b/>
                <w:color w:val="FFFFFF"/>
                <w:sz w:val="20"/>
                <w:lang w:val="ru-RU"/>
              </w:rPr>
              <w:t>Пункт повестки дня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  <w:vAlign w:val="center"/>
          </w:tcPr>
          <w:p w14:paraId="190DEFAE" w14:textId="77777777" w:rsidR="00093C65" w:rsidRPr="00322BEF" w:rsidRDefault="00093C65" w:rsidP="0088154F">
            <w:pPr>
              <w:spacing w:after="120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322BEF">
              <w:rPr>
                <w:rFonts w:cs="Calibri"/>
                <w:b/>
                <w:color w:val="FFFFFF"/>
                <w:sz w:val="20"/>
                <w:lang w:val="ru-RU"/>
              </w:rPr>
              <w:t>Название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  <w:vAlign w:val="center"/>
          </w:tcPr>
          <w:p w14:paraId="46B09305" w14:textId="77777777" w:rsidR="00093C65" w:rsidRPr="00322BEF" w:rsidRDefault="00093C65" w:rsidP="0088154F">
            <w:pPr>
              <w:spacing w:after="120"/>
              <w:jc w:val="center"/>
              <w:rPr>
                <w:rFonts w:cs="Calibri"/>
                <w:b/>
                <w:color w:val="FFFFFF"/>
                <w:sz w:val="20"/>
                <w:lang w:val="ru-RU"/>
              </w:rPr>
            </w:pPr>
            <w:r w:rsidRPr="00322BEF">
              <w:rPr>
                <w:rFonts w:cs="Calibri"/>
                <w:b/>
                <w:color w:val="FFFFFF"/>
                <w:sz w:val="20"/>
                <w:lang w:val="ru-RU"/>
              </w:rPr>
              <w:t xml:space="preserve">Документ </w:t>
            </w:r>
            <w:r w:rsidRPr="00322BEF">
              <w:rPr>
                <w:rFonts w:cs="Calibri"/>
                <w:b/>
                <w:color w:val="FFFFFF"/>
                <w:sz w:val="20"/>
                <w:lang w:val="ru-RU"/>
              </w:rPr>
              <w:br/>
              <w:t>№°C24/XX</w:t>
            </w:r>
          </w:p>
        </w:tc>
      </w:tr>
      <w:tr w:rsidR="00093C65" w:rsidRPr="00322BEF" w14:paraId="79CD1A36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BC957CA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PL 1</w:t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639D9FD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Создание МСЭ, отвечающего своему назначению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46CB79F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</w:p>
        </w:tc>
      </w:tr>
      <w:tr w:rsidR="00093C65" w:rsidRPr="00322BEF" w14:paraId="5053B75C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C738673" w14:textId="77777777" w:rsidR="00093C65" w:rsidRPr="00322BEF" w:rsidRDefault="00093C65" w:rsidP="003D471C">
            <w:pPr>
              <w:spacing w:before="80" w:after="8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06F9B4EF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Положение дел в Союзе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349EEF6B" w14:textId="77777777" w:rsidR="00093C65" w:rsidRPr="00322BEF" w:rsidRDefault="00093C65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–</w:t>
            </w:r>
          </w:p>
        </w:tc>
      </w:tr>
      <w:tr w:rsidR="00093C65" w:rsidRPr="00322BEF" w14:paraId="165A6468" w14:textId="77777777" w:rsidTr="003D471C">
        <w:trPr>
          <w:cantSplit/>
        </w:trPr>
        <w:tc>
          <w:tcPr>
            <w:tcW w:w="993" w:type="dxa"/>
          </w:tcPr>
          <w:p w14:paraId="36AE15F2" w14:textId="77777777" w:rsidR="00093C65" w:rsidRPr="00322BEF" w:rsidRDefault="00093C65" w:rsidP="003D471C">
            <w:pPr>
              <w:spacing w:before="80" w:after="8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F8CB05E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о выполнении Стратегического плана и о деятельности Союза за 2023–2024 годы</w:t>
            </w:r>
          </w:p>
        </w:tc>
        <w:tc>
          <w:tcPr>
            <w:tcW w:w="1417" w:type="dxa"/>
          </w:tcPr>
          <w:p w14:paraId="6356DC9D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" w:history="1">
              <w:bookmarkStart w:id="7" w:name="lt_pId018"/>
              <w:r w:rsidR="00093C65" w:rsidRPr="00322BEF">
                <w:rPr>
                  <w:rStyle w:val="Hyperlink"/>
                  <w:sz w:val="20"/>
                  <w:lang w:val="ru-RU"/>
                </w:rPr>
                <w:t>C24/35</w:t>
              </w:r>
              <w:bookmarkEnd w:id="7"/>
            </w:hyperlink>
          </w:p>
        </w:tc>
      </w:tr>
      <w:tr w:rsidR="00093C65" w:rsidRPr="00322BEF" w14:paraId="20EE3A9F" w14:textId="77777777" w:rsidTr="003D471C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24CA9671" w14:textId="77777777" w:rsidR="00093C65" w:rsidRPr="00322BEF" w:rsidRDefault="00093C65" w:rsidP="003D471C">
            <w:pPr>
              <w:spacing w:before="80" w:after="8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808080"/>
            </w:tcBorders>
          </w:tcPr>
          <w:p w14:paraId="0AFA2A6C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Обновленная информация о процессе трансформации</w:t>
            </w:r>
          </w:p>
          <w:p w14:paraId="3A3A1BA5" w14:textId="40CD28B0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Дорожная карта трансформации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</w:tcPr>
          <w:p w14:paraId="4D17B100" w14:textId="14E0E68A" w:rsidR="00093C65" w:rsidRPr="00322BEF" w:rsidRDefault="00322BEF" w:rsidP="0088154F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" w:history="1">
              <w:bookmarkStart w:id="8" w:name="lt_pId021"/>
              <w:r w:rsidR="00093C65" w:rsidRPr="00322BEF">
                <w:rPr>
                  <w:rStyle w:val="Hyperlink"/>
                  <w:sz w:val="20"/>
                  <w:lang w:val="ru-RU"/>
                </w:rPr>
                <w:t>C24/52</w:t>
              </w:r>
              <w:bookmarkEnd w:id="8"/>
            </w:hyperlink>
            <w:r w:rsidR="0088154F" w:rsidRPr="00322BEF">
              <w:rPr>
                <w:rStyle w:val="Hyperlink"/>
                <w:sz w:val="20"/>
                <w:lang w:val="ru-RU"/>
              </w:rPr>
              <w:br/>
            </w:r>
            <w:hyperlink r:id="rId9" w:history="1">
              <w:bookmarkStart w:id="9" w:name="lt_pId022"/>
              <w:r w:rsidR="00093C65" w:rsidRPr="00322BEF">
                <w:rPr>
                  <w:rStyle w:val="Hyperlink"/>
                  <w:sz w:val="20"/>
                  <w:lang w:val="ru-RU"/>
                </w:rPr>
                <w:t>C24/73</w:t>
              </w:r>
              <w:bookmarkEnd w:id="9"/>
            </w:hyperlink>
          </w:p>
        </w:tc>
      </w:tr>
      <w:tr w:rsidR="00093C65" w:rsidRPr="00322BEF" w14:paraId="18A37E83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E4BB5A2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PL 2</w:t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983F9D1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Единство действий МСЭ (общая политика, стратегия и виды деятельности)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713AB69" w14:textId="77777777" w:rsidR="00093C65" w:rsidRPr="00322BEF" w:rsidRDefault="00093C65" w:rsidP="003D471C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093C65" w:rsidRPr="00322BEF" w14:paraId="0688D72D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339373D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5508FC38" w14:textId="12F8FBFA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Стратегия координации усилий трех Секторов Союза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54C0E11C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0" w:history="1">
              <w:bookmarkStart w:id="10" w:name="lt_pId02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C24/27</w:t>
              </w:r>
              <w:bookmarkEnd w:id="10"/>
            </w:hyperlink>
          </w:p>
        </w:tc>
      </w:tr>
      <w:tr w:rsidR="00093C65" w:rsidRPr="00322BEF" w14:paraId="4D7F9FE3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AB39152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65DAC490" w14:textId="74E7500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Реализация концепции "Единый МСЭ"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14B3B6FC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1" w:history="1">
              <w:bookmarkStart w:id="11" w:name="lt_pId02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C24/17</w:t>
              </w:r>
              <w:bookmarkEnd w:id="11"/>
            </w:hyperlink>
          </w:p>
        </w:tc>
      </w:tr>
      <w:tr w:rsidR="00093C65" w:rsidRPr="00322BEF" w14:paraId="2F4C5F1A" w14:textId="77777777" w:rsidTr="003D471C">
        <w:trPr>
          <w:cantSplit/>
        </w:trPr>
        <w:tc>
          <w:tcPr>
            <w:tcW w:w="993" w:type="dxa"/>
          </w:tcPr>
          <w:p w14:paraId="3425A61A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2361F6BC" w14:textId="68F51A5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Проекты четырехгодичных скользящих оперативных планов Союза на 2025−2028 годы</w:t>
            </w:r>
          </w:p>
        </w:tc>
        <w:tc>
          <w:tcPr>
            <w:tcW w:w="1417" w:type="dxa"/>
          </w:tcPr>
          <w:p w14:paraId="0043421F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2" w:history="1">
              <w:bookmarkStart w:id="12" w:name="lt_pId03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C24/28</w:t>
              </w:r>
              <w:bookmarkEnd w:id="12"/>
            </w:hyperlink>
          </w:p>
        </w:tc>
      </w:tr>
      <w:tr w:rsidR="00093C65" w:rsidRPr="00322BEF" w14:paraId="5B8820E4" w14:textId="77777777" w:rsidTr="003D471C">
        <w:trPr>
          <w:cantSplit/>
        </w:trPr>
        <w:tc>
          <w:tcPr>
            <w:tcW w:w="993" w:type="dxa"/>
          </w:tcPr>
          <w:p w14:paraId="1FE938FF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13C5A9D" w14:textId="1DFF7B4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Укрепление регионального присутствия МСЭ</w:t>
            </w:r>
          </w:p>
        </w:tc>
        <w:tc>
          <w:tcPr>
            <w:tcW w:w="1417" w:type="dxa"/>
          </w:tcPr>
          <w:p w14:paraId="136D19EC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3" w:history="1">
              <w:bookmarkStart w:id="13" w:name="lt_pId03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C24/25</w:t>
              </w:r>
              <w:bookmarkEnd w:id="13"/>
            </w:hyperlink>
          </w:p>
        </w:tc>
      </w:tr>
      <w:tr w:rsidR="00093C65" w:rsidRPr="00322BEF" w14:paraId="3CFF7F96" w14:textId="77777777" w:rsidTr="003D471C">
        <w:trPr>
          <w:cantSplit/>
        </w:trPr>
        <w:tc>
          <w:tcPr>
            <w:tcW w:w="993" w:type="dxa"/>
          </w:tcPr>
          <w:p w14:paraId="1062A079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2B30D09" w14:textId="6D2840AE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Укрепление регионального присутствия МСЭ − Критерии создания региональных и зональных отделений в будущем</w:t>
            </w:r>
          </w:p>
        </w:tc>
        <w:tc>
          <w:tcPr>
            <w:tcW w:w="1417" w:type="dxa"/>
          </w:tcPr>
          <w:p w14:paraId="1A07EC43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4" w:history="1">
              <w:bookmarkStart w:id="14" w:name="lt_pId03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C24/66</w:t>
              </w:r>
              <w:bookmarkEnd w:id="14"/>
            </w:hyperlink>
          </w:p>
        </w:tc>
      </w:tr>
      <w:tr w:rsidR="00093C65" w:rsidRPr="00322BEF" w14:paraId="6FEAA0D0" w14:textId="77777777" w:rsidTr="003D471C">
        <w:trPr>
          <w:cantSplit/>
        </w:trPr>
        <w:tc>
          <w:tcPr>
            <w:tcW w:w="993" w:type="dxa"/>
          </w:tcPr>
          <w:p w14:paraId="30CE6EA4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7A77588D" w14:textId="3C464BC5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председателя Рабочей группы Совета по защите ребенка в онлайновой среде (РГС-COP)</w:t>
            </w:r>
          </w:p>
        </w:tc>
        <w:tc>
          <w:tcPr>
            <w:tcW w:w="1417" w:type="dxa"/>
          </w:tcPr>
          <w:p w14:paraId="4F8D044B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15" w:history="1">
              <w:bookmarkStart w:id="15" w:name="lt_pId03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C24/15</w:t>
              </w:r>
              <w:bookmarkEnd w:id="15"/>
            </w:hyperlink>
          </w:p>
        </w:tc>
      </w:tr>
      <w:tr w:rsidR="00093C65" w:rsidRPr="00322BEF" w14:paraId="5CB9AED1" w14:textId="77777777" w:rsidTr="003D471C">
        <w:trPr>
          <w:cantSplit/>
        </w:trPr>
        <w:tc>
          <w:tcPr>
            <w:tcW w:w="993" w:type="dxa"/>
          </w:tcPr>
          <w:p w14:paraId="1728372A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7CD8F370" w14:textId="6FD5A87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председателя Рабочей группы Совета по языкам (РГС-Яз)</w:t>
            </w:r>
          </w:p>
        </w:tc>
        <w:tc>
          <w:tcPr>
            <w:tcW w:w="1417" w:type="dxa"/>
          </w:tcPr>
          <w:p w14:paraId="29FFFDD5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6" w:history="1">
              <w:bookmarkStart w:id="16" w:name="lt_pId03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C24/12</w:t>
              </w:r>
              <w:bookmarkEnd w:id="16"/>
            </w:hyperlink>
          </w:p>
        </w:tc>
      </w:tr>
      <w:tr w:rsidR="00093C65" w:rsidRPr="00322BEF" w14:paraId="610ACD5E" w14:textId="77777777" w:rsidTr="003D471C">
        <w:trPr>
          <w:cantSplit/>
        </w:trPr>
        <w:tc>
          <w:tcPr>
            <w:tcW w:w="993" w:type="dxa"/>
          </w:tcPr>
          <w:p w14:paraId="5A746AFB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F38FDF8" w14:textId="72ABFC1F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417" w:type="dxa"/>
          </w:tcPr>
          <w:p w14:paraId="0873E452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7" w:history="1">
              <w:bookmarkStart w:id="17" w:name="lt_pId04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C24/51</w:t>
              </w:r>
              <w:bookmarkEnd w:id="17"/>
            </w:hyperlink>
          </w:p>
        </w:tc>
      </w:tr>
      <w:tr w:rsidR="00093C65" w:rsidRPr="00322BEF" w14:paraId="0632A3E6" w14:textId="77777777" w:rsidTr="003D471C">
        <w:trPr>
          <w:cantSplit/>
        </w:trPr>
        <w:tc>
          <w:tcPr>
            <w:tcW w:w="993" w:type="dxa"/>
          </w:tcPr>
          <w:p w14:paraId="76757619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3408CF4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председателя Группы экспертов по Регламенту международной электросвязи (ГЭ-РМЭ) о ходе работы</w:t>
            </w:r>
          </w:p>
        </w:tc>
        <w:tc>
          <w:tcPr>
            <w:tcW w:w="1417" w:type="dxa"/>
          </w:tcPr>
          <w:p w14:paraId="2E6C2776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8" w:history="1">
              <w:bookmarkStart w:id="18" w:name="lt_pId04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C24/26</w:t>
              </w:r>
              <w:bookmarkEnd w:id="18"/>
            </w:hyperlink>
          </w:p>
        </w:tc>
      </w:tr>
      <w:tr w:rsidR="00093C65" w:rsidRPr="00322BEF" w14:paraId="6895559B" w14:textId="77777777" w:rsidTr="003D471C">
        <w:trPr>
          <w:cantSplit/>
        </w:trPr>
        <w:tc>
          <w:tcPr>
            <w:tcW w:w="993" w:type="dxa"/>
          </w:tcPr>
          <w:p w14:paraId="5FC673B6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B52000E" w14:textId="4AF421E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председателя Рабочей группы Совета по ВВУИО и ЦУР (РГС</w:t>
            </w:r>
            <w:r w:rsidRPr="00322BEF">
              <w:rPr>
                <w:sz w:val="20"/>
                <w:lang w:val="ru-RU"/>
              </w:rPr>
              <w:noBreakHyphen/>
              <w:t>ВВУИО&amp;ЦУР)</w:t>
            </w:r>
          </w:p>
        </w:tc>
        <w:tc>
          <w:tcPr>
            <w:tcW w:w="1417" w:type="dxa"/>
          </w:tcPr>
          <w:p w14:paraId="73D90B59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19" w:history="1">
              <w:bookmarkStart w:id="19" w:name="lt_pId04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C24/8</w:t>
              </w:r>
              <w:bookmarkEnd w:id="19"/>
            </w:hyperlink>
          </w:p>
        </w:tc>
      </w:tr>
      <w:tr w:rsidR="00093C65" w:rsidRPr="00322BEF" w14:paraId="6BEA19EA" w14:textId="77777777" w:rsidTr="003D471C">
        <w:trPr>
          <w:cantSplit/>
        </w:trPr>
        <w:tc>
          <w:tcPr>
            <w:tcW w:w="993" w:type="dxa"/>
          </w:tcPr>
          <w:p w14:paraId="44021A50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FB84455" w14:textId="12C48EE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Проект отчета в рамках ВВУИО+20: Вклад МСЭ в выполнение решений ВВУИО и последующих мер в связи с решениями ВВУИО</w:t>
            </w:r>
          </w:p>
        </w:tc>
        <w:tc>
          <w:tcPr>
            <w:tcW w:w="1417" w:type="dxa"/>
          </w:tcPr>
          <w:p w14:paraId="7B223F7A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0" w:history="1">
              <w:bookmarkStart w:id="20" w:name="lt_pId04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C24/60</w:t>
              </w:r>
              <w:bookmarkEnd w:id="20"/>
            </w:hyperlink>
          </w:p>
        </w:tc>
      </w:tr>
      <w:tr w:rsidR="00093C65" w:rsidRPr="00322BEF" w14:paraId="0E657747" w14:textId="77777777" w:rsidTr="003D471C">
        <w:trPr>
          <w:cantSplit/>
        </w:trPr>
        <w:tc>
          <w:tcPr>
            <w:tcW w:w="993" w:type="dxa"/>
          </w:tcPr>
          <w:p w14:paraId="0EF103BF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F2972DA" w14:textId="24143552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Деятельность МСЭ в области интернета: Резолюции 101, 102, 133, 180 и 206</w:t>
            </w:r>
          </w:p>
        </w:tc>
        <w:tc>
          <w:tcPr>
            <w:tcW w:w="1417" w:type="dxa"/>
          </w:tcPr>
          <w:p w14:paraId="04280571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1" w:history="1">
              <w:bookmarkStart w:id="21" w:name="lt_pId04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C24/33</w:t>
              </w:r>
              <w:bookmarkEnd w:id="21"/>
            </w:hyperlink>
          </w:p>
        </w:tc>
      </w:tr>
      <w:tr w:rsidR="00093C65" w:rsidRPr="00322BEF" w14:paraId="5A6D015C" w14:textId="77777777" w:rsidTr="003D471C">
        <w:trPr>
          <w:cantSplit/>
        </w:trPr>
        <w:tc>
          <w:tcPr>
            <w:tcW w:w="993" w:type="dxa"/>
          </w:tcPr>
          <w:p w14:paraId="659D8D3F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68409B67" w14:textId="364E3F3D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Деятельность МСЭ по усилению роли МСЭ в укреплении доверия и безопасности при использовании ИКТ</w:t>
            </w:r>
          </w:p>
        </w:tc>
        <w:tc>
          <w:tcPr>
            <w:tcW w:w="1417" w:type="dxa"/>
          </w:tcPr>
          <w:p w14:paraId="11969F61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2" w:history="1">
              <w:bookmarkStart w:id="22" w:name="lt_pId05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C24/18</w:t>
              </w:r>
              <w:bookmarkEnd w:id="22"/>
            </w:hyperlink>
          </w:p>
        </w:tc>
      </w:tr>
      <w:tr w:rsidR="00093C65" w:rsidRPr="00322BEF" w14:paraId="5A663637" w14:textId="77777777" w:rsidTr="003D471C">
        <w:trPr>
          <w:cantSplit/>
        </w:trPr>
        <w:tc>
          <w:tcPr>
            <w:tcW w:w="993" w:type="dxa"/>
          </w:tcPr>
          <w:p w14:paraId="22DA1E4F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24C98827" w14:textId="72DCE6B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о выполнении программы работы МСЭ по достижению гендерного равенства, включая обновленную информацию о решениях сессии Совета</w:t>
            </w:r>
            <w:r w:rsidRPr="00322BEF">
              <w:rPr>
                <w:sz w:val="20"/>
                <w:lang w:val="ru-RU"/>
              </w:rPr>
              <w:noBreakHyphen/>
              <w:t>23</w:t>
            </w:r>
          </w:p>
        </w:tc>
        <w:tc>
          <w:tcPr>
            <w:tcW w:w="1417" w:type="dxa"/>
          </w:tcPr>
          <w:p w14:paraId="627916A2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3" w:history="1">
              <w:bookmarkStart w:id="23" w:name="lt_pId05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</w:t>
              </w:r>
              <w:bookmarkEnd w:id="23"/>
            </w:hyperlink>
          </w:p>
        </w:tc>
      </w:tr>
      <w:tr w:rsidR="00093C65" w:rsidRPr="00322BEF" w14:paraId="6BF4BE10" w14:textId="77777777" w:rsidTr="003D471C">
        <w:trPr>
          <w:cantSplit/>
        </w:trPr>
        <w:tc>
          <w:tcPr>
            <w:tcW w:w="993" w:type="dxa"/>
          </w:tcPr>
          <w:p w14:paraId="1E3AD55E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2183484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Привлечение молодежи и молодежные инициативы в МСЭ</w:t>
            </w:r>
          </w:p>
        </w:tc>
        <w:tc>
          <w:tcPr>
            <w:tcW w:w="1417" w:type="dxa"/>
          </w:tcPr>
          <w:p w14:paraId="05A37CBB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4" w:history="1">
              <w:bookmarkStart w:id="24" w:name="lt_pId05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C24/31</w:t>
              </w:r>
              <w:bookmarkEnd w:id="24"/>
            </w:hyperlink>
          </w:p>
        </w:tc>
      </w:tr>
      <w:tr w:rsidR="00093C65" w:rsidRPr="00322BEF" w14:paraId="6EA44668" w14:textId="77777777" w:rsidTr="003D471C">
        <w:trPr>
          <w:cantSplit/>
        </w:trPr>
        <w:tc>
          <w:tcPr>
            <w:tcW w:w="993" w:type="dxa"/>
          </w:tcPr>
          <w:p w14:paraId="272C6B7E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6E248807" w14:textId="1F8B04D8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Ход подготовки Молодежного саммита</w:t>
            </w:r>
          </w:p>
        </w:tc>
        <w:tc>
          <w:tcPr>
            <w:tcW w:w="1417" w:type="dxa"/>
          </w:tcPr>
          <w:p w14:paraId="0A836AC9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5" w:history="1">
              <w:bookmarkStart w:id="25" w:name="lt_pId05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C24/32</w:t>
              </w:r>
              <w:bookmarkEnd w:id="25"/>
            </w:hyperlink>
          </w:p>
        </w:tc>
      </w:tr>
      <w:tr w:rsidR="00093C65" w:rsidRPr="00322BEF" w14:paraId="484B0DCB" w14:textId="77777777" w:rsidTr="003D471C">
        <w:trPr>
          <w:cantSplit/>
        </w:trPr>
        <w:tc>
          <w:tcPr>
            <w:tcW w:w="993" w:type="dxa"/>
          </w:tcPr>
          <w:p w14:paraId="2F2DF620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147E44C" w14:textId="3345A5B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Сотрудничество с системой Организации Объединенных Наций и другими международными межправительственными процессами, в том числе в области разработки стандартов</w:t>
            </w:r>
          </w:p>
        </w:tc>
        <w:tc>
          <w:tcPr>
            <w:tcW w:w="1417" w:type="dxa"/>
          </w:tcPr>
          <w:p w14:paraId="0E0DF3B5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6" w:history="1">
              <w:bookmarkStart w:id="26" w:name="lt_pId05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C24/55</w:t>
              </w:r>
              <w:bookmarkEnd w:id="26"/>
            </w:hyperlink>
          </w:p>
        </w:tc>
      </w:tr>
      <w:tr w:rsidR="00093C65" w:rsidRPr="00322BEF" w14:paraId="7DC6E59D" w14:textId="77777777" w:rsidTr="003D471C">
        <w:trPr>
          <w:cantSplit/>
        </w:trPr>
        <w:tc>
          <w:tcPr>
            <w:tcW w:w="993" w:type="dxa"/>
          </w:tcPr>
          <w:p w14:paraId="025CF094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2860A59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Роль МСЭ в осуществлении Повестки дня "Космос-2030": космос как двигатель устойчивого развития", а также в процессе последующей деятельности и анализа</w:t>
            </w:r>
          </w:p>
        </w:tc>
        <w:tc>
          <w:tcPr>
            <w:tcW w:w="1417" w:type="dxa"/>
          </w:tcPr>
          <w:p w14:paraId="2B47D519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7" w:history="1">
              <w:bookmarkStart w:id="27" w:name="lt_pId06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C24/36</w:t>
              </w:r>
              <w:bookmarkEnd w:id="27"/>
            </w:hyperlink>
          </w:p>
        </w:tc>
      </w:tr>
      <w:tr w:rsidR="00093C65" w:rsidRPr="00322BEF" w14:paraId="1BD6B944" w14:textId="77777777" w:rsidTr="003D471C">
        <w:trPr>
          <w:cantSplit/>
        </w:trPr>
        <w:tc>
          <w:tcPr>
            <w:tcW w:w="993" w:type="dxa"/>
          </w:tcPr>
          <w:p w14:paraId="5263A774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41BEAE0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о выполнении Резолюции 214 (Бухарест, 2022 г.) ПК "Технологии искусственного интеллекта и электросвязь / информационно-коммуникационные технологии"</w:t>
            </w:r>
          </w:p>
        </w:tc>
        <w:tc>
          <w:tcPr>
            <w:tcW w:w="1417" w:type="dxa"/>
          </w:tcPr>
          <w:p w14:paraId="4E0E7621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8" w:history="1">
              <w:bookmarkStart w:id="28" w:name="lt_pId06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C24/67</w:t>
              </w:r>
              <w:bookmarkEnd w:id="28"/>
            </w:hyperlink>
          </w:p>
        </w:tc>
      </w:tr>
      <w:tr w:rsidR="00093C65" w:rsidRPr="00322BEF" w14:paraId="12D68ECB" w14:textId="77777777" w:rsidTr="003D471C">
        <w:trPr>
          <w:cantSplit/>
        </w:trPr>
        <w:tc>
          <w:tcPr>
            <w:tcW w:w="993" w:type="dxa"/>
          </w:tcPr>
          <w:p w14:paraId="178E210D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2969DCE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Подготовка к Всемирному форуму по политике в области электросвязи/ИКТ 2026 года (ВФПЭ-26)</w:t>
            </w:r>
          </w:p>
        </w:tc>
        <w:tc>
          <w:tcPr>
            <w:tcW w:w="1417" w:type="dxa"/>
          </w:tcPr>
          <w:p w14:paraId="2730B683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29" w:history="1">
              <w:bookmarkStart w:id="29" w:name="lt_pId06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</w:t>
              </w:r>
              <w:bookmarkEnd w:id="29"/>
            </w:hyperlink>
          </w:p>
        </w:tc>
      </w:tr>
      <w:tr w:rsidR="00093C65" w:rsidRPr="00322BEF" w14:paraId="60CB5D1A" w14:textId="77777777" w:rsidTr="003D471C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4C30B4FF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808080"/>
            </w:tcBorders>
          </w:tcPr>
          <w:p w14:paraId="039C7DC5" w14:textId="11F32FC1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Обновленная информация о ходе выполнения Резолюции 1408 Совета МСЭ о помощи и поддержке Украине в восстановлении ее отрасли электросвязи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</w:tcPr>
          <w:p w14:paraId="2591ADF5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0" w:history="1">
              <w:bookmarkStart w:id="30" w:name="lt_pId06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C24/68</w:t>
              </w:r>
              <w:bookmarkEnd w:id="30"/>
            </w:hyperlink>
          </w:p>
        </w:tc>
      </w:tr>
      <w:tr w:rsidR="00093C65" w:rsidRPr="00322BEF" w14:paraId="7E2F7B41" w14:textId="77777777" w:rsidTr="003D471C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74BFAB20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808080"/>
            </w:tcBorders>
          </w:tcPr>
          <w:p w14:paraId="7814CE0D" w14:textId="397BC386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о предоставлении помощи и поддержки Палестине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</w:tcPr>
          <w:p w14:paraId="5131CA6C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1" w:history="1">
              <w:bookmarkStart w:id="31" w:name="lt_pId06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C24/69</w:t>
              </w:r>
              <w:bookmarkEnd w:id="31"/>
            </w:hyperlink>
          </w:p>
        </w:tc>
      </w:tr>
      <w:tr w:rsidR="00093C65" w:rsidRPr="00322BEF" w14:paraId="6144C990" w14:textId="77777777" w:rsidTr="003D471C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7E986DA3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808080"/>
            </w:tcBorders>
          </w:tcPr>
          <w:p w14:paraId="38B2FE53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Деятельность МСЭ в области изменения климата и экологической устойчивости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</w:tcPr>
          <w:p w14:paraId="45D39696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2" w:history="1">
              <w:bookmarkStart w:id="32" w:name="lt_pId07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C24/72</w:t>
              </w:r>
              <w:bookmarkEnd w:id="32"/>
            </w:hyperlink>
          </w:p>
        </w:tc>
      </w:tr>
      <w:tr w:rsidR="00093C65" w:rsidRPr="00322BEF" w14:paraId="1FC1CAEC" w14:textId="77777777" w:rsidTr="003D471C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26F587AF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808080"/>
            </w:tcBorders>
          </w:tcPr>
          <w:p w14:paraId="34630D68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Постоянного комитета по администрированию и управлению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</w:tcPr>
          <w:p w14:paraId="57061789" w14:textId="77777777" w:rsidR="00093C65" w:rsidRPr="00322BEF" w:rsidRDefault="00093C65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–</w:t>
            </w:r>
          </w:p>
        </w:tc>
      </w:tr>
      <w:tr w:rsidR="00093C65" w:rsidRPr="00322BEF" w14:paraId="73E2BD88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89285A4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PL 3</w:t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581DD079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pacing w:val="-2"/>
                <w:sz w:val="20"/>
                <w:lang w:val="ru-RU"/>
              </w:rPr>
            </w:pPr>
            <w:r w:rsidRPr="00322BEF">
              <w:rPr>
                <w:rFonts w:cs="Calibri"/>
                <w:b/>
                <w:spacing w:val="-2"/>
                <w:sz w:val="20"/>
                <w:lang w:val="ru-RU"/>
              </w:rPr>
              <w:t>Совершенствование управления (вопросы, касающиеся предусмотренных Уставом конференций, ассамблей, Совета и рабочих групп Совета МСЭ, РРК)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AD3A161" w14:textId="77777777" w:rsidR="00093C65" w:rsidRPr="00322BEF" w:rsidRDefault="00093C65" w:rsidP="003D471C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093C65" w:rsidRPr="00322BEF" w14:paraId="6FD7DFCF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C8E0C8E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5084910E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об Ассамблее радиосвязи (АР-23) и Всемирной конференции радиосвязи (ВКР-23)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08BDAE64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3" w:history="1">
              <w:r w:rsidR="00093C65" w:rsidRPr="00322BEF">
                <w:rPr>
                  <w:rStyle w:val="Hyperlink"/>
                  <w:sz w:val="20"/>
                  <w:lang w:val="ru-RU"/>
                </w:rPr>
                <w:t>C24/13</w:t>
              </w:r>
            </w:hyperlink>
          </w:p>
        </w:tc>
      </w:tr>
      <w:tr w:rsidR="00093C65" w:rsidRPr="00322BEF" w14:paraId="08165425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7B1EBDB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0FB1FA84" w14:textId="728C2465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Повестка дня Всемирной конференции радиосвязи 2027 года (ВКР-27)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39E45825" w14:textId="77777777" w:rsidR="00093C65" w:rsidRPr="00322BEF" w:rsidRDefault="00322BEF" w:rsidP="003D471C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hyperlink r:id="rId34" w:history="1">
              <w:r w:rsidR="00093C65" w:rsidRPr="00322BEF">
                <w:rPr>
                  <w:rStyle w:val="Hyperlink"/>
                  <w:sz w:val="20"/>
                  <w:lang w:val="ru-RU"/>
                </w:rPr>
                <w:t>C24/64</w:t>
              </w:r>
            </w:hyperlink>
          </w:p>
        </w:tc>
      </w:tr>
      <w:tr w:rsidR="00093C65" w:rsidRPr="00322BEF" w14:paraId="1E77CB77" w14:textId="77777777" w:rsidTr="003D471C">
        <w:trPr>
          <w:cantSplit/>
        </w:trPr>
        <w:tc>
          <w:tcPr>
            <w:tcW w:w="993" w:type="dxa"/>
          </w:tcPr>
          <w:p w14:paraId="5BA6B49B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256B7BBF" w14:textId="60134EC6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Подготовка к Всемирной ассамблее по стандартизации электросвязи 2024 года (ВАСЭ-24)</w:t>
            </w:r>
          </w:p>
        </w:tc>
        <w:tc>
          <w:tcPr>
            <w:tcW w:w="1417" w:type="dxa"/>
          </w:tcPr>
          <w:p w14:paraId="27771545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5" w:history="1">
              <w:r w:rsidR="00093C65" w:rsidRPr="00322BEF">
                <w:rPr>
                  <w:rStyle w:val="Hyperlink"/>
                  <w:sz w:val="20"/>
                  <w:lang w:val="ru-RU"/>
                </w:rPr>
                <w:t>C24/24</w:t>
              </w:r>
            </w:hyperlink>
          </w:p>
        </w:tc>
      </w:tr>
      <w:tr w:rsidR="00093C65" w:rsidRPr="00322BEF" w14:paraId="6C958B3D" w14:textId="77777777" w:rsidTr="003D471C">
        <w:trPr>
          <w:cantSplit/>
        </w:trPr>
        <w:tc>
          <w:tcPr>
            <w:tcW w:w="993" w:type="dxa"/>
          </w:tcPr>
          <w:p w14:paraId="74C54E12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051116F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Подготовка к Всемирной конференции по развитию электросвязи 2025 года (ВКРЭ-25)</w:t>
            </w:r>
          </w:p>
        </w:tc>
        <w:tc>
          <w:tcPr>
            <w:tcW w:w="1417" w:type="dxa"/>
          </w:tcPr>
          <w:p w14:paraId="5116A3C5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36" w:history="1">
              <w:r w:rsidR="00093C65" w:rsidRPr="00322BEF">
                <w:rPr>
                  <w:rStyle w:val="Hyperlink"/>
                  <w:sz w:val="20"/>
                  <w:lang w:val="ru-RU"/>
                </w:rPr>
                <w:t>C24/30</w:t>
              </w:r>
            </w:hyperlink>
          </w:p>
        </w:tc>
      </w:tr>
      <w:tr w:rsidR="00093C65" w:rsidRPr="00322BEF" w14:paraId="49A10184" w14:textId="77777777" w:rsidTr="003D471C">
        <w:trPr>
          <w:cantSplit/>
        </w:trPr>
        <w:tc>
          <w:tcPr>
            <w:tcW w:w="993" w:type="dxa"/>
          </w:tcPr>
          <w:p w14:paraId="400B98B9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7EECAE6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Результаты консультаций по предлагаемым мерам совершенствования Полномочной конференции</w:t>
            </w:r>
          </w:p>
        </w:tc>
        <w:tc>
          <w:tcPr>
            <w:tcW w:w="1417" w:type="dxa"/>
          </w:tcPr>
          <w:p w14:paraId="3EEA9D4A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7" w:history="1">
              <w:r w:rsidR="00093C65" w:rsidRPr="00322BEF">
                <w:rPr>
                  <w:rStyle w:val="Hyperlink"/>
                  <w:sz w:val="20"/>
                  <w:lang w:val="ru-RU"/>
                </w:rPr>
                <w:t>C24/4</w:t>
              </w:r>
            </w:hyperlink>
          </w:p>
        </w:tc>
      </w:tr>
      <w:tr w:rsidR="00093C65" w:rsidRPr="00322BEF" w14:paraId="1E311C1C" w14:textId="77777777" w:rsidTr="003D471C">
        <w:trPr>
          <w:cantSplit/>
        </w:trPr>
        <w:tc>
          <w:tcPr>
            <w:tcW w:w="993" w:type="dxa"/>
          </w:tcPr>
          <w:p w14:paraId="40C3F26E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83838C2" w14:textId="2BCDFE18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Подготовка Стратегического плана и Финансового плана МСЭ на 2028−2031 годы</w:t>
            </w:r>
          </w:p>
        </w:tc>
        <w:tc>
          <w:tcPr>
            <w:tcW w:w="1417" w:type="dxa"/>
          </w:tcPr>
          <w:p w14:paraId="5FE6394D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8" w:history="1">
              <w:r w:rsidR="00093C65" w:rsidRPr="00322BEF">
                <w:rPr>
                  <w:rStyle w:val="Hyperlink"/>
                  <w:sz w:val="20"/>
                  <w:lang w:val="ru-RU"/>
                </w:rPr>
                <w:t>C24/59</w:t>
              </w:r>
            </w:hyperlink>
          </w:p>
        </w:tc>
      </w:tr>
      <w:tr w:rsidR="00093C65" w:rsidRPr="00322BEF" w14:paraId="2D0A44BF" w14:textId="77777777" w:rsidTr="003D471C">
        <w:trPr>
          <w:cantSplit/>
        </w:trPr>
        <w:tc>
          <w:tcPr>
            <w:tcW w:w="993" w:type="dxa"/>
          </w:tcPr>
          <w:p w14:paraId="5D102F8B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0FCCB60" w14:textId="5C08BF4C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  <w:tc>
          <w:tcPr>
            <w:tcW w:w="1417" w:type="dxa"/>
          </w:tcPr>
          <w:p w14:paraId="0D130096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39" w:history="1">
              <w:r w:rsidR="00093C65" w:rsidRPr="00322BEF">
                <w:rPr>
                  <w:rStyle w:val="Hyperlink"/>
                  <w:sz w:val="20"/>
                  <w:lang w:val="ru-RU"/>
                </w:rPr>
                <w:t>C24/21</w:t>
              </w:r>
            </w:hyperlink>
          </w:p>
        </w:tc>
      </w:tr>
      <w:tr w:rsidR="00093C65" w:rsidRPr="00322BEF" w14:paraId="58253E36" w14:textId="77777777" w:rsidTr="003D471C">
        <w:trPr>
          <w:cantSplit/>
        </w:trPr>
        <w:tc>
          <w:tcPr>
            <w:tcW w:w="993" w:type="dxa"/>
          </w:tcPr>
          <w:p w14:paraId="7DFC2D72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E687B5B" w14:textId="48F17E60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Предлагаемые сроки и продолжительность сессий Совета 2025, 2026, 2027</w:t>
            </w:r>
            <w:r w:rsidR="002D3439" w:rsidRPr="00322BEF">
              <w:rPr>
                <w:rFonts w:cs="Calibri"/>
                <w:bCs/>
                <w:sz w:val="20"/>
                <w:lang w:val="ru-RU"/>
              </w:rPr>
              <w:t> </w:t>
            </w:r>
            <w:r w:rsidRPr="00322BEF">
              <w:rPr>
                <w:rFonts w:cs="Calibri"/>
                <w:bCs/>
                <w:sz w:val="20"/>
                <w:lang w:val="ru-RU"/>
              </w:rPr>
              <w:t>годов, а также предлагаемые сроки проведения блоков собраний рабочих групп Совета и групп экспертов в тот же период</w:t>
            </w:r>
          </w:p>
        </w:tc>
        <w:tc>
          <w:tcPr>
            <w:tcW w:w="1417" w:type="dxa"/>
          </w:tcPr>
          <w:p w14:paraId="19511F2A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0" w:history="1">
              <w:r w:rsidR="00093C65" w:rsidRPr="00322BEF">
                <w:rPr>
                  <w:rStyle w:val="Hyperlink"/>
                  <w:sz w:val="20"/>
                  <w:lang w:val="ru-RU"/>
                </w:rPr>
                <w:t>C24/2</w:t>
              </w:r>
            </w:hyperlink>
          </w:p>
        </w:tc>
      </w:tr>
      <w:tr w:rsidR="00093C65" w:rsidRPr="00322BEF" w14:paraId="122A12D8" w14:textId="77777777" w:rsidTr="003D471C">
        <w:trPr>
          <w:cantSplit/>
        </w:trPr>
        <w:tc>
          <w:tcPr>
            <w:tcW w:w="993" w:type="dxa"/>
          </w:tcPr>
          <w:p w14:paraId="27D0810D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04F384A0" w14:textId="57CF2B39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Расписание будущих конференций, ассамблей и собраний Союза</w:t>
            </w:r>
            <w:r w:rsidRPr="00322BEF">
              <w:rPr>
                <w:rFonts w:cs="Calibri"/>
                <w:sz w:val="20"/>
                <w:lang w:val="ru-RU"/>
              </w:rPr>
              <w:t>: 2024−2027 годы</w:t>
            </w:r>
          </w:p>
        </w:tc>
        <w:tc>
          <w:tcPr>
            <w:tcW w:w="1417" w:type="dxa"/>
          </w:tcPr>
          <w:p w14:paraId="0D33AABF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1" w:history="1">
              <w:r w:rsidR="00093C65" w:rsidRPr="00322BEF">
                <w:rPr>
                  <w:rStyle w:val="Hyperlink"/>
                  <w:sz w:val="20"/>
                  <w:lang w:val="ru-RU"/>
                </w:rPr>
                <w:t>C24/37</w:t>
              </w:r>
            </w:hyperlink>
          </w:p>
        </w:tc>
      </w:tr>
      <w:tr w:rsidR="00093C65" w:rsidRPr="00322BEF" w14:paraId="211BFE24" w14:textId="77777777" w:rsidTr="003D471C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73219772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808080"/>
            </w:tcBorders>
          </w:tcPr>
          <w:p w14:paraId="6ABBEC58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Утратившие актуальность Резолюции и Решения Совета</w:t>
            </w:r>
          </w:p>
          <w:p w14:paraId="4666D697" w14:textId="77777777" w:rsidR="00093C65" w:rsidRPr="00322BEF" w:rsidRDefault="00093C65" w:rsidP="00093C65">
            <w:pPr>
              <w:tabs>
                <w:tab w:val="clear" w:pos="794"/>
              </w:tabs>
              <w:spacing w:before="40" w:after="40"/>
              <w:ind w:left="317" w:hanging="283"/>
              <w:rPr>
                <w:rFonts w:cs="Calibri"/>
                <w:sz w:val="20"/>
                <w:lang w:val="ru-RU"/>
              </w:rPr>
            </w:pPr>
            <w:bookmarkStart w:id="33" w:name="lt_pId094"/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–</w:t>
            </w: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ab/>
            </w:r>
            <w:bookmarkEnd w:id="33"/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Заключение третьего собрания КГСЭ по использованию термина "chair" (председатель) вместо "chairman" в Рекомендациях МСЭ-Т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</w:tcPr>
          <w:p w14:paraId="1A9D56EA" w14:textId="1655B3ED" w:rsidR="00093C65" w:rsidRPr="00322BEF" w:rsidRDefault="00322BEF" w:rsidP="002D3439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2" w:history="1">
              <w:r w:rsidR="00093C65" w:rsidRPr="00322BEF">
                <w:rPr>
                  <w:rStyle w:val="Hyperlink"/>
                  <w:sz w:val="20"/>
                  <w:lang w:val="ru-RU"/>
                </w:rPr>
                <w:t>C24/3</w:t>
              </w:r>
            </w:hyperlink>
            <w:r w:rsidR="002D3439" w:rsidRPr="00322BEF">
              <w:rPr>
                <w:rStyle w:val="Hyperlink"/>
                <w:sz w:val="20"/>
                <w:lang w:val="ru-RU"/>
              </w:rPr>
              <w:br/>
            </w:r>
            <w:hyperlink r:id="rId43" w:history="1">
              <w:r w:rsidR="00093C65" w:rsidRPr="00322BEF">
                <w:rPr>
                  <w:rStyle w:val="Hyperlink"/>
                  <w:sz w:val="20"/>
                  <w:lang w:val="ru-RU"/>
                </w:rPr>
                <w:t>C24/65</w:t>
              </w:r>
            </w:hyperlink>
          </w:p>
        </w:tc>
      </w:tr>
      <w:tr w:rsidR="00093C65" w:rsidRPr="00322BEF" w14:paraId="1A416E88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9F16838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ADM 1</w:t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D380E93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Укрепление организационной эффективности (бюджет и финансы)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A93FC42" w14:textId="77777777" w:rsidR="00093C65" w:rsidRPr="00322BEF" w:rsidRDefault="00093C65" w:rsidP="003D471C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093C65" w:rsidRPr="00322BEF" w14:paraId="421D3456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B3A294D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614F5D44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Стратегия мобилизации ресурсов в МСЭ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3CB9E1EE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4" w:history="1">
              <w:bookmarkStart w:id="34" w:name="lt_pId10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C24/70</w:t>
              </w:r>
              <w:bookmarkEnd w:id="34"/>
            </w:hyperlink>
          </w:p>
        </w:tc>
      </w:tr>
      <w:tr w:rsidR="00093C65" w:rsidRPr="00322BEF" w14:paraId="6CEB0EB9" w14:textId="77777777" w:rsidTr="003D471C">
        <w:trPr>
          <w:cantSplit/>
        </w:trPr>
        <w:tc>
          <w:tcPr>
            <w:tcW w:w="993" w:type="dxa"/>
          </w:tcPr>
          <w:p w14:paraId="756DAF0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0BE01C40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председателя Рабочей группы Совета по финансовым и людским ресурсам (РГС-ФЛР)</w:t>
            </w:r>
          </w:p>
        </w:tc>
        <w:tc>
          <w:tcPr>
            <w:tcW w:w="1417" w:type="dxa"/>
          </w:tcPr>
          <w:p w14:paraId="2FA87707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5" w:history="1">
              <w:bookmarkStart w:id="35" w:name="lt_pId10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C24/50</w:t>
              </w:r>
              <w:bookmarkEnd w:id="35"/>
            </w:hyperlink>
          </w:p>
        </w:tc>
      </w:tr>
      <w:tr w:rsidR="00093C65" w:rsidRPr="00322BEF" w14:paraId="2FCDECB8" w14:textId="77777777" w:rsidTr="003D471C">
        <w:trPr>
          <w:cantSplit/>
        </w:trPr>
        <w:tc>
          <w:tcPr>
            <w:tcW w:w="993" w:type="dxa"/>
          </w:tcPr>
          <w:p w14:paraId="10A0BE7B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01B81E20" w14:textId="29A96A8B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председателя Группы экспертов по Решению 482 (ГЭ-Реш</w:t>
            </w:r>
            <w:r w:rsidR="00924E03" w:rsidRPr="00322BEF">
              <w:rPr>
                <w:sz w:val="20"/>
                <w:lang w:val="ru-RU"/>
              </w:rPr>
              <w:t>.</w:t>
            </w:r>
            <w:r w:rsidRPr="00322BEF">
              <w:rPr>
                <w:sz w:val="20"/>
                <w:lang w:val="ru-RU"/>
              </w:rPr>
              <w:t>482)</w:t>
            </w:r>
          </w:p>
        </w:tc>
        <w:tc>
          <w:tcPr>
            <w:tcW w:w="1417" w:type="dxa"/>
          </w:tcPr>
          <w:p w14:paraId="0F684FE6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6" w:history="1">
              <w:bookmarkStart w:id="36" w:name="lt_pId10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C24/10</w:t>
              </w:r>
              <w:bookmarkEnd w:id="36"/>
            </w:hyperlink>
          </w:p>
        </w:tc>
      </w:tr>
      <w:tr w:rsidR="00093C65" w:rsidRPr="00322BEF" w14:paraId="0864DDCE" w14:textId="77777777" w:rsidTr="003D471C">
        <w:trPr>
          <w:cantSplit/>
        </w:trPr>
        <w:tc>
          <w:tcPr>
            <w:tcW w:w="993" w:type="dxa"/>
          </w:tcPr>
          <w:p w14:paraId="09FF283D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CB75406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Ежегодный анализ доходов и расходов при исполнении бюджета на 2024 год</w:t>
            </w:r>
          </w:p>
        </w:tc>
        <w:tc>
          <w:tcPr>
            <w:tcW w:w="1417" w:type="dxa"/>
          </w:tcPr>
          <w:p w14:paraId="401F35EF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7" w:history="1">
              <w:bookmarkStart w:id="37" w:name="lt_pId10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C24/9</w:t>
              </w:r>
              <w:bookmarkEnd w:id="37"/>
            </w:hyperlink>
          </w:p>
        </w:tc>
      </w:tr>
      <w:tr w:rsidR="00093C65" w:rsidRPr="00322BEF" w14:paraId="058E773A" w14:textId="77777777" w:rsidTr="003D471C">
        <w:trPr>
          <w:cantSplit/>
        </w:trPr>
        <w:tc>
          <w:tcPr>
            <w:tcW w:w="993" w:type="dxa"/>
          </w:tcPr>
          <w:p w14:paraId="209DE25B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64019193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1417" w:type="dxa"/>
          </w:tcPr>
          <w:p w14:paraId="2B3AB069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8" w:history="1">
              <w:bookmarkStart w:id="38" w:name="lt_pId10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C24/16</w:t>
              </w:r>
              <w:bookmarkEnd w:id="38"/>
            </w:hyperlink>
          </w:p>
        </w:tc>
      </w:tr>
      <w:tr w:rsidR="00093C65" w:rsidRPr="00322BEF" w14:paraId="455259D1" w14:textId="77777777" w:rsidTr="003D471C">
        <w:trPr>
          <w:cantSplit/>
        </w:trPr>
        <w:tc>
          <w:tcPr>
            <w:tcW w:w="993" w:type="dxa"/>
          </w:tcPr>
          <w:p w14:paraId="45809FB2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727B4F45" w14:textId="3DC30F30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Задолженности и специальные счета задолженностей</w:t>
            </w:r>
          </w:p>
        </w:tc>
        <w:tc>
          <w:tcPr>
            <w:tcW w:w="1417" w:type="dxa"/>
          </w:tcPr>
          <w:p w14:paraId="7F9D0193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9" w:history="1">
              <w:bookmarkStart w:id="39" w:name="lt_pId11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C24/11</w:t>
              </w:r>
              <w:bookmarkEnd w:id="39"/>
            </w:hyperlink>
          </w:p>
        </w:tc>
      </w:tr>
      <w:tr w:rsidR="00093C65" w:rsidRPr="00322BEF" w14:paraId="10C61050" w14:textId="77777777" w:rsidTr="003D471C">
        <w:trPr>
          <w:cantSplit/>
        </w:trPr>
        <w:tc>
          <w:tcPr>
            <w:tcW w:w="993" w:type="dxa"/>
          </w:tcPr>
          <w:p w14:paraId="034C72AF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26D84931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о ходе выполнения Решений 600 и 601 Совета (UIFN, IIN)</w:t>
            </w:r>
          </w:p>
        </w:tc>
        <w:tc>
          <w:tcPr>
            <w:tcW w:w="1417" w:type="dxa"/>
          </w:tcPr>
          <w:p w14:paraId="527C9752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0" w:history="1">
              <w:bookmarkStart w:id="40" w:name="lt_pId11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C24/38</w:t>
              </w:r>
              <w:bookmarkEnd w:id="40"/>
            </w:hyperlink>
          </w:p>
        </w:tc>
      </w:tr>
      <w:tr w:rsidR="00093C65" w:rsidRPr="00322BEF" w14:paraId="54528239" w14:textId="77777777" w:rsidTr="003D471C">
        <w:trPr>
          <w:cantSplit/>
        </w:trPr>
        <w:tc>
          <w:tcPr>
            <w:tcW w:w="993" w:type="dxa"/>
          </w:tcPr>
          <w:p w14:paraId="196C99A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764EF47A" w14:textId="779F45A4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417" w:type="dxa"/>
          </w:tcPr>
          <w:p w14:paraId="4E05EC99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1" w:history="1">
              <w:bookmarkStart w:id="41" w:name="lt_pId11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C24/34</w:t>
              </w:r>
              <w:bookmarkEnd w:id="41"/>
            </w:hyperlink>
          </w:p>
        </w:tc>
      </w:tr>
      <w:tr w:rsidR="00093C65" w:rsidRPr="00322BEF" w14:paraId="040777D7" w14:textId="77777777" w:rsidTr="003D471C">
        <w:trPr>
          <w:cantSplit/>
        </w:trPr>
        <w:tc>
          <w:tcPr>
            <w:tcW w:w="993" w:type="dxa"/>
          </w:tcPr>
          <w:p w14:paraId="7C5A99F9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AD1DA6C" w14:textId="07602172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Обязательства по медицинскому страхованию после выхода в отставку</w:t>
            </w:r>
            <w:r w:rsidR="002D3439" w:rsidRPr="00322BEF">
              <w:rPr>
                <w:sz w:val="20"/>
                <w:lang w:val="ru-RU"/>
              </w:rPr>
              <w:t> </w:t>
            </w:r>
            <w:r w:rsidRPr="00322BEF">
              <w:rPr>
                <w:sz w:val="20"/>
                <w:lang w:val="ru-RU"/>
              </w:rPr>
              <w:t>(АСХИ)</w:t>
            </w:r>
          </w:p>
        </w:tc>
        <w:tc>
          <w:tcPr>
            <w:tcW w:w="1417" w:type="dxa"/>
          </w:tcPr>
          <w:p w14:paraId="1FB5298B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2" w:history="1">
              <w:bookmarkStart w:id="42" w:name="lt_pId11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C24/46</w:t>
              </w:r>
              <w:bookmarkEnd w:id="42"/>
            </w:hyperlink>
          </w:p>
        </w:tc>
      </w:tr>
      <w:tr w:rsidR="00093C65" w:rsidRPr="00322BEF" w14:paraId="1BF6717D" w14:textId="77777777" w:rsidTr="003D471C">
        <w:trPr>
          <w:cantSplit/>
        </w:trPr>
        <w:tc>
          <w:tcPr>
            <w:tcW w:w="993" w:type="dxa"/>
          </w:tcPr>
          <w:p w14:paraId="2D8D2B61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BC5EB87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Новые заявки на предоставление освобождения от уплаты взносов организаций международного характера</w:t>
            </w:r>
          </w:p>
        </w:tc>
        <w:tc>
          <w:tcPr>
            <w:tcW w:w="1417" w:type="dxa"/>
          </w:tcPr>
          <w:p w14:paraId="12E951DE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3" w:history="1">
              <w:bookmarkStart w:id="43" w:name="lt_pId11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C24/39</w:t>
              </w:r>
              <w:bookmarkEnd w:id="43"/>
            </w:hyperlink>
          </w:p>
        </w:tc>
      </w:tr>
      <w:tr w:rsidR="00093C65" w:rsidRPr="00322BEF" w14:paraId="10D78DB6" w14:textId="77777777" w:rsidTr="003D471C">
        <w:trPr>
          <w:cantSplit/>
        </w:trPr>
        <w:tc>
          <w:tcPr>
            <w:tcW w:w="993" w:type="dxa"/>
          </w:tcPr>
          <w:p w14:paraId="586C98F5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934D2F5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Участие в деятельности МСЭ других объединений, занимающихся вопросами электросвязи</w:t>
            </w:r>
          </w:p>
        </w:tc>
        <w:tc>
          <w:tcPr>
            <w:tcW w:w="1417" w:type="dxa"/>
          </w:tcPr>
          <w:p w14:paraId="5A8DE6AE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4" w:history="1">
              <w:bookmarkStart w:id="44" w:name="lt_pId12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C24/58</w:t>
              </w:r>
              <w:bookmarkEnd w:id="44"/>
            </w:hyperlink>
          </w:p>
        </w:tc>
      </w:tr>
      <w:tr w:rsidR="00093C65" w:rsidRPr="00322BEF" w14:paraId="25537A45" w14:textId="77777777" w:rsidTr="003D471C">
        <w:trPr>
          <w:cantSplit/>
        </w:trPr>
        <w:tc>
          <w:tcPr>
            <w:tcW w:w="993" w:type="dxa"/>
          </w:tcPr>
          <w:p w14:paraId="38643331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770CC1DA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bookmarkStart w:id="45" w:name="lt_pId121"/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Прием Республики Палау в члены и соответствующий размер взноса</w:t>
            </w:r>
            <w:bookmarkEnd w:id="45"/>
          </w:p>
        </w:tc>
        <w:tc>
          <w:tcPr>
            <w:tcW w:w="1417" w:type="dxa"/>
          </w:tcPr>
          <w:p w14:paraId="3F75CD58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5" w:history="1">
              <w:bookmarkStart w:id="46" w:name="lt_pId12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C24/62</w:t>
              </w:r>
              <w:bookmarkEnd w:id="46"/>
            </w:hyperlink>
          </w:p>
        </w:tc>
      </w:tr>
      <w:tr w:rsidR="00093C65" w:rsidRPr="00322BEF" w14:paraId="68E37AA0" w14:textId="77777777" w:rsidTr="003D471C">
        <w:trPr>
          <w:cantSplit/>
        </w:trPr>
        <w:tc>
          <w:tcPr>
            <w:tcW w:w="993" w:type="dxa"/>
          </w:tcPr>
          <w:p w14:paraId="0E865F9E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40EECDD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Распределение средств, сэкономленных при исполнении бюджета 2023 года, и оборотный выставочный фонд</w:t>
            </w:r>
          </w:p>
        </w:tc>
        <w:tc>
          <w:tcPr>
            <w:tcW w:w="1417" w:type="dxa"/>
          </w:tcPr>
          <w:p w14:paraId="5BA1CA87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6" w:history="1">
              <w:bookmarkStart w:id="47" w:name="lt_pId12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C24/19</w:t>
              </w:r>
              <w:bookmarkEnd w:id="47"/>
            </w:hyperlink>
          </w:p>
        </w:tc>
      </w:tr>
      <w:tr w:rsidR="00093C65" w:rsidRPr="00322BEF" w14:paraId="0F8A3B88" w14:textId="77777777" w:rsidTr="003D471C">
        <w:trPr>
          <w:cantSplit/>
        </w:trPr>
        <w:tc>
          <w:tcPr>
            <w:tcW w:w="993" w:type="dxa"/>
          </w:tcPr>
          <w:p w14:paraId="79E4474E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5906CDA" w14:textId="77777777" w:rsidR="00093C65" w:rsidRPr="00322BEF" w:rsidRDefault="00093C65" w:rsidP="003D471C">
            <w:pPr>
              <w:spacing w:before="40" w:after="40"/>
              <w:rPr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Ежегодные бюджетные последствия выполнения решений ВКР-23</w:t>
            </w:r>
          </w:p>
        </w:tc>
        <w:tc>
          <w:tcPr>
            <w:tcW w:w="1417" w:type="dxa"/>
          </w:tcPr>
          <w:p w14:paraId="50ACC83A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57" w:history="1">
              <w:bookmarkStart w:id="48" w:name="lt_pId12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C24/63</w:t>
              </w:r>
              <w:bookmarkEnd w:id="48"/>
            </w:hyperlink>
          </w:p>
        </w:tc>
      </w:tr>
      <w:tr w:rsidR="00093C65" w:rsidRPr="00322BEF" w14:paraId="0E845D5C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51A7772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b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ADM 2</w:t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3651C3E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Укрепление организационной эффективности (подотчетность)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8F94977" w14:textId="77777777" w:rsidR="00093C65" w:rsidRPr="00322BEF" w:rsidRDefault="00093C65" w:rsidP="003D471C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093C65" w:rsidRPr="00322BEF" w14:paraId="313E3C1E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06FE411B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63146280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 xml:space="preserve">Отчет о финансовой деятельности за </w:t>
            </w:r>
            <w:r w:rsidRPr="00322BEF">
              <w:rPr>
                <w:rFonts w:cs="Calibri"/>
                <w:sz w:val="20"/>
                <w:lang w:val="ru-RU"/>
              </w:rPr>
              <w:t>2022 финансовый год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2013C376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8" w:history="1">
              <w:bookmarkStart w:id="49" w:name="lt_pId13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C24/40</w:t>
              </w:r>
              <w:bookmarkEnd w:id="49"/>
            </w:hyperlink>
          </w:p>
        </w:tc>
      </w:tr>
      <w:tr w:rsidR="00093C65" w:rsidRPr="00322BEF" w14:paraId="6972A831" w14:textId="77777777" w:rsidTr="003D471C">
        <w:trPr>
          <w:cantSplit/>
        </w:trPr>
        <w:tc>
          <w:tcPr>
            <w:tcW w:w="993" w:type="dxa"/>
          </w:tcPr>
          <w:p w14:paraId="3B9511DB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60DAD8EC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Отчет Внешнего аудитора по финансовой отчетности МСЭ за 2022 год</w:t>
            </w:r>
          </w:p>
        </w:tc>
        <w:tc>
          <w:tcPr>
            <w:tcW w:w="1417" w:type="dxa"/>
          </w:tcPr>
          <w:p w14:paraId="46C0B1D2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59" w:history="1">
              <w:bookmarkStart w:id="50" w:name="lt_pId13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C24/41</w:t>
              </w:r>
              <w:bookmarkEnd w:id="50"/>
            </w:hyperlink>
          </w:p>
        </w:tc>
      </w:tr>
      <w:tr w:rsidR="00093C65" w:rsidRPr="00322BEF" w14:paraId="039A0B08" w14:textId="77777777" w:rsidTr="003D471C">
        <w:trPr>
          <w:cantSplit/>
        </w:trPr>
        <w:tc>
          <w:tcPr>
            <w:tcW w:w="993" w:type="dxa"/>
          </w:tcPr>
          <w:p w14:paraId="6EAB5702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E35E78E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Отчет о финансовой деятельности за 2023 финансовый год</w:t>
            </w:r>
          </w:p>
        </w:tc>
        <w:tc>
          <w:tcPr>
            <w:tcW w:w="1417" w:type="dxa"/>
          </w:tcPr>
          <w:p w14:paraId="350107EE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60" w:history="1">
              <w:bookmarkStart w:id="51" w:name="lt_pId13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C24/XX</w:t>
              </w:r>
              <w:bookmarkEnd w:id="51"/>
            </w:hyperlink>
          </w:p>
        </w:tc>
      </w:tr>
      <w:tr w:rsidR="00093C65" w:rsidRPr="00322BEF" w14:paraId="5B92D387" w14:textId="77777777" w:rsidTr="003D471C">
        <w:trPr>
          <w:cantSplit/>
        </w:trPr>
        <w:tc>
          <w:tcPr>
            <w:tcW w:w="993" w:type="dxa"/>
          </w:tcPr>
          <w:p w14:paraId="47A5F60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4DBD590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Внешнего аудитора: счета Союза за 2023 год</w:t>
            </w:r>
          </w:p>
        </w:tc>
        <w:tc>
          <w:tcPr>
            <w:tcW w:w="1417" w:type="dxa"/>
          </w:tcPr>
          <w:p w14:paraId="409CD48C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1" w:history="1">
              <w:bookmarkStart w:id="52" w:name="lt_pId13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C24/XX</w:t>
              </w:r>
              <w:bookmarkEnd w:id="52"/>
            </w:hyperlink>
          </w:p>
        </w:tc>
      </w:tr>
      <w:tr w:rsidR="00093C65" w:rsidRPr="00322BEF" w14:paraId="66ED315F" w14:textId="77777777" w:rsidTr="003D471C">
        <w:trPr>
          <w:cantSplit/>
        </w:trPr>
        <w:tc>
          <w:tcPr>
            <w:tcW w:w="993" w:type="dxa"/>
          </w:tcPr>
          <w:p w14:paraId="2AC9C5A0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9AF4DF7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Подразделения по надзору о деятельности по внутреннему аудиту</w:t>
            </w:r>
          </w:p>
        </w:tc>
        <w:tc>
          <w:tcPr>
            <w:tcW w:w="1417" w:type="dxa"/>
          </w:tcPr>
          <w:p w14:paraId="754EB11A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2" w:history="1">
              <w:bookmarkStart w:id="53" w:name="lt_pId13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C24/44</w:t>
              </w:r>
              <w:bookmarkEnd w:id="53"/>
            </w:hyperlink>
          </w:p>
        </w:tc>
      </w:tr>
      <w:tr w:rsidR="00093C65" w:rsidRPr="00322BEF" w14:paraId="6505C56D" w14:textId="77777777" w:rsidTr="003D471C">
        <w:trPr>
          <w:cantSplit/>
        </w:trPr>
        <w:tc>
          <w:tcPr>
            <w:tcW w:w="993" w:type="dxa"/>
          </w:tcPr>
          <w:p w14:paraId="348BFE53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79A896CF" w14:textId="13143654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 xml:space="preserve">Отчет Подразделения по надзору </w:t>
            </w:r>
            <w:r w:rsidR="00F600C2" w:rsidRPr="00322BEF">
              <w:rPr>
                <w:rFonts w:cs="Calibri"/>
                <w:sz w:val="20"/>
                <w:lang w:val="ru-RU"/>
              </w:rPr>
              <w:t>−</w:t>
            </w:r>
            <w:r w:rsidRPr="00322BEF">
              <w:rPr>
                <w:rFonts w:cs="Calibri"/>
                <w:sz w:val="20"/>
                <w:lang w:val="ru-RU"/>
              </w:rPr>
              <w:t xml:space="preserve"> функция расследования</w:t>
            </w:r>
          </w:p>
        </w:tc>
        <w:tc>
          <w:tcPr>
            <w:tcW w:w="1417" w:type="dxa"/>
          </w:tcPr>
          <w:p w14:paraId="53AE692D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3" w:history="1">
              <w:bookmarkStart w:id="54" w:name="lt_pId14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C24/47</w:t>
              </w:r>
              <w:bookmarkEnd w:id="54"/>
            </w:hyperlink>
          </w:p>
        </w:tc>
      </w:tr>
      <w:tr w:rsidR="00093C65" w:rsidRPr="00322BEF" w14:paraId="003E9D7B" w14:textId="77777777" w:rsidTr="003D471C">
        <w:trPr>
          <w:cantSplit/>
        </w:trPr>
        <w:tc>
          <w:tcPr>
            <w:tcW w:w="993" w:type="dxa"/>
          </w:tcPr>
          <w:p w14:paraId="2973DDE3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D140788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Отчет Управления по вопросам этики</w:t>
            </w:r>
          </w:p>
        </w:tc>
        <w:tc>
          <w:tcPr>
            <w:tcW w:w="1417" w:type="dxa"/>
          </w:tcPr>
          <w:p w14:paraId="6471E3D7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4" w:history="1">
              <w:bookmarkStart w:id="55" w:name="lt_pId14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C24/14</w:t>
              </w:r>
              <w:bookmarkEnd w:id="55"/>
            </w:hyperlink>
          </w:p>
        </w:tc>
      </w:tr>
      <w:tr w:rsidR="00093C65" w:rsidRPr="00322BEF" w14:paraId="5E0CC469" w14:textId="77777777" w:rsidTr="003D471C">
        <w:trPr>
          <w:cantSplit/>
        </w:trPr>
        <w:tc>
          <w:tcPr>
            <w:tcW w:w="993" w:type="dxa"/>
          </w:tcPr>
          <w:p w14:paraId="7D2C1A26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FF412ED" w14:textId="0DEFBE1A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Укрепление системы управления рисками и внутреннего контроля</w:t>
            </w:r>
          </w:p>
        </w:tc>
        <w:tc>
          <w:tcPr>
            <w:tcW w:w="1417" w:type="dxa"/>
          </w:tcPr>
          <w:p w14:paraId="7186DE58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65" w:history="1">
              <w:bookmarkStart w:id="56" w:name="lt_pId14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C24/49</w:t>
              </w:r>
              <w:bookmarkEnd w:id="56"/>
            </w:hyperlink>
          </w:p>
        </w:tc>
      </w:tr>
      <w:tr w:rsidR="00093C65" w:rsidRPr="00322BEF" w14:paraId="722C1A92" w14:textId="77777777" w:rsidTr="003D471C">
        <w:trPr>
          <w:cantSplit/>
        </w:trPr>
        <w:tc>
          <w:tcPr>
            <w:tcW w:w="993" w:type="dxa"/>
          </w:tcPr>
          <w:p w14:paraId="2AD7E675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7B0E913" w14:textId="415C9AF3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 xml:space="preserve">Тринадцатый </w:t>
            </w:r>
            <w:r w:rsidRPr="00322BEF">
              <w:rPr>
                <w:rFonts w:cs="Calibri"/>
                <w:color w:val="000000"/>
                <w:sz w:val="20"/>
                <w:lang w:val="ru-RU"/>
              </w:rPr>
              <w:t xml:space="preserve">отчет Независимого консультативного комитета по управлению </w:t>
            </w:r>
            <w:r w:rsidRPr="00322BEF">
              <w:rPr>
                <w:rFonts w:cs="Calibri"/>
                <w:sz w:val="20"/>
                <w:lang w:val="ru-RU"/>
              </w:rPr>
              <w:t>(IMAC)</w:t>
            </w:r>
          </w:p>
        </w:tc>
        <w:tc>
          <w:tcPr>
            <w:tcW w:w="1417" w:type="dxa"/>
          </w:tcPr>
          <w:p w14:paraId="18EA5E30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6" w:history="1">
              <w:bookmarkStart w:id="57" w:name="lt_pId14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C24/22</w:t>
              </w:r>
              <w:bookmarkEnd w:id="57"/>
            </w:hyperlink>
          </w:p>
        </w:tc>
      </w:tr>
      <w:tr w:rsidR="00093C65" w:rsidRPr="00322BEF" w14:paraId="28839BC0" w14:textId="77777777" w:rsidTr="003D471C">
        <w:trPr>
          <w:cantSplit/>
        </w:trPr>
        <w:tc>
          <w:tcPr>
            <w:tcW w:w="993" w:type="dxa"/>
          </w:tcPr>
          <w:p w14:paraId="210449A7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C8A53D3" w14:textId="648D5199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Доклады ОИГ по вопросам, касающимся всей системы Организации Объединенных Наций, за 2022</w:t>
            </w:r>
            <w:r w:rsidR="00F600C2" w:rsidRPr="00322BEF">
              <w:rPr>
                <w:rFonts w:cs="Calibri"/>
                <w:sz w:val="20"/>
                <w:lang w:val="ru-RU"/>
              </w:rPr>
              <w:t>−</w:t>
            </w:r>
            <w:r w:rsidRPr="00322BEF">
              <w:rPr>
                <w:rFonts w:cs="Calibri"/>
                <w:sz w:val="20"/>
                <w:lang w:val="ru-RU"/>
              </w:rPr>
              <w:t>2023 годы и рекомендации административным руководителям и директивным органам</w:t>
            </w:r>
          </w:p>
        </w:tc>
        <w:tc>
          <w:tcPr>
            <w:tcW w:w="1417" w:type="dxa"/>
          </w:tcPr>
          <w:p w14:paraId="21BE9C6C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7" w:history="1">
              <w:bookmarkStart w:id="58" w:name="lt_pId14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C24/57</w:t>
              </w:r>
              <w:bookmarkEnd w:id="58"/>
            </w:hyperlink>
          </w:p>
        </w:tc>
      </w:tr>
      <w:tr w:rsidR="00093C65" w:rsidRPr="00322BEF" w14:paraId="65396D7D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BFAD749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b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lastRenderedPageBreak/>
              <w:t>ADM 3</w:t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121F0BF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Укрепление организационных функций (благоприятная среда, людские ресурсы, ИТ, штаб-квартира)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4E1DB870" w14:textId="77777777" w:rsidR="00093C65" w:rsidRPr="00322BEF" w:rsidRDefault="00093C65" w:rsidP="003D471C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093C65" w:rsidRPr="00322BEF" w14:paraId="1F9B45B6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672A3537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594872E5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о ходе выполнения Стратегического плана в области людских ресурсов и Резолюции 48 (Пересм. Бухарест, 2022 г.)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4B6C94F5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8" w:history="1">
              <w:bookmarkStart w:id="59" w:name="lt_pId15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C24/29</w:t>
              </w:r>
              <w:bookmarkEnd w:id="59"/>
            </w:hyperlink>
          </w:p>
        </w:tc>
      </w:tr>
      <w:tr w:rsidR="00093C65" w:rsidRPr="00322BEF" w14:paraId="795D8A80" w14:textId="77777777" w:rsidTr="003D471C">
        <w:trPr>
          <w:cantSplit/>
        </w:trPr>
        <w:tc>
          <w:tcPr>
            <w:tcW w:w="993" w:type="dxa"/>
          </w:tcPr>
          <w:p w14:paraId="22CE0E4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606148D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Изменение условий службы в общей системе Организации Объединенных Наций</w:t>
            </w:r>
          </w:p>
        </w:tc>
        <w:tc>
          <w:tcPr>
            <w:tcW w:w="1417" w:type="dxa"/>
          </w:tcPr>
          <w:p w14:paraId="424F5ADC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69" w:history="1">
              <w:bookmarkStart w:id="60" w:name="lt_pId15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C24/23</w:t>
              </w:r>
              <w:bookmarkEnd w:id="60"/>
            </w:hyperlink>
          </w:p>
        </w:tc>
      </w:tr>
      <w:tr w:rsidR="00093C65" w:rsidRPr="00322BEF" w14:paraId="4C1C0D1B" w14:textId="77777777" w:rsidTr="003D471C">
        <w:trPr>
          <w:cantSplit/>
        </w:trPr>
        <w:tc>
          <w:tcPr>
            <w:tcW w:w="993" w:type="dxa"/>
          </w:tcPr>
          <w:p w14:paraId="149755E0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0CC63224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о выполнении Резолюции 1420</w:t>
            </w:r>
          </w:p>
        </w:tc>
        <w:tc>
          <w:tcPr>
            <w:tcW w:w="1417" w:type="dxa"/>
          </w:tcPr>
          <w:p w14:paraId="2A7E58A9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70" w:history="1">
              <w:bookmarkStart w:id="61" w:name="lt_pId15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C24/56</w:t>
              </w:r>
              <w:bookmarkEnd w:id="61"/>
            </w:hyperlink>
          </w:p>
        </w:tc>
      </w:tr>
      <w:tr w:rsidR="00093C65" w:rsidRPr="00322BEF" w14:paraId="257DD3BD" w14:textId="77777777" w:rsidTr="003D471C">
        <w:trPr>
          <w:cantSplit/>
        </w:trPr>
        <w:tc>
          <w:tcPr>
            <w:tcW w:w="993" w:type="dxa"/>
          </w:tcPr>
          <w:p w14:paraId="6B2FAA1C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E9DE431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62" w:name="lt_pId157"/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Реорганизация Бюро стандартизации электросвязи (БСЭ) в 2024 году</w:t>
            </w:r>
            <w:bookmarkEnd w:id="62"/>
          </w:p>
        </w:tc>
        <w:tc>
          <w:tcPr>
            <w:tcW w:w="1417" w:type="dxa"/>
          </w:tcPr>
          <w:p w14:paraId="2A47F48F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1" w:history="1">
              <w:bookmarkStart w:id="63" w:name="lt_pId15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C24/71</w:t>
              </w:r>
              <w:bookmarkEnd w:id="63"/>
            </w:hyperlink>
          </w:p>
        </w:tc>
      </w:tr>
      <w:tr w:rsidR="00093C65" w:rsidRPr="00322BEF" w14:paraId="6492072A" w14:textId="77777777" w:rsidTr="003D471C">
        <w:trPr>
          <w:cantSplit/>
        </w:trPr>
        <w:tc>
          <w:tcPr>
            <w:tcW w:w="993" w:type="dxa"/>
          </w:tcPr>
          <w:p w14:paraId="6730BF91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4320992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Отчет о создании структуры управления по вопросам кибербезопасности, ИТ и данных/информации</w:t>
            </w:r>
          </w:p>
        </w:tc>
        <w:tc>
          <w:tcPr>
            <w:tcW w:w="1417" w:type="dxa"/>
          </w:tcPr>
          <w:p w14:paraId="1EA61576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72" w:history="1">
              <w:bookmarkStart w:id="64" w:name="lt_pId160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C24/54</w:t>
              </w:r>
              <w:bookmarkEnd w:id="64"/>
            </w:hyperlink>
          </w:p>
        </w:tc>
      </w:tr>
      <w:tr w:rsidR="00093C65" w:rsidRPr="00322BEF" w14:paraId="23EC595D" w14:textId="77777777" w:rsidTr="003D471C">
        <w:trPr>
          <w:cantSplit/>
        </w:trPr>
        <w:tc>
          <w:tcPr>
            <w:tcW w:w="993" w:type="dxa"/>
          </w:tcPr>
          <w:p w14:paraId="5129B20B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7A03D64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Дорожная карта по совершенствованию веб-сайта МСЭ</w:t>
            </w:r>
          </w:p>
        </w:tc>
        <w:tc>
          <w:tcPr>
            <w:tcW w:w="1417" w:type="dxa"/>
          </w:tcPr>
          <w:p w14:paraId="696006A8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3" w:history="1">
              <w:bookmarkStart w:id="65" w:name="lt_pId162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C24/53</w:t>
              </w:r>
              <w:bookmarkEnd w:id="65"/>
            </w:hyperlink>
          </w:p>
        </w:tc>
      </w:tr>
      <w:tr w:rsidR="00093C65" w:rsidRPr="00322BEF" w14:paraId="0CCAE677" w14:textId="77777777" w:rsidTr="003D471C">
        <w:trPr>
          <w:cantSplit/>
        </w:trPr>
        <w:tc>
          <w:tcPr>
            <w:tcW w:w="993" w:type="dxa"/>
          </w:tcPr>
          <w:p w14:paraId="3D2D01B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02A723B8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66" w:name="lt_pId163"/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Дистанционное участие в рамках выполнения Резолюции 167 (Пересм. Бухарест, 2022 г.)</w:t>
            </w:r>
            <w:bookmarkEnd w:id="66"/>
          </w:p>
        </w:tc>
        <w:tc>
          <w:tcPr>
            <w:tcW w:w="1417" w:type="dxa"/>
          </w:tcPr>
          <w:p w14:paraId="61120EB3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4" w:history="1">
              <w:bookmarkStart w:id="67" w:name="lt_pId164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C24/61</w:t>
              </w:r>
              <w:bookmarkEnd w:id="67"/>
            </w:hyperlink>
          </w:p>
        </w:tc>
      </w:tr>
      <w:tr w:rsidR="00093C65" w:rsidRPr="00322BEF" w14:paraId="01F8829E" w14:textId="77777777" w:rsidTr="003D471C">
        <w:trPr>
          <w:cantSplit/>
        </w:trPr>
        <w:tc>
          <w:tcPr>
            <w:tcW w:w="993" w:type="dxa"/>
          </w:tcPr>
          <w:p w14:paraId="5EF809E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6CA0658A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о ходе осуществления проекта по помещениям штаб-квартиры Союза</w:t>
            </w:r>
          </w:p>
        </w:tc>
        <w:tc>
          <w:tcPr>
            <w:tcW w:w="1417" w:type="dxa"/>
          </w:tcPr>
          <w:p w14:paraId="606446AF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5" w:history="1">
              <w:bookmarkStart w:id="68" w:name="lt_pId166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C24/7</w:t>
              </w:r>
              <w:bookmarkEnd w:id="68"/>
            </w:hyperlink>
          </w:p>
        </w:tc>
      </w:tr>
      <w:tr w:rsidR="00093C65" w:rsidRPr="00322BEF" w14:paraId="78078A6F" w14:textId="77777777" w:rsidTr="003D471C">
        <w:trPr>
          <w:cantSplit/>
        </w:trPr>
        <w:tc>
          <w:tcPr>
            <w:tcW w:w="993" w:type="dxa"/>
            <w:tcBorders>
              <w:bottom w:val="single" w:sz="4" w:space="0" w:color="808080"/>
            </w:tcBorders>
          </w:tcPr>
          <w:p w14:paraId="35B78F1D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bottom w:val="single" w:sz="4" w:space="0" w:color="808080"/>
            </w:tcBorders>
          </w:tcPr>
          <w:p w14:paraId="5DFA095A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eastAsia="MS Mincho" w:cs="Calibri"/>
                <w:sz w:val="20"/>
                <w:lang w:val="ru-RU"/>
              </w:rPr>
              <w:t>Краткий отчет о работе Консультативной группы Государств-Членов по проекту, связанному с помещениями штаб-квартиры Союза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</w:tcPr>
          <w:p w14:paraId="5C45ACEB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6" w:history="1">
              <w:bookmarkStart w:id="69" w:name="lt_pId168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C24/48</w:t>
              </w:r>
              <w:bookmarkEnd w:id="69"/>
            </w:hyperlink>
          </w:p>
        </w:tc>
      </w:tr>
      <w:tr w:rsidR="00093C65" w:rsidRPr="00322BEF" w14:paraId="73169B05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456C713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01FFC65" w14:textId="77777777" w:rsidR="00093C65" w:rsidRPr="00322BEF" w:rsidRDefault="00093C65" w:rsidP="003D471C">
            <w:pPr>
              <w:keepNext/>
              <w:spacing w:before="80" w:after="8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/>
                <w:sz w:val="20"/>
                <w:lang w:val="ru-RU"/>
              </w:rPr>
              <w:t>ДОКУМЕНТЫ ДЛЯ ИНФОРМАЦИИ И ПРОЧИЕ ДОКУМЕНТЫ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6227607" w14:textId="77777777" w:rsidR="00093C65" w:rsidRPr="00322BEF" w:rsidRDefault="00093C65" w:rsidP="003D471C">
            <w:pPr>
              <w:keepNext/>
              <w:spacing w:before="80" w:after="8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093C65" w:rsidRPr="00322BEF" w14:paraId="3DEA80CD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4545FCA9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28FAC453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Отчетность и статистические данные по людским ресурсам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374A7154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7" w:history="1">
              <w:bookmarkStart w:id="70" w:name="lt_pId171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C24/INF/4</w:t>
              </w:r>
              <w:bookmarkEnd w:id="70"/>
            </w:hyperlink>
          </w:p>
        </w:tc>
      </w:tr>
      <w:tr w:rsidR="00093C65" w:rsidRPr="00322BEF" w14:paraId="16FAF5F8" w14:textId="77777777" w:rsidTr="003D471C">
        <w:trPr>
          <w:cantSplit/>
        </w:trPr>
        <w:tc>
          <w:tcPr>
            <w:tcW w:w="993" w:type="dxa"/>
          </w:tcPr>
          <w:p w14:paraId="685C17C8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0092F4B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Положение с задолженностями в Союзе по состоянию на 31 марта 2024 года</w:t>
            </w:r>
          </w:p>
        </w:tc>
        <w:tc>
          <w:tcPr>
            <w:tcW w:w="1417" w:type="dxa"/>
          </w:tcPr>
          <w:p w14:paraId="6B682FB4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8" w:history="1">
              <w:bookmarkStart w:id="71" w:name="lt_pId173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C24/INF/6</w:t>
              </w:r>
              <w:bookmarkEnd w:id="71"/>
            </w:hyperlink>
          </w:p>
        </w:tc>
      </w:tr>
      <w:tr w:rsidR="00093C65" w:rsidRPr="00322BEF" w14:paraId="35E8FDA2" w14:textId="77777777" w:rsidTr="003D471C">
        <w:trPr>
          <w:cantSplit/>
        </w:trPr>
        <w:tc>
          <w:tcPr>
            <w:tcW w:w="993" w:type="dxa"/>
          </w:tcPr>
          <w:p w14:paraId="34BADC06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7F979D1B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bCs/>
                <w:sz w:val="20"/>
                <w:lang w:val="ru-RU"/>
              </w:rPr>
              <w:t>Вклад Совета МСЭ для Политического форума высокого уровня по устойчивому развитию (ПФВУ) 2024 года</w:t>
            </w:r>
          </w:p>
        </w:tc>
        <w:tc>
          <w:tcPr>
            <w:tcW w:w="1417" w:type="dxa"/>
          </w:tcPr>
          <w:p w14:paraId="76730739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79" w:history="1">
              <w:bookmarkStart w:id="72" w:name="lt_pId175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C24/INF/3</w:t>
              </w:r>
              <w:bookmarkEnd w:id="72"/>
            </w:hyperlink>
          </w:p>
        </w:tc>
      </w:tr>
      <w:tr w:rsidR="00093C65" w:rsidRPr="00322BEF" w14:paraId="14CBAD92" w14:textId="77777777" w:rsidTr="003D471C">
        <w:trPr>
          <w:cantSplit/>
        </w:trPr>
        <w:tc>
          <w:tcPr>
            <w:tcW w:w="993" w:type="dxa"/>
          </w:tcPr>
          <w:p w14:paraId="4657074B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3BFA11D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Отчет о добровольных взносах и спонсорской поддержке, полученных в 2023 году</w:t>
            </w:r>
          </w:p>
        </w:tc>
        <w:tc>
          <w:tcPr>
            <w:tcW w:w="1417" w:type="dxa"/>
          </w:tcPr>
          <w:p w14:paraId="39949959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0" w:history="1">
              <w:bookmarkStart w:id="73" w:name="lt_pId177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C24/INF/12</w:t>
              </w:r>
              <w:bookmarkEnd w:id="73"/>
            </w:hyperlink>
          </w:p>
        </w:tc>
      </w:tr>
      <w:tr w:rsidR="00093C65" w:rsidRPr="00322BEF" w14:paraId="4A9BFA63" w14:textId="77777777" w:rsidTr="003D471C">
        <w:trPr>
          <w:cantSplit/>
        </w:trPr>
        <w:tc>
          <w:tcPr>
            <w:tcW w:w="993" w:type="dxa"/>
          </w:tcPr>
          <w:p w14:paraId="64CE836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61938CDC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Сотрудничество с системой Организации Объединенных Наций</w:t>
            </w:r>
          </w:p>
        </w:tc>
        <w:tc>
          <w:tcPr>
            <w:tcW w:w="1417" w:type="dxa"/>
          </w:tcPr>
          <w:p w14:paraId="748FC596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1" w:history="1">
              <w:bookmarkStart w:id="74" w:name="lt_pId179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C24/INF/9</w:t>
              </w:r>
              <w:bookmarkEnd w:id="74"/>
            </w:hyperlink>
          </w:p>
        </w:tc>
      </w:tr>
      <w:tr w:rsidR="00093C65" w:rsidRPr="00322BEF" w14:paraId="568C22C7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CE17B35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514098E3" w14:textId="77777777" w:rsidR="00093C65" w:rsidRPr="00322BEF" w:rsidRDefault="00093C65" w:rsidP="003D471C">
            <w:pPr>
              <w:spacing w:before="40" w:after="40"/>
              <w:rPr>
                <w:rFonts w:cs="Calibri"/>
                <w:spacing w:val="2"/>
                <w:sz w:val="20"/>
                <w:lang w:val="ru-RU"/>
              </w:rPr>
            </w:pPr>
            <w:r w:rsidRPr="00322BEF">
              <w:rPr>
                <w:rFonts w:cs="Calibri"/>
                <w:spacing w:val="2"/>
                <w:sz w:val="20"/>
                <w:lang w:val="ru-RU"/>
              </w:rPr>
              <w:t>Отчет комитетов по бюджетному контролю Ассамблеи радиосвязи (АР-23) и Всемирной конференции радиосвязи (ВКР-23)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3636273D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2" w:history="1">
              <w:bookmarkStart w:id="75" w:name="lt_pId181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C24/INF/2</w:t>
              </w:r>
              <w:bookmarkEnd w:id="75"/>
            </w:hyperlink>
          </w:p>
        </w:tc>
      </w:tr>
      <w:tr w:rsidR="00093C65" w:rsidRPr="00322BEF" w14:paraId="271AF413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91F2168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1A5168F4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Партнерские программы МСЭ в области ЛР – Механизмы для целевых фондов / прикомандирований, привлечений, младших сотрудников категории специалистов и спонсируемых стажеров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403407C5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3" w:history="1">
              <w:bookmarkStart w:id="76" w:name="lt_pId183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C24/INF/10</w:t>
              </w:r>
              <w:bookmarkEnd w:id="76"/>
            </w:hyperlink>
          </w:p>
        </w:tc>
      </w:tr>
      <w:tr w:rsidR="00093C65" w:rsidRPr="00322BEF" w14:paraId="79AA0C34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01238C5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6618BC6C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Ежегодное письмо руководства о защите от сексуальной эксплуатации и сексуальных надругательств (СЭСН) и о заявлениях о случаях СЭСН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5E0179C9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84" w:history="1">
              <w:bookmarkStart w:id="77" w:name="lt_pId185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C24/INF/1</w:t>
              </w:r>
              <w:bookmarkEnd w:id="77"/>
            </w:hyperlink>
          </w:p>
        </w:tc>
      </w:tr>
      <w:tr w:rsidR="00093C65" w:rsidRPr="00322BEF" w14:paraId="06FE25A5" w14:textId="77777777" w:rsidTr="003D471C">
        <w:trPr>
          <w:cantSplit/>
        </w:trPr>
        <w:tc>
          <w:tcPr>
            <w:tcW w:w="993" w:type="dxa"/>
          </w:tcPr>
          <w:p w14:paraId="0BA30E38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09654068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Последующие меры в связи с рекомендациями судебно-бухгалтерской экспертизы и внутреннего аудита</w:t>
            </w:r>
          </w:p>
        </w:tc>
        <w:tc>
          <w:tcPr>
            <w:tcW w:w="1417" w:type="dxa"/>
          </w:tcPr>
          <w:p w14:paraId="0C6482E4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5" w:history="1">
              <w:bookmarkStart w:id="78" w:name="lt_pId187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C24/INF/5</w:t>
              </w:r>
              <w:bookmarkEnd w:id="78"/>
            </w:hyperlink>
          </w:p>
        </w:tc>
      </w:tr>
      <w:tr w:rsidR="00093C65" w:rsidRPr="00322BEF" w14:paraId="2E23480F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5EF6E2FC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406ED8A8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Глобальный цифровой договор (ГЦД)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777A6937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86" w:history="1">
              <w:bookmarkStart w:id="79" w:name="lt_pId189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C24/INF/8</w:t>
              </w:r>
              <w:bookmarkEnd w:id="79"/>
            </w:hyperlink>
          </w:p>
        </w:tc>
      </w:tr>
      <w:tr w:rsidR="00093C65" w:rsidRPr="00322BEF" w14:paraId="115BF5B3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1A9042A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2B59433A" w14:textId="77777777" w:rsidR="00093C65" w:rsidRPr="00322BEF" w:rsidRDefault="00093C65" w:rsidP="003D471C">
            <w:pPr>
              <w:spacing w:before="40" w:after="40"/>
              <w:rPr>
                <w:rFonts w:asciiTheme="minorHAnsi" w:hAnsiTheme="minorHAnsi" w:cstheme="minorHAnsi"/>
                <w:sz w:val="20"/>
                <w:highlight w:val="yellow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Практика других организаций системы ООН по управлению правами дистанционных участников на собраниях, на которых принимаются решения или имеющие обязательную юридическую силу тексты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1A74E403" w14:textId="77777777" w:rsidR="00093C65" w:rsidRPr="00322BEF" w:rsidRDefault="00322BEF" w:rsidP="003D471C">
            <w:pPr>
              <w:spacing w:before="40" w:after="40"/>
              <w:jc w:val="center"/>
              <w:rPr>
                <w:sz w:val="20"/>
                <w:lang w:val="ru-RU"/>
              </w:rPr>
            </w:pPr>
            <w:hyperlink r:id="rId87" w:history="1">
              <w:bookmarkStart w:id="80" w:name="lt_pId191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C24/INF/7</w:t>
              </w:r>
              <w:bookmarkEnd w:id="80"/>
            </w:hyperlink>
          </w:p>
        </w:tc>
      </w:tr>
      <w:tr w:rsidR="00093C65" w:rsidRPr="00322BEF" w14:paraId="52058717" w14:textId="77777777" w:rsidTr="003D471C">
        <w:trPr>
          <w:cantSplit/>
        </w:trPr>
        <w:tc>
          <w:tcPr>
            <w:tcW w:w="993" w:type="dxa"/>
            <w:tcBorders>
              <w:top w:val="single" w:sz="4" w:space="0" w:color="808080"/>
            </w:tcBorders>
          </w:tcPr>
          <w:p w14:paraId="0FED86C2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808080"/>
            </w:tcBorders>
          </w:tcPr>
          <w:p w14:paraId="265772D5" w14:textId="77777777" w:rsidR="00093C65" w:rsidRPr="00322BEF" w:rsidRDefault="00093C65" w:rsidP="003D471C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 xml:space="preserve">Вопросы и ответы по проекту </w:t>
            </w:r>
            <w:r w:rsidRPr="00322BEF">
              <w:rPr>
                <w:rFonts w:cs="Calibri"/>
                <w:sz w:val="20"/>
                <w:lang w:val="ru-RU"/>
              </w:rPr>
              <w:t>по помещениям штаб-квартиры</w:t>
            </w:r>
          </w:p>
        </w:tc>
        <w:tc>
          <w:tcPr>
            <w:tcW w:w="1417" w:type="dxa"/>
            <w:tcBorders>
              <w:top w:val="single" w:sz="4" w:space="0" w:color="808080"/>
            </w:tcBorders>
          </w:tcPr>
          <w:p w14:paraId="03DD0B42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8" w:history="1">
              <w:bookmarkStart w:id="81" w:name="lt_pId193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C24/INF/xx</w:t>
              </w:r>
              <w:bookmarkEnd w:id="81"/>
            </w:hyperlink>
          </w:p>
        </w:tc>
      </w:tr>
      <w:tr w:rsidR="00093C65" w:rsidRPr="00322BEF" w14:paraId="702058C1" w14:textId="77777777" w:rsidTr="003D471C">
        <w:trPr>
          <w:cantSplit/>
        </w:trPr>
        <w:tc>
          <w:tcPr>
            <w:tcW w:w="993" w:type="dxa"/>
          </w:tcPr>
          <w:p w14:paraId="391C6C53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1274865E" w14:textId="4CEA1CD6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bookmarkStart w:id="82" w:name="lt_pId194"/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 xml:space="preserve">Результаты консультаций по предлагаемым мерам совершенствования работы Полномочной конференции </w:t>
            </w:r>
            <w:r w:rsidR="00F600C2" w:rsidRPr="00322BEF">
              <w:rPr>
                <w:rFonts w:asciiTheme="minorHAnsi" w:hAnsiTheme="minorHAnsi" w:cstheme="minorHAnsi"/>
                <w:sz w:val="20"/>
                <w:lang w:val="ru-RU"/>
              </w:rPr>
              <w:t>−</w:t>
            </w: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 xml:space="preserve"> подборка предложений, полученных от Государств-Членов в ответ на CL-24/11</w:t>
            </w:r>
            <w:bookmarkEnd w:id="82"/>
          </w:p>
        </w:tc>
        <w:tc>
          <w:tcPr>
            <w:tcW w:w="1417" w:type="dxa"/>
          </w:tcPr>
          <w:p w14:paraId="1B53924D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9" w:history="1">
              <w:bookmarkStart w:id="83" w:name="lt_pId195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C24/INF/13</w:t>
              </w:r>
              <w:bookmarkEnd w:id="83"/>
            </w:hyperlink>
          </w:p>
        </w:tc>
      </w:tr>
      <w:tr w:rsidR="00093C65" w:rsidRPr="00322BEF" w14:paraId="00B6A8B8" w14:textId="77777777" w:rsidTr="003D471C">
        <w:trPr>
          <w:cantSplit/>
        </w:trPr>
        <w:tc>
          <w:tcPr>
            <w:tcW w:w="993" w:type="dxa"/>
          </w:tcPr>
          <w:p w14:paraId="23F9DA9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434319FC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asciiTheme="minorHAnsi" w:hAnsiTheme="minorHAnsi" w:cstheme="minorHAnsi"/>
                <w:sz w:val="20"/>
                <w:lang w:val="ru-RU"/>
              </w:rPr>
              <w:t>Пособие МСЭ по развитию потенциала</w:t>
            </w:r>
          </w:p>
        </w:tc>
        <w:tc>
          <w:tcPr>
            <w:tcW w:w="1417" w:type="dxa"/>
          </w:tcPr>
          <w:p w14:paraId="0048B78F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0" w:history="1">
              <w:bookmarkStart w:id="84" w:name="lt_pId197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C24/INF/14</w:t>
              </w:r>
              <w:bookmarkEnd w:id="84"/>
            </w:hyperlink>
          </w:p>
        </w:tc>
      </w:tr>
      <w:tr w:rsidR="00093C65" w:rsidRPr="00322BEF" w14:paraId="0B61FC63" w14:textId="77777777" w:rsidTr="003D471C">
        <w:trPr>
          <w:cantSplit/>
        </w:trPr>
        <w:tc>
          <w:tcPr>
            <w:tcW w:w="993" w:type="dxa"/>
          </w:tcPr>
          <w:p w14:paraId="7A733E0F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3220BBE6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sz w:val="20"/>
                <w:lang w:val="ru-RU"/>
              </w:rPr>
              <w:t>Отчет о выполнении Резолюции 214 (Бухарест, 2022 г.) ПК "Технологии искусственного интеллекта и электросвязь / информационно-коммуникационные технологии"</w:t>
            </w:r>
          </w:p>
        </w:tc>
        <w:tc>
          <w:tcPr>
            <w:tcW w:w="1417" w:type="dxa"/>
          </w:tcPr>
          <w:p w14:paraId="2CD53BC0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1" w:history="1">
              <w:bookmarkStart w:id="85" w:name="lt_pId199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C24/INF/15</w:t>
              </w:r>
              <w:bookmarkEnd w:id="85"/>
            </w:hyperlink>
          </w:p>
        </w:tc>
      </w:tr>
      <w:tr w:rsidR="00093C65" w:rsidRPr="00322BEF" w14:paraId="5AF48A4F" w14:textId="77777777" w:rsidTr="003D471C">
        <w:trPr>
          <w:cantSplit/>
        </w:trPr>
        <w:tc>
          <w:tcPr>
            <w:tcW w:w="993" w:type="dxa"/>
          </w:tcPr>
          <w:p w14:paraId="491C07F4" w14:textId="77777777" w:rsidR="00093C65" w:rsidRPr="00322BEF" w:rsidRDefault="00093C65" w:rsidP="003D471C">
            <w:pPr>
              <w:spacing w:before="40" w:after="40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6804" w:type="dxa"/>
          </w:tcPr>
          <w:p w14:paraId="5369F900" w14:textId="77777777" w:rsidR="00093C65" w:rsidRPr="00322BEF" w:rsidRDefault="00093C65" w:rsidP="003D471C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22BEF">
              <w:rPr>
                <w:rFonts w:cs="Calibri"/>
                <w:sz w:val="20"/>
                <w:lang w:val="ru-RU"/>
              </w:rPr>
              <w:t>Заявление Совета персонала</w:t>
            </w:r>
          </w:p>
        </w:tc>
        <w:tc>
          <w:tcPr>
            <w:tcW w:w="1417" w:type="dxa"/>
          </w:tcPr>
          <w:p w14:paraId="23825B47" w14:textId="77777777" w:rsidR="00093C65" w:rsidRPr="00322BEF" w:rsidRDefault="00322BEF" w:rsidP="003D471C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2" w:history="1">
              <w:bookmarkStart w:id="86" w:name="lt_pId201"/>
              <w:r w:rsidR="00093C65" w:rsidRPr="00322BEF">
                <w:rPr>
                  <w:rStyle w:val="Hyperlink"/>
                  <w:rFonts w:asciiTheme="minorHAnsi" w:hAnsiTheme="minorHAnsi" w:cstheme="minorHAnsi"/>
                  <w:sz w:val="20"/>
                  <w:lang w:val="ru-RU"/>
                </w:rPr>
                <w:t>C24/INF/xx</w:t>
              </w:r>
              <w:bookmarkEnd w:id="86"/>
            </w:hyperlink>
          </w:p>
        </w:tc>
      </w:tr>
    </w:tbl>
    <w:p w14:paraId="4A3C925B" w14:textId="77777777" w:rsidR="00F600C2" w:rsidRPr="00924E03" w:rsidRDefault="00F600C2" w:rsidP="00F600C2">
      <w:pPr>
        <w:spacing w:before="720"/>
        <w:jc w:val="center"/>
        <w:rPr>
          <w:bCs/>
          <w:iCs/>
          <w:lang w:val="ru-RU"/>
        </w:rPr>
      </w:pPr>
      <w:r w:rsidRPr="00924E03">
        <w:rPr>
          <w:lang w:val="ru-RU"/>
        </w:rPr>
        <w:t>______________</w:t>
      </w:r>
    </w:p>
    <w:sectPr w:rsidR="00F600C2" w:rsidRPr="00924E03" w:rsidSect="00796BD3">
      <w:footerReference w:type="default" r:id="rId93"/>
      <w:headerReference w:type="first" r:id="rId94"/>
      <w:footerReference w:type="first" r:id="rId9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9EE2" w14:textId="77777777" w:rsidR="00093C65" w:rsidRDefault="00093C65">
      <w:r>
        <w:separator/>
      </w:r>
    </w:p>
  </w:endnote>
  <w:endnote w:type="continuationSeparator" w:id="0">
    <w:p w14:paraId="56B7D064" w14:textId="77777777" w:rsidR="00093C65" w:rsidRDefault="0009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254284D" w14:textId="77777777" w:rsidTr="00E31DCE">
      <w:trPr>
        <w:jc w:val="center"/>
      </w:trPr>
      <w:tc>
        <w:tcPr>
          <w:tcW w:w="1803" w:type="dxa"/>
          <w:vAlign w:val="center"/>
        </w:tcPr>
        <w:p w14:paraId="104697C3" w14:textId="352A5E7D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7F38D519" w14:textId="7F21223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F600C2">
            <w:rPr>
              <w:bCs/>
              <w:lang w:val="ru-RU"/>
            </w:rPr>
            <w:t>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9AF48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24AF04F" w14:textId="77777777" w:rsidTr="00E31DCE">
      <w:trPr>
        <w:jc w:val="center"/>
      </w:trPr>
      <w:tc>
        <w:tcPr>
          <w:tcW w:w="1803" w:type="dxa"/>
          <w:vAlign w:val="center"/>
        </w:tcPr>
        <w:p w14:paraId="53802B68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70E1510" w14:textId="3110B80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093C65">
            <w:rPr>
              <w:bCs/>
              <w:lang w:val="ru-RU"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F1FD5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E9AC" w14:textId="77777777" w:rsidR="00093C65" w:rsidRDefault="00093C65">
      <w:r>
        <w:t>____________________</w:t>
      </w:r>
    </w:p>
  </w:footnote>
  <w:footnote w:type="continuationSeparator" w:id="0">
    <w:p w14:paraId="52EC33C9" w14:textId="77777777" w:rsidR="00093C65" w:rsidRDefault="0009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C070158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0A83E81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7" w:name="_Hlk133422111"/>
          <w:r>
            <w:rPr>
              <w:noProof/>
            </w:rPr>
            <w:drawing>
              <wp:inline distT="0" distB="0" distL="0" distR="0" wp14:anchorId="77CF260C" wp14:editId="60F38342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172AE2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7911A5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4AB55C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7"/>
  <w:p w14:paraId="63CB7A9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F6034" wp14:editId="781A93F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83C49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93C65"/>
    <w:rsid w:val="000B2DE7"/>
    <w:rsid w:val="000E568E"/>
    <w:rsid w:val="0014734F"/>
    <w:rsid w:val="0015580B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3439"/>
    <w:rsid w:val="002D48C5"/>
    <w:rsid w:val="00322BEF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8154F"/>
    <w:rsid w:val="008B62B4"/>
    <w:rsid w:val="008D2D7B"/>
    <w:rsid w:val="008E0737"/>
    <w:rsid w:val="008F7C2C"/>
    <w:rsid w:val="00924E03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020CC"/>
    <w:rsid w:val="00E176BA"/>
    <w:rsid w:val="00E423EC"/>
    <w:rsid w:val="00E55121"/>
    <w:rsid w:val="00EB4FCB"/>
    <w:rsid w:val="00EC6BC5"/>
    <w:rsid w:val="00EF70A7"/>
    <w:rsid w:val="00F35898"/>
    <w:rsid w:val="00F5225B"/>
    <w:rsid w:val="00F600C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58A51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4-CL-C-0055/en" TargetMode="External"/><Relationship Id="rId21" Type="http://schemas.openxmlformats.org/officeDocument/2006/relationships/hyperlink" Target="https://www.itu.int/md/S24-CL-C-0033/en" TargetMode="External"/><Relationship Id="rId42" Type="http://schemas.openxmlformats.org/officeDocument/2006/relationships/hyperlink" Target="https://www.itu.int/md/S24-CL-C-0003/en" TargetMode="External"/><Relationship Id="rId47" Type="http://schemas.openxmlformats.org/officeDocument/2006/relationships/hyperlink" Target="https://www.itu.int/md/S24-CL-C-0009/en" TargetMode="External"/><Relationship Id="rId63" Type="http://schemas.openxmlformats.org/officeDocument/2006/relationships/hyperlink" Target="https://www.itu.int/md/S24-CL-C-0047/en" TargetMode="External"/><Relationship Id="rId68" Type="http://schemas.openxmlformats.org/officeDocument/2006/relationships/hyperlink" Target="https://www.itu.int/md/S24-CL-C-0029/en" TargetMode="External"/><Relationship Id="rId84" Type="http://schemas.openxmlformats.org/officeDocument/2006/relationships/hyperlink" Target="https://www.itu.int/md/S24-CL-INF-0001/en" TargetMode="External"/><Relationship Id="rId89" Type="http://schemas.openxmlformats.org/officeDocument/2006/relationships/hyperlink" Target="https://www.itu.int/md/S24-CL-INF-0013/en" TargetMode="External"/><Relationship Id="rId16" Type="http://schemas.openxmlformats.org/officeDocument/2006/relationships/hyperlink" Target="https://www.itu.int/md/S24-CL-C-0012/en" TargetMode="External"/><Relationship Id="rId11" Type="http://schemas.openxmlformats.org/officeDocument/2006/relationships/hyperlink" Target="https://www.itu.int/md/S24-CL-C-0017/en" TargetMode="External"/><Relationship Id="rId32" Type="http://schemas.openxmlformats.org/officeDocument/2006/relationships/hyperlink" Target="https://www.itu.int/md/S24-CL-C-0072/en" TargetMode="External"/><Relationship Id="rId37" Type="http://schemas.openxmlformats.org/officeDocument/2006/relationships/hyperlink" Target="https://www.itu.int/md/S24-CL-C-0004/en" TargetMode="External"/><Relationship Id="rId53" Type="http://schemas.openxmlformats.org/officeDocument/2006/relationships/hyperlink" Target="https://www.itu.int/md/S24-CL-C-0039/en" TargetMode="External"/><Relationship Id="rId58" Type="http://schemas.openxmlformats.org/officeDocument/2006/relationships/hyperlink" Target="https://www.itu.int/md/S24-CL-C-0040/en" TargetMode="External"/><Relationship Id="rId74" Type="http://schemas.openxmlformats.org/officeDocument/2006/relationships/hyperlink" Target="https://www.itu.int/md/S24-CL-C-0061/en" TargetMode="External"/><Relationship Id="rId79" Type="http://schemas.openxmlformats.org/officeDocument/2006/relationships/hyperlink" Target="https://www.itu.int/md/S24-CL-INF-0003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4-CL-INF-0014/en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www.itu.int/md/S24-CL-C-0018/en" TargetMode="External"/><Relationship Id="rId27" Type="http://schemas.openxmlformats.org/officeDocument/2006/relationships/hyperlink" Target="https://www.itu.int/md/S24-CL-C-0036/en" TargetMode="External"/><Relationship Id="rId43" Type="http://schemas.openxmlformats.org/officeDocument/2006/relationships/hyperlink" Target="https://www.itu.int/md/S24-CL-C-0065/en" TargetMode="External"/><Relationship Id="rId48" Type="http://schemas.openxmlformats.org/officeDocument/2006/relationships/hyperlink" Target="https://www.itu.int/md/S24-CL-C-0016/en" TargetMode="External"/><Relationship Id="rId64" Type="http://schemas.openxmlformats.org/officeDocument/2006/relationships/hyperlink" Target="https://www.itu.int/md/S24-CL-C-0014/en" TargetMode="External"/><Relationship Id="rId69" Type="http://schemas.openxmlformats.org/officeDocument/2006/relationships/hyperlink" Target="https://www.itu.int/md/S24-CL-C-0023/en" TargetMode="External"/><Relationship Id="rId80" Type="http://schemas.openxmlformats.org/officeDocument/2006/relationships/hyperlink" Target="https://www.itu.int/md/S24-CL-INF-0012/en" TargetMode="External"/><Relationship Id="rId85" Type="http://schemas.openxmlformats.org/officeDocument/2006/relationships/hyperlink" Target="https://www.itu.int/md/S24-CL-INF-0005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md/S24-CL-C-0028/en" TargetMode="External"/><Relationship Id="rId17" Type="http://schemas.openxmlformats.org/officeDocument/2006/relationships/hyperlink" Target="https://www.itu.int/md/S24-CL-C-0051/en" TargetMode="External"/><Relationship Id="rId25" Type="http://schemas.openxmlformats.org/officeDocument/2006/relationships/hyperlink" Target="https://www.itu.int/md/S24-CL-C-0032/en" TargetMode="External"/><Relationship Id="rId33" Type="http://schemas.openxmlformats.org/officeDocument/2006/relationships/hyperlink" Target="https://www.itu.int/md/S24-CL-C-0013/en" TargetMode="External"/><Relationship Id="rId38" Type="http://schemas.openxmlformats.org/officeDocument/2006/relationships/hyperlink" Target="https://www.itu.int/md/S24-CL-C-0059/en" TargetMode="External"/><Relationship Id="rId46" Type="http://schemas.openxmlformats.org/officeDocument/2006/relationships/hyperlink" Target="https://www.itu.int/md/S24-CL-C-0010/en" TargetMode="External"/><Relationship Id="rId59" Type="http://schemas.openxmlformats.org/officeDocument/2006/relationships/hyperlink" Target="https://www.itu.int/md/S24-CL-C-0041/en" TargetMode="External"/><Relationship Id="rId67" Type="http://schemas.openxmlformats.org/officeDocument/2006/relationships/hyperlink" Target="https://www.itu.int/md/S24-CL-C-0057/en" TargetMode="External"/><Relationship Id="rId20" Type="http://schemas.openxmlformats.org/officeDocument/2006/relationships/hyperlink" Target="https://www.itu.int/md/S24-CL-C-0060/en" TargetMode="External"/><Relationship Id="rId41" Type="http://schemas.openxmlformats.org/officeDocument/2006/relationships/hyperlink" Target="https://www.itu.int/md/S24-CL-C-0037/en" TargetMode="External"/><Relationship Id="rId54" Type="http://schemas.openxmlformats.org/officeDocument/2006/relationships/hyperlink" Target="https://www.itu.int/md/S24-CL-C-0058/en" TargetMode="External"/><Relationship Id="rId62" Type="http://schemas.openxmlformats.org/officeDocument/2006/relationships/hyperlink" Target="https://www.itu.int/md/S24-CL-C-0044/en" TargetMode="External"/><Relationship Id="rId70" Type="http://schemas.openxmlformats.org/officeDocument/2006/relationships/hyperlink" Target="https://www.itu.int/md/S24-CL-C-0056/en" TargetMode="External"/><Relationship Id="rId75" Type="http://schemas.openxmlformats.org/officeDocument/2006/relationships/hyperlink" Target="https://www.itu.int/md/S24-CL-C-0007/en" TargetMode="External"/><Relationship Id="rId83" Type="http://schemas.openxmlformats.org/officeDocument/2006/relationships/hyperlink" Target="https://www.itu.int/md/S24-CL-INF-0010/en" TargetMode="External"/><Relationship Id="rId88" Type="http://schemas.openxmlformats.org/officeDocument/2006/relationships/hyperlink" Target="https://www.itu.int/md/S24-CL-INF/en" TargetMode="External"/><Relationship Id="rId91" Type="http://schemas.openxmlformats.org/officeDocument/2006/relationships/hyperlink" Target="https://www.itu.int/md/S24-CL-INF-0015/en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4-CL-C-0015/en" TargetMode="External"/><Relationship Id="rId23" Type="http://schemas.openxmlformats.org/officeDocument/2006/relationships/hyperlink" Target="https://www.itu.int/md/S24-CL-C-0006/en" TargetMode="External"/><Relationship Id="rId28" Type="http://schemas.openxmlformats.org/officeDocument/2006/relationships/hyperlink" Target="https://www.itu.int/md/S24-CL-C-0067/en" TargetMode="External"/><Relationship Id="rId36" Type="http://schemas.openxmlformats.org/officeDocument/2006/relationships/hyperlink" Target="https://www.itu.int/md/S24-CL-C-0030/en" TargetMode="External"/><Relationship Id="rId49" Type="http://schemas.openxmlformats.org/officeDocument/2006/relationships/hyperlink" Target="https://www.itu.int/md/S24-CL-C-0011/en" TargetMode="External"/><Relationship Id="rId57" Type="http://schemas.openxmlformats.org/officeDocument/2006/relationships/hyperlink" Target="https://www.itu.int/md/S24-CL-C-0063/en" TargetMode="External"/><Relationship Id="rId10" Type="http://schemas.openxmlformats.org/officeDocument/2006/relationships/hyperlink" Target="https://www.itu.int/md/S24-CL-C-0027/en" TargetMode="External"/><Relationship Id="rId31" Type="http://schemas.openxmlformats.org/officeDocument/2006/relationships/hyperlink" Target="https://www.itu.int/md/S24-CL-C-0069/en" TargetMode="External"/><Relationship Id="rId44" Type="http://schemas.openxmlformats.org/officeDocument/2006/relationships/hyperlink" Target="https://www.itu.int/md/S24-CL-C-0070/en" TargetMode="External"/><Relationship Id="rId52" Type="http://schemas.openxmlformats.org/officeDocument/2006/relationships/hyperlink" Target="https://www.itu.int/md/S24-CL-C-0046/en" TargetMode="External"/><Relationship Id="rId60" Type="http://schemas.openxmlformats.org/officeDocument/2006/relationships/hyperlink" Target="https://www.itu.int/md/S24-CL-C" TargetMode="External"/><Relationship Id="rId65" Type="http://schemas.openxmlformats.org/officeDocument/2006/relationships/hyperlink" Target="https://www.itu.int/md/S24-CL-C-0049/en" TargetMode="External"/><Relationship Id="rId73" Type="http://schemas.openxmlformats.org/officeDocument/2006/relationships/hyperlink" Target="https://www.itu.int/md/S24-CL-C-0053/en" TargetMode="External"/><Relationship Id="rId78" Type="http://schemas.openxmlformats.org/officeDocument/2006/relationships/hyperlink" Target="https://www.itu.int/md/S24-CL-INF-0006/en" TargetMode="External"/><Relationship Id="rId81" Type="http://schemas.openxmlformats.org/officeDocument/2006/relationships/hyperlink" Target="https://www.itu.int/md/S24-CL-INF-0009/en" TargetMode="External"/><Relationship Id="rId86" Type="http://schemas.openxmlformats.org/officeDocument/2006/relationships/hyperlink" Target="https://www.itu.int/md/S24-CL-INF-0008/en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-C-0073/en" TargetMode="External"/><Relationship Id="rId13" Type="http://schemas.openxmlformats.org/officeDocument/2006/relationships/hyperlink" Target="https://www.itu.int/md/S24-CL-C-0025/en" TargetMode="External"/><Relationship Id="rId18" Type="http://schemas.openxmlformats.org/officeDocument/2006/relationships/hyperlink" Target="https://www.itu.int/md/S24-CL-C-0026/en" TargetMode="External"/><Relationship Id="rId39" Type="http://schemas.openxmlformats.org/officeDocument/2006/relationships/hyperlink" Target="https://www.itu.int/md/S24-CL-C-0021/en" TargetMode="External"/><Relationship Id="rId34" Type="http://schemas.openxmlformats.org/officeDocument/2006/relationships/hyperlink" Target="https://www.itu.int/md/S24-CL-C-0064/en" TargetMode="External"/><Relationship Id="rId50" Type="http://schemas.openxmlformats.org/officeDocument/2006/relationships/hyperlink" Target="https://www.itu.int/md/S24-CL-C-0038/en" TargetMode="External"/><Relationship Id="rId55" Type="http://schemas.openxmlformats.org/officeDocument/2006/relationships/hyperlink" Target="https://www.itu.int/md/S24-CL-C-0062/en" TargetMode="External"/><Relationship Id="rId76" Type="http://schemas.openxmlformats.org/officeDocument/2006/relationships/hyperlink" Target="https://www.itu.int/md/S24-CL-C-0048/en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itu.int/md/S24-CL-C-0035/en" TargetMode="External"/><Relationship Id="rId71" Type="http://schemas.openxmlformats.org/officeDocument/2006/relationships/hyperlink" Target="https://www.itu.int/md/S24-CL-C-0071/en" TargetMode="External"/><Relationship Id="rId92" Type="http://schemas.openxmlformats.org/officeDocument/2006/relationships/hyperlink" Target="https://www.itu.int/md/S24-CL-INF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4-CL-C-0005/en" TargetMode="External"/><Relationship Id="rId24" Type="http://schemas.openxmlformats.org/officeDocument/2006/relationships/hyperlink" Target="https://www.itu.int/md/S24-CL-C-0031/en" TargetMode="External"/><Relationship Id="rId40" Type="http://schemas.openxmlformats.org/officeDocument/2006/relationships/hyperlink" Target="https://www.itu.int/md/S24-CL-C-0002/en" TargetMode="External"/><Relationship Id="rId45" Type="http://schemas.openxmlformats.org/officeDocument/2006/relationships/hyperlink" Target="https://www.itu.int/md/S24-CL-C-0050/en" TargetMode="External"/><Relationship Id="rId66" Type="http://schemas.openxmlformats.org/officeDocument/2006/relationships/hyperlink" Target="https://www.itu.int/md/S24-CL-C-0022/en" TargetMode="External"/><Relationship Id="rId87" Type="http://schemas.openxmlformats.org/officeDocument/2006/relationships/hyperlink" Target="https://www.itu.int/md/S24-CL-INF-0007/en" TargetMode="External"/><Relationship Id="rId61" Type="http://schemas.openxmlformats.org/officeDocument/2006/relationships/hyperlink" Target="https://www.itu.int/md/S24-CL-C" TargetMode="External"/><Relationship Id="rId82" Type="http://schemas.openxmlformats.org/officeDocument/2006/relationships/hyperlink" Target="https://www.itu.int/md/S24-CL-INF-0002/en" TargetMode="External"/><Relationship Id="rId19" Type="http://schemas.openxmlformats.org/officeDocument/2006/relationships/hyperlink" Target="https://www.itu.int/md/S24-CL-C-0008/en" TargetMode="External"/><Relationship Id="rId14" Type="http://schemas.openxmlformats.org/officeDocument/2006/relationships/hyperlink" Target="https://www.itu.int/md/S24-CL-C-0066/en" TargetMode="External"/><Relationship Id="rId30" Type="http://schemas.openxmlformats.org/officeDocument/2006/relationships/hyperlink" Target="https://www.itu.int/md/S24-CL-C-0068/en" TargetMode="External"/><Relationship Id="rId35" Type="http://schemas.openxmlformats.org/officeDocument/2006/relationships/hyperlink" Target="https://www.itu.int/md/S24-CL-C-0024/en" TargetMode="External"/><Relationship Id="rId56" Type="http://schemas.openxmlformats.org/officeDocument/2006/relationships/hyperlink" Target="https://www.itu.int/md/S24-CL-C-0019/en" TargetMode="External"/><Relationship Id="rId77" Type="http://schemas.openxmlformats.org/officeDocument/2006/relationships/hyperlink" Target="https://www.itu.int/md/S24-CL-INF-0004/en" TargetMode="External"/><Relationship Id="rId8" Type="http://schemas.openxmlformats.org/officeDocument/2006/relationships/hyperlink" Target="https://www.itu.int/md/S24-CL-C-0052/en" TargetMode="External"/><Relationship Id="rId51" Type="http://schemas.openxmlformats.org/officeDocument/2006/relationships/hyperlink" Target="https://www.itu.int/md/S24-CL-C-0034/en" TargetMode="External"/><Relationship Id="rId72" Type="http://schemas.openxmlformats.org/officeDocument/2006/relationships/hyperlink" Target="https://www.itu.int/md/S24-CL-C-0054/en" TargetMode="External"/><Relationship Id="rId9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14</TotalTime>
  <Pages>5</Pages>
  <Words>1092</Words>
  <Characters>12464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13529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Sikacheva, Violetta</cp:lastModifiedBy>
  <cp:revision>7</cp:revision>
  <cp:lastPrinted>2006-03-28T16:12:00Z</cp:lastPrinted>
  <dcterms:created xsi:type="dcterms:W3CDTF">2024-05-31T08:18:00Z</dcterms:created>
  <dcterms:modified xsi:type="dcterms:W3CDTF">2024-05-31T09:06:00Z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