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026FC474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>
              <w:rPr>
                <w:b/>
              </w:rPr>
              <w:t>Agenda item</w:t>
            </w:r>
            <w:r w:rsidRPr="00072BF6">
              <w:rPr>
                <w:b/>
              </w:rPr>
              <w:t xml:space="preserve">: </w:t>
            </w:r>
            <w:r w:rsidR="009360C3" w:rsidRPr="00072BF6">
              <w:rPr>
                <w:b/>
              </w:rPr>
              <w:t xml:space="preserve">PL </w:t>
            </w:r>
            <w:r w:rsidR="00072BF6" w:rsidRPr="00072BF6">
              <w:rPr>
                <w:b/>
              </w:rPr>
              <w:t>3</w:t>
            </w:r>
          </w:p>
        </w:tc>
        <w:tc>
          <w:tcPr>
            <w:tcW w:w="5245" w:type="dxa"/>
          </w:tcPr>
          <w:p w14:paraId="291AB2A2" w14:textId="02C6EAC1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DE45AC">
              <w:rPr>
                <w:b/>
              </w:rPr>
              <w:t>3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5ACE584" w:rsidR="00AD3606" w:rsidRPr="00E85629" w:rsidRDefault="00E422C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FD0B1C">
              <w:rPr>
                <w:b/>
              </w:rPr>
              <w:t xml:space="preserve"> April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6850BE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850BE">
              <w:t>Report by the Secretary-General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4D4E651" w:rsidR="00AD3606" w:rsidRPr="006850BE" w:rsidRDefault="004866D1" w:rsidP="006850BE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201CCC">
              <w:t>OBSOLETE COUNCIL RESOLUTIONS AND DECISION</w:t>
            </w:r>
            <w:r>
              <w:t>S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751D6702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22EEE048" w:rsidR="00AD3606" w:rsidRPr="00813E5E" w:rsidRDefault="003D2C90" w:rsidP="00F16BAB">
            <w:r w:rsidRPr="00201CCC">
              <w:t xml:space="preserve">After each ordinary session of the </w:t>
            </w:r>
            <w:r>
              <w:t xml:space="preserve">ITU </w:t>
            </w:r>
            <w:r w:rsidRPr="00201CCC">
              <w:t>Council, Resolutions and Decisions which have been implemented</w:t>
            </w:r>
            <w:r>
              <w:t xml:space="preserve"> or have become obsolete</w:t>
            </w:r>
            <w:r w:rsidRPr="00201CCC">
              <w:t xml:space="preserve"> are abrogated and, consequently, deleted from the </w:t>
            </w:r>
            <w:r>
              <w:t>v</w:t>
            </w:r>
            <w:r w:rsidRPr="00201CCC">
              <w:t>olume of Resolutions and Decisions of the Council.</w:t>
            </w:r>
          </w:p>
          <w:p w14:paraId="5076D5C4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9F38DAD" w14:textId="58937FB6" w:rsidR="00AD3606" w:rsidRPr="00484009" w:rsidRDefault="004A696B" w:rsidP="00AD3606">
            <w:r w:rsidRPr="00201CCC">
              <w:t xml:space="preserve">The Council is invited to </w:t>
            </w:r>
            <w:r w:rsidRPr="00201CCC">
              <w:rPr>
                <w:b/>
                <w:bCs/>
              </w:rPr>
              <w:t>consider</w:t>
            </w:r>
            <w:r w:rsidRPr="00201CCC">
              <w:t xml:space="preserve"> and </w:t>
            </w:r>
            <w:r w:rsidRPr="00201CCC">
              <w:rPr>
                <w:b/>
                <w:bCs/>
              </w:rPr>
              <w:t>approve</w:t>
            </w:r>
            <w:r w:rsidRPr="00201CCC">
              <w:t xml:space="preserve"> the proposed list of Resolutions and Decisions which should be abrogated and thus removed from the </w:t>
            </w:r>
            <w:r>
              <w:t>v</w:t>
            </w:r>
            <w:r w:rsidRPr="00201CCC">
              <w:t>olume</w:t>
            </w:r>
            <w:r>
              <w:t>.</w:t>
            </w:r>
          </w:p>
          <w:p w14:paraId="0F8F1F03" w14:textId="1D0A2D7A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FD0B1C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1D9C76CC" w:rsidR="00F16BAB" w:rsidRPr="00F16BAB" w:rsidRDefault="004A696B" w:rsidP="00F16BAB">
            <w:r>
              <w:t>n/a</w:t>
            </w:r>
          </w:p>
          <w:p w14:paraId="632C043A" w14:textId="18D5ABA6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60FB84F0" w14:textId="2A7F69A1" w:rsidR="004A696B" w:rsidRDefault="0046256A" w:rsidP="004A696B">
            <w:pPr>
              <w:rPr>
                <w:b/>
                <w:bCs/>
                <w:sz w:val="26"/>
                <w:szCs w:val="26"/>
              </w:rPr>
            </w:pPr>
            <w:r>
              <w:rPr>
                <w:rStyle w:val="ui-provider"/>
              </w:rPr>
              <w:t>Within the allocated budget 2024-2025</w:t>
            </w:r>
            <w:r w:rsidR="00FD0B1C">
              <w:rPr>
                <w:rStyle w:val="ui-provider"/>
              </w:rPr>
              <w:t>.</w:t>
            </w:r>
          </w:p>
          <w:p w14:paraId="2AAB18B0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0DEE14C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40C0A185" w:rsidR="00AD3606" w:rsidRPr="00563CFB" w:rsidRDefault="00E422C0" w:rsidP="00F16BAB">
            <w:pPr>
              <w:spacing w:after="160"/>
              <w:rPr>
                <w:i/>
                <w:iCs/>
                <w:szCs w:val="24"/>
              </w:rPr>
            </w:pPr>
            <w:hyperlink r:id="rId8" w:history="1">
              <w:r w:rsidR="002C0BA1" w:rsidRPr="00563CFB">
                <w:rPr>
                  <w:rStyle w:val="Hyperlink"/>
                  <w:i/>
                  <w:iCs/>
                  <w:szCs w:val="24"/>
                </w:rPr>
                <w:t>Resolutions and Decisions of the Council (2023)</w:t>
              </w:r>
            </w:hyperlink>
          </w:p>
        </w:tc>
      </w:tr>
    </w:tbl>
    <w:p w14:paraId="4CDB8B60" w14:textId="2A4D9B15" w:rsidR="00E227F3" w:rsidRPr="002C0BA1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2C0BA1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2C0BA1">
        <w:br w:type="page"/>
      </w:r>
    </w:p>
    <w:bookmarkEnd w:id="5"/>
    <w:bookmarkEnd w:id="10"/>
    <w:p w14:paraId="788F0DF2" w14:textId="4E97A668" w:rsidR="003B5175" w:rsidRPr="00201CCC" w:rsidRDefault="003B5175" w:rsidP="003B51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40"/>
        <w:textAlignment w:val="auto"/>
        <w:rPr>
          <w:b/>
          <w:sz w:val="28"/>
          <w:szCs w:val="28"/>
        </w:rPr>
      </w:pPr>
      <w:r w:rsidRPr="00201CCC">
        <w:rPr>
          <w:b/>
          <w:bCs/>
          <w:sz w:val="28"/>
          <w:szCs w:val="28"/>
        </w:rPr>
        <w:lastRenderedPageBreak/>
        <w:t>Resolutions and Decisions to be abrogated</w:t>
      </w:r>
      <w:r>
        <w:rPr>
          <w:b/>
          <w:bCs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12" w:space="0" w:color="009CD6"/>
          <w:left w:val="single" w:sz="12" w:space="0" w:color="009CD6"/>
          <w:bottom w:val="single" w:sz="12" w:space="0" w:color="009CD6"/>
          <w:right w:val="single" w:sz="12" w:space="0" w:color="009CD6"/>
          <w:insideH w:val="single" w:sz="4" w:space="0" w:color="BFBFBF" w:themeColor="background1" w:themeShade="BF"/>
          <w:insideV w:val="single" w:sz="12" w:space="0" w:color="009CD6"/>
        </w:tblBorders>
        <w:tblLook w:val="0000" w:firstRow="0" w:lastRow="0" w:firstColumn="0" w:lastColumn="0" w:noHBand="0" w:noVBand="0"/>
      </w:tblPr>
      <w:tblGrid>
        <w:gridCol w:w="951"/>
        <w:gridCol w:w="1175"/>
        <w:gridCol w:w="6915"/>
      </w:tblGrid>
      <w:tr w:rsidR="003B5175" w:rsidRPr="00201CCC" w14:paraId="55E84E4D" w14:textId="77777777" w:rsidTr="00CA1D29">
        <w:trPr>
          <w:tblHeader/>
          <w:jc w:val="center"/>
        </w:trPr>
        <w:tc>
          <w:tcPr>
            <w:tcW w:w="526" w:type="pct"/>
            <w:shd w:val="clear" w:color="auto" w:fill="009CD6"/>
          </w:tcPr>
          <w:p w14:paraId="2316E823" w14:textId="77777777" w:rsidR="003B5175" w:rsidRPr="00201CCC" w:rsidRDefault="003B5175" w:rsidP="00CA1D2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lang w:val="en-US"/>
              </w:rPr>
            </w:pPr>
            <w:r w:rsidRPr="00201CCC">
              <w:rPr>
                <w:b/>
                <w:color w:val="FFFFFF" w:themeColor="background1"/>
                <w:lang w:val="en-US"/>
              </w:rPr>
              <w:t>Section</w:t>
            </w:r>
          </w:p>
        </w:tc>
        <w:tc>
          <w:tcPr>
            <w:tcW w:w="650" w:type="pct"/>
            <w:shd w:val="clear" w:color="auto" w:fill="009CD6"/>
          </w:tcPr>
          <w:p w14:paraId="40D45DDB" w14:textId="77777777" w:rsidR="003B5175" w:rsidRPr="00201CCC" w:rsidRDefault="003B5175" w:rsidP="00CA1D2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lang w:val="en-US"/>
              </w:rPr>
            </w:pPr>
            <w:r w:rsidRPr="00201CCC">
              <w:rPr>
                <w:b/>
                <w:color w:val="FFFFFF" w:themeColor="background1"/>
                <w:lang w:val="en-US"/>
              </w:rPr>
              <w:t>Res/Dec</w:t>
            </w:r>
          </w:p>
        </w:tc>
        <w:tc>
          <w:tcPr>
            <w:tcW w:w="3824" w:type="pct"/>
            <w:shd w:val="clear" w:color="auto" w:fill="009CD6"/>
          </w:tcPr>
          <w:p w14:paraId="2E217DEA" w14:textId="77777777" w:rsidR="003B5175" w:rsidRPr="00201CCC" w:rsidRDefault="003B5175" w:rsidP="00CA1D2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lang w:val="en-US"/>
              </w:rPr>
            </w:pPr>
            <w:r w:rsidRPr="00201CCC">
              <w:rPr>
                <w:b/>
                <w:color w:val="FFFFFF" w:themeColor="background1"/>
                <w:lang w:val="en-US"/>
              </w:rPr>
              <w:t>Title</w:t>
            </w:r>
          </w:p>
        </w:tc>
      </w:tr>
      <w:tr w:rsidR="00883E36" w:rsidRPr="00201CCC" w14:paraId="6D297CC7" w14:textId="77777777" w:rsidTr="00CA1D29">
        <w:trPr>
          <w:jc w:val="center"/>
        </w:trPr>
        <w:tc>
          <w:tcPr>
            <w:tcW w:w="526" w:type="pct"/>
            <w:shd w:val="clear" w:color="auto" w:fill="FFFFFF"/>
          </w:tcPr>
          <w:p w14:paraId="6B308925" w14:textId="4FBEC7FE" w:rsidR="00883E36" w:rsidRDefault="00883E36" w:rsidP="00CA1D2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1.1</w:t>
            </w:r>
          </w:p>
        </w:tc>
        <w:tc>
          <w:tcPr>
            <w:tcW w:w="650" w:type="pct"/>
            <w:shd w:val="clear" w:color="auto" w:fill="FFFFFF"/>
          </w:tcPr>
          <w:p w14:paraId="400A3179" w14:textId="536E901F" w:rsidR="00883E36" w:rsidRDefault="00883E36" w:rsidP="00CA1D2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color w:val="595959" w:themeColor="text1" w:themeTint="A6"/>
                <w:lang w:val="en-US"/>
              </w:rPr>
            </w:pPr>
            <w:r>
              <w:rPr>
                <w:b/>
                <w:bCs/>
                <w:color w:val="595959" w:themeColor="text1" w:themeTint="A6"/>
                <w:lang w:val="en-US"/>
              </w:rPr>
              <w:t>R 1412</w:t>
            </w:r>
            <w:r w:rsidR="00193ADB"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ootnoteReference w:id="1"/>
            </w:r>
          </w:p>
        </w:tc>
        <w:tc>
          <w:tcPr>
            <w:tcW w:w="3824" w:type="pct"/>
            <w:shd w:val="clear" w:color="auto" w:fill="FFFFFF"/>
          </w:tcPr>
          <w:p w14:paraId="6218D17C" w14:textId="6A1AD66E" w:rsidR="00883E36" w:rsidRPr="00883E36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 w:rsidRPr="00883E36">
              <w:rPr>
                <w:color w:val="595959" w:themeColor="text1" w:themeTint="A6"/>
              </w:rPr>
              <w:t>Balancing the 2022 budget implementation</w:t>
            </w:r>
          </w:p>
        </w:tc>
      </w:tr>
      <w:tr w:rsidR="00883E36" w:rsidRPr="00201CCC" w14:paraId="735A8D1A" w14:textId="77777777" w:rsidTr="00CA1D29">
        <w:trPr>
          <w:jc w:val="center"/>
        </w:trPr>
        <w:tc>
          <w:tcPr>
            <w:tcW w:w="526" w:type="pct"/>
            <w:shd w:val="clear" w:color="auto" w:fill="FFFFFF"/>
          </w:tcPr>
          <w:p w14:paraId="601B9D45" w14:textId="4CCF3803" w:rsidR="00883E36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1E6D5495" w14:textId="1FEDA891" w:rsidR="00883E36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color w:val="595959" w:themeColor="text1" w:themeTint="A6"/>
                <w:lang w:val="en-US"/>
              </w:rPr>
            </w:pPr>
            <w:r>
              <w:rPr>
                <w:b/>
                <w:bCs/>
                <w:color w:val="595959" w:themeColor="text1" w:themeTint="A6"/>
                <w:lang w:val="en-US"/>
              </w:rPr>
              <w:t>D 634</w:t>
            </w:r>
            <w:bookmarkStart w:id="11" w:name="_Ref153206452"/>
            <w:r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ootnoteReference w:id="2"/>
            </w:r>
            <w:bookmarkEnd w:id="11"/>
          </w:p>
        </w:tc>
        <w:tc>
          <w:tcPr>
            <w:tcW w:w="3824" w:type="pct"/>
            <w:shd w:val="clear" w:color="auto" w:fill="FFFFFF"/>
          </w:tcPr>
          <w:p w14:paraId="63529CE9" w14:textId="3306F3B5" w:rsidR="00883E36" w:rsidRPr="00F67AED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 w:rsidRPr="00F67AED">
              <w:rPr>
                <w:color w:val="595959" w:themeColor="text1" w:themeTint="A6"/>
              </w:rPr>
              <w:t>Cancellation of interest on arrears and irrecoverable debts</w:t>
            </w:r>
          </w:p>
        </w:tc>
      </w:tr>
      <w:tr w:rsidR="00883E36" w:rsidRPr="00201CCC" w14:paraId="76D1EE43" w14:textId="77777777" w:rsidTr="00CA1D29">
        <w:trPr>
          <w:jc w:val="center"/>
        </w:trPr>
        <w:tc>
          <w:tcPr>
            <w:tcW w:w="526" w:type="pct"/>
            <w:shd w:val="clear" w:color="auto" w:fill="FFFFFF"/>
          </w:tcPr>
          <w:p w14:paraId="4496F0EE" w14:textId="03CB2D56" w:rsidR="00883E36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 w:rsidRPr="00201CCC">
              <w:rPr>
                <w:color w:val="595959" w:themeColor="text1" w:themeTint="A6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6DA5B306" w14:textId="7B688489" w:rsidR="00883E36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color w:val="595959" w:themeColor="text1" w:themeTint="A6"/>
                <w:lang w:val="en-US"/>
              </w:rPr>
            </w:pPr>
            <w:r w:rsidRPr="00201CCC">
              <w:rPr>
                <w:b/>
                <w:bCs/>
                <w:color w:val="595959" w:themeColor="text1" w:themeTint="A6"/>
                <w:lang w:val="en-US"/>
              </w:rPr>
              <w:t>R 141</w:t>
            </w:r>
            <w:bookmarkStart w:id="12" w:name="_Ref134026482"/>
            <w:r>
              <w:rPr>
                <w:b/>
                <w:bCs/>
                <w:color w:val="595959" w:themeColor="text1" w:themeTint="A6"/>
                <w:lang w:val="en-US"/>
              </w:rPr>
              <w:t>9</w:t>
            </w:r>
            <w:bookmarkEnd w:id="12"/>
            <w:r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ootnoteReference w:id="3"/>
            </w:r>
          </w:p>
        </w:tc>
        <w:tc>
          <w:tcPr>
            <w:tcW w:w="3824" w:type="pct"/>
            <w:shd w:val="clear" w:color="auto" w:fill="FFFFFF"/>
          </w:tcPr>
          <w:p w14:paraId="08D1E1D9" w14:textId="62D58739" w:rsidR="00883E36" w:rsidRPr="00F67AED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 w:rsidRPr="00201CCC">
              <w:rPr>
                <w:color w:val="595959" w:themeColor="text1" w:themeTint="A6"/>
              </w:rPr>
              <w:t>Conditions of service of ITU Elected Officials</w:t>
            </w:r>
          </w:p>
        </w:tc>
      </w:tr>
      <w:tr w:rsidR="00883E36" w:rsidRPr="00201CCC" w14:paraId="7C5EF23F" w14:textId="77777777" w:rsidTr="00CA1D29">
        <w:trPr>
          <w:jc w:val="center"/>
        </w:trPr>
        <w:tc>
          <w:tcPr>
            <w:tcW w:w="526" w:type="pct"/>
            <w:shd w:val="clear" w:color="auto" w:fill="FFFFFF"/>
          </w:tcPr>
          <w:p w14:paraId="1DE57458" w14:textId="77777777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3.2</w:t>
            </w:r>
          </w:p>
        </w:tc>
        <w:tc>
          <w:tcPr>
            <w:tcW w:w="650" w:type="pct"/>
            <w:shd w:val="clear" w:color="auto" w:fill="FFFFFF"/>
          </w:tcPr>
          <w:p w14:paraId="06AD1490" w14:textId="73B16F02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color w:val="595959" w:themeColor="text1" w:themeTint="A6"/>
                <w:lang w:val="en-US"/>
              </w:rPr>
            </w:pPr>
            <w:r w:rsidRPr="00201CCC">
              <w:rPr>
                <w:b/>
                <w:bCs/>
                <w:color w:val="595959" w:themeColor="text1" w:themeTint="A6"/>
                <w:lang w:val="en-US"/>
              </w:rPr>
              <w:t>D 6</w:t>
            </w:r>
            <w:r>
              <w:rPr>
                <w:b/>
                <w:bCs/>
                <w:color w:val="595959" w:themeColor="text1" w:themeTint="A6"/>
                <w:lang w:val="en-US"/>
              </w:rPr>
              <w:t>35</w:t>
            </w:r>
            <w:r w:rsidRPr="000E3433">
              <w:rPr>
                <w:rStyle w:val="FootnoteReference"/>
              </w:rPr>
              <w:fldChar w:fldCharType="begin"/>
            </w:r>
            <w:r w:rsidRPr="000E3433">
              <w:rPr>
                <w:rStyle w:val="FootnoteReference"/>
              </w:rPr>
              <w:instrText xml:space="preserve"> NOTEREF _Ref153206452 \h </w:instrText>
            </w:r>
            <w:r>
              <w:rPr>
                <w:rStyle w:val="FootnoteReference"/>
              </w:rPr>
              <w:instrText xml:space="preserve"> \* MERGEFORMAT </w:instrText>
            </w:r>
            <w:r w:rsidRPr="000E3433">
              <w:rPr>
                <w:rStyle w:val="FootnoteReference"/>
              </w:rPr>
            </w:r>
            <w:r w:rsidRPr="000E3433">
              <w:rPr>
                <w:rStyle w:val="FootnoteReference"/>
              </w:rPr>
              <w:fldChar w:fldCharType="separate"/>
            </w:r>
            <w:r w:rsidRPr="000E3433">
              <w:rPr>
                <w:rStyle w:val="FootnoteReference"/>
              </w:rPr>
              <w:t>1</w:t>
            </w:r>
            <w:r w:rsidRPr="000E3433">
              <w:rPr>
                <w:rStyle w:val="FootnoteReference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38FA7B74" w14:textId="0C10B6F9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 w:rsidRPr="00201CCC">
              <w:rPr>
                <w:color w:val="595959" w:themeColor="text1" w:themeTint="A6"/>
              </w:rPr>
              <w:t xml:space="preserve">Dates and duration of the 2024, 2025, and 2026 sessions of the Council, along with the clusters of Council Working Groups and Expert Groups for 2024, </w:t>
            </w:r>
            <w:r>
              <w:rPr>
                <w:color w:val="595959" w:themeColor="text1" w:themeTint="A6"/>
              </w:rPr>
              <w:t xml:space="preserve">2025 </w:t>
            </w:r>
            <w:r w:rsidRPr="00201CCC">
              <w:rPr>
                <w:color w:val="595959" w:themeColor="text1" w:themeTint="A6"/>
              </w:rPr>
              <w:t>and 202</w:t>
            </w:r>
            <w:r>
              <w:rPr>
                <w:color w:val="595959" w:themeColor="text1" w:themeTint="A6"/>
              </w:rPr>
              <w:t>6</w:t>
            </w:r>
          </w:p>
        </w:tc>
      </w:tr>
      <w:tr w:rsidR="00883E36" w:rsidRPr="00201CCC" w14:paraId="3075274D" w14:textId="77777777" w:rsidTr="00CA1D29">
        <w:trPr>
          <w:jc w:val="center"/>
        </w:trPr>
        <w:tc>
          <w:tcPr>
            <w:tcW w:w="526" w:type="pct"/>
            <w:shd w:val="clear" w:color="auto" w:fill="FFFFFF"/>
          </w:tcPr>
          <w:p w14:paraId="6180444F" w14:textId="4D16B3FA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10C97A6C" w14:textId="78FC87A6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color w:val="595959" w:themeColor="text1" w:themeTint="A6"/>
                <w:lang w:val="en-US"/>
              </w:rPr>
            </w:pPr>
            <w:r>
              <w:rPr>
                <w:b/>
                <w:bCs/>
                <w:color w:val="595959" w:themeColor="text1" w:themeTint="A6"/>
                <w:lang w:val="en-US"/>
              </w:rPr>
              <w:t>R 1399</w:t>
            </w:r>
          </w:p>
        </w:tc>
        <w:tc>
          <w:tcPr>
            <w:tcW w:w="3824" w:type="pct"/>
            <w:shd w:val="clear" w:color="auto" w:fill="FFFFFF"/>
          </w:tcPr>
          <w:p w14:paraId="1C6A2E0B" w14:textId="62827C81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 w:rsidRPr="00DA3113">
              <w:rPr>
                <w:color w:val="595959" w:themeColor="text1" w:themeTint="A6"/>
              </w:rPr>
              <w:t>Agenda of the World Radiocommunication Conference</w:t>
            </w:r>
            <w:r>
              <w:rPr>
                <w:color w:val="595959" w:themeColor="text1" w:themeTint="A6"/>
              </w:rPr>
              <w:t xml:space="preserve"> </w:t>
            </w:r>
            <w:r w:rsidRPr="00DA3113">
              <w:rPr>
                <w:color w:val="595959" w:themeColor="text1" w:themeTint="A6"/>
              </w:rPr>
              <w:t>(WRC-23)</w:t>
            </w:r>
          </w:p>
        </w:tc>
      </w:tr>
      <w:tr w:rsidR="00883E36" w:rsidRPr="00201CCC" w14:paraId="782E0B3A" w14:textId="77777777" w:rsidTr="00CA1D29">
        <w:trPr>
          <w:jc w:val="center"/>
        </w:trPr>
        <w:tc>
          <w:tcPr>
            <w:tcW w:w="526" w:type="pct"/>
            <w:shd w:val="clear" w:color="auto" w:fill="FFFFFF"/>
          </w:tcPr>
          <w:p w14:paraId="5D5D4045" w14:textId="77777777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5D778C2E" w14:textId="0AECE91D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color w:val="595959" w:themeColor="text1" w:themeTint="A6"/>
                <w:lang w:val="en-US"/>
              </w:rPr>
            </w:pPr>
            <w:r w:rsidRPr="00201CCC">
              <w:rPr>
                <w:b/>
                <w:bCs/>
                <w:color w:val="595959" w:themeColor="text1" w:themeTint="A6"/>
                <w:lang w:val="en-US"/>
              </w:rPr>
              <w:t>D 60</w:t>
            </w:r>
            <w:r>
              <w:rPr>
                <w:b/>
                <w:bCs/>
                <w:color w:val="595959" w:themeColor="text1" w:themeTint="A6"/>
                <w:lang w:val="en-US"/>
              </w:rPr>
              <w:t>9</w:t>
            </w:r>
          </w:p>
        </w:tc>
        <w:tc>
          <w:tcPr>
            <w:tcW w:w="3824" w:type="pct"/>
            <w:shd w:val="clear" w:color="auto" w:fill="FFFFFF"/>
          </w:tcPr>
          <w:p w14:paraId="4E4996E1" w14:textId="520534F0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 w:rsidRPr="00636AB5">
              <w:rPr>
                <w:color w:val="595959" w:themeColor="text1" w:themeTint="A6"/>
              </w:rPr>
              <w:t>Convening of the next World Telecommunication Development Conference (WTDC-21)</w:t>
            </w:r>
          </w:p>
        </w:tc>
      </w:tr>
      <w:tr w:rsidR="00883E36" w:rsidRPr="00C9692F" w14:paraId="6242C71F" w14:textId="77777777" w:rsidTr="00CA1D29">
        <w:trPr>
          <w:jc w:val="center"/>
        </w:trPr>
        <w:tc>
          <w:tcPr>
            <w:tcW w:w="526" w:type="pct"/>
            <w:shd w:val="clear" w:color="auto" w:fill="FFFFFF"/>
          </w:tcPr>
          <w:p w14:paraId="1971B9F1" w14:textId="77777777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3AF70E6B" w14:textId="3DB7B01D" w:rsidR="00883E36" w:rsidRPr="00201CCC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color w:val="595959" w:themeColor="text1" w:themeTint="A6"/>
                <w:lang w:val="en-US"/>
              </w:rPr>
            </w:pPr>
            <w:r w:rsidRPr="00201CCC">
              <w:rPr>
                <w:b/>
                <w:bCs/>
                <w:color w:val="595959" w:themeColor="text1" w:themeTint="A6"/>
                <w:lang w:val="en-US"/>
              </w:rPr>
              <w:t>D 6</w:t>
            </w:r>
            <w:r>
              <w:rPr>
                <w:b/>
                <w:bCs/>
                <w:color w:val="595959" w:themeColor="text1" w:themeTint="A6"/>
                <w:lang w:val="en-US"/>
              </w:rPr>
              <w:t>23</w:t>
            </w:r>
          </w:p>
        </w:tc>
        <w:tc>
          <w:tcPr>
            <w:tcW w:w="3824" w:type="pct"/>
            <w:shd w:val="clear" w:color="auto" w:fill="FFFFFF"/>
          </w:tcPr>
          <w:p w14:paraId="32F0FDBB" w14:textId="371915EB" w:rsidR="00883E36" w:rsidRPr="00B548CF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 w:rsidRPr="003C1A50">
              <w:rPr>
                <w:color w:val="595959" w:themeColor="text1" w:themeTint="A6"/>
              </w:rPr>
              <w:t>Place and dates of the World Radiocommunication Conference (WRC-23) and Radiocommunication Assembly (RA-23)</w:t>
            </w:r>
          </w:p>
        </w:tc>
      </w:tr>
      <w:tr w:rsidR="00883E36" w:rsidRPr="000B1707" w14:paraId="318F6061" w14:textId="77777777" w:rsidTr="00CA1D29">
        <w:trPr>
          <w:jc w:val="center"/>
        </w:trPr>
        <w:tc>
          <w:tcPr>
            <w:tcW w:w="526" w:type="pct"/>
            <w:shd w:val="clear" w:color="auto" w:fill="FFFFFF"/>
          </w:tcPr>
          <w:p w14:paraId="36DDE873" w14:textId="49A72E45" w:rsidR="00883E36" w:rsidRPr="000B1707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</w:t>
            </w:r>
          </w:p>
        </w:tc>
        <w:tc>
          <w:tcPr>
            <w:tcW w:w="650" w:type="pct"/>
            <w:shd w:val="clear" w:color="auto" w:fill="FFFFFF"/>
          </w:tcPr>
          <w:p w14:paraId="7A2B44BD" w14:textId="4AEC1350" w:rsidR="00883E36" w:rsidRPr="000B1707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color w:val="595959" w:themeColor="text1" w:themeTint="A6"/>
                <w:lang w:val="en-US"/>
              </w:rPr>
            </w:pPr>
            <w:r>
              <w:rPr>
                <w:b/>
                <w:bCs/>
                <w:color w:val="595959" w:themeColor="text1" w:themeTint="A6"/>
                <w:lang w:val="en-US"/>
              </w:rPr>
              <w:t>R 1407</w:t>
            </w:r>
          </w:p>
        </w:tc>
        <w:tc>
          <w:tcPr>
            <w:tcW w:w="3824" w:type="pct"/>
            <w:shd w:val="clear" w:color="auto" w:fill="FFFFFF"/>
          </w:tcPr>
          <w:p w14:paraId="68F8F301" w14:textId="0C25FB97" w:rsidR="00883E36" w:rsidRPr="000B1707" w:rsidRDefault="00883E36" w:rsidP="00883E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595959" w:themeColor="text1" w:themeTint="A6"/>
              </w:rPr>
            </w:pPr>
            <w:r w:rsidRPr="00883E36">
              <w:rPr>
                <w:color w:val="595959" w:themeColor="text1" w:themeTint="A6"/>
              </w:rPr>
              <w:t>Operational plan for the Union for 2023</w:t>
            </w:r>
          </w:p>
        </w:tc>
      </w:tr>
    </w:tbl>
    <w:p w14:paraId="257674B4" w14:textId="750403D3" w:rsidR="00A514A4" w:rsidRPr="002C0BA1" w:rsidRDefault="003B5175" w:rsidP="00FD0B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rPr>
          <w:sz w:val="16"/>
          <w:szCs w:val="16"/>
        </w:rPr>
        <w:t>__________________________</w:t>
      </w:r>
    </w:p>
    <w:sectPr w:rsidR="00A514A4" w:rsidRPr="002C0BA1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1585BFE4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8C010F2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3D2C90">
            <w:rPr>
              <w:bCs/>
            </w:rPr>
            <w:t>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E422C0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0FE6ED2E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3D2C90">
            <w:rPr>
              <w:bCs/>
            </w:rPr>
            <w:t>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  <w:footnote w:id="1">
    <w:p w14:paraId="539BC4C3" w14:textId="156994A5" w:rsidR="00193ADB" w:rsidRPr="00193ADB" w:rsidRDefault="00193A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8341E" w:rsidRPr="00924F74">
        <w:rPr>
          <w:sz w:val="20"/>
        </w:rPr>
        <w:t>Upon approval of document C24/40 on Financial operating report for the financial year 2022</w:t>
      </w:r>
    </w:p>
  </w:footnote>
  <w:footnote w:id="2">
    <w:p w14:paraId="7EA24A3D" w14:textId="77777777" w:rsidR="00883E36" w:rsidRPr="000E3433" w:rsidRDefault="00883E36" w:rsidP="00FD0B1C">
      <w:pPr>
        <w:pStyle w:val="FootnoteText"/>
        <w:spacing w:before="80"/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5D3AB8">
        <w:rPr>
          <w:sz w:val="20"/>
        </w:rPr>
        <w:t>Upon adoption of a new Decision.</w:t>
      </w:r>
    </w:p>
  </w:footnote>
  <w:footnote w:id="3">
    <w:p w14:paraId="6E6BB3C3" w14:textId="54BEB7EE" w:rsidR="00883E36" w:rsidRPr="005D3AB8" w:rsidRDefault="00883E36" w:rsidP="00FD0B1C">
      <w:pPr>
        <w:pStyle w:val="FootnoteText"/>
        <w:spacing w:before="80"/>
        <w:rPr>
          <w:rFonts w:eastAsiaTheme="minorEastAsia"/>
          <w:sz w:val="20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5D3AB8">
        <w:rPr>
          <w:sz w:val="20"/>
        </w:rPr>
        <w:t>Upon adoption of a new Resolution.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46E3B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6795"/>
    <w:rsid w:val="00071874"/>
    <w:rsid w:val="00072BF6"/>
    <w:rsid w:val="00076AF6"/>
    <w:rsid w:val="00085CF2"/>
    <w:rsid w:val="000B1705"/>
    <w:rsid w:val="000D75B2"/>
    <w:rsid w:val="000E3433"/>
    <w:rsid w:val="001121F5"/>
    <w:rsid w:val="001400DC"/>
    <w:rsid w:val="00140CE1"/>
    <w:rsid w:val="00157746"/>
    <w:rsid w:val="0017539C"/>
    <w:rsid w:val="00175AC2"/>
    <w:rsid w:val="0017609F"/>
    <w:rsid w:val="00193ADB"/>
    <w:rsid w:val="001A7D1D"/>
    <w:rsid w:val="001B51DD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0BA1"/>
    <w:rsid w:val="002C1C7A"/>
    <w:rsid w:val="002C2496"/>
    <w:rsid w:val="002C54E2"/>
    <w:rsid w:val="0030160F"/>
    <w:rsid w:val="00320223"/>
    <w:rsid w:val="00322D0D"/>
    <w:rsid w:val="0032338F"/>
    <w:rsid w:val="00361465"/>
    <w:rsid w:val="003877F5"/>
    <w:rsid w:val="003942D4"/>
    <w:rsid w:val="003958A8"/>
    <w:rsid w:val="003B5175"/>
    <w:rsid w:val="003C1A50"/>
    <w:rsid w:val="003C2533"/>
    <w:rsid w:val="003D2C90"/>
    <w:rsid w:val="003D5A7F"/>
    <w:rsid w:val="004016E2"/>
    <w:rsid w:val="0040435A"/>
    <w:rsid w:val="00416A24"/>
    <w:rsid w:val="00431D9E"/>
    <w:rsid w:val="00433CE8"/>
    <w:rsid w:val="00434A5C"/>
    <w:rsid w:val="004544D9"/>
    <w:rsid w:val="0046256A"/>
    <w:rsid w:val="004666D2"/>
    <w:rsid w:val="00472BAD"/>
    <w:rsid w:val="00484009"/>
    <w:rsid w:val="004866D1"/>
    <w:rsid w:val="00490E72"/>
    <w:rsid w:val="00491157"/>
    <w:rsid w:val="004921C8"/>
    <w:rsid w:val="00495B0B"/>
    <w:rsid w:val="004A1B8B"/>
    <w:rsid w:val="004A696B"/>
    <w:rsid w:val="004D1851"/>
    <w:rsid w:val="004D599D"/>
    <w:rsid w:val="004E2EA5"/>
    <w:rsid w:val="004E3AEB"/>
    <w:rsid w:val="0050223C"/>
    <w:rsid w:val="005243FF"/>
    <w:rsid w:val="005327D8"/>
    <w:rsid w:val="00547577"/>
    <w:rsid w:val="00563CFB"/>
    <w:rsid w:val="00564FBC"/>
    <w:rsid w:val="005800BC"/>
    <w:rsid w:val="00582442"/>
    <w:rsid w:val="005D3AB8"/>
    <w:rsid w:val="005F3269"/>
    <w:rsid w:val="00623AE3"/>
    <w:rsid w:val="00623C44"/>
    <w:rsid w:val="00636AB5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702DEF"/>
    <w:rsid w:val="00706861"/>
    <w:rsid w:val="00744D0E"/>
    <w:rsid w:val="0075051B"/>
    <w:rsid w:val="00775807"/>
    <w:rsid w:val="00790845"/>
    <w:rsid w:val="00793188"/>
    <w:rsid w:val="00794D34"/>
    <w:rsid w:val="00813E5E"/>
    <w:rsid w:val="0083581B"/>
    <w:rsid w:val="00863874"/>
    <w:rsid w:val="00864AFF"/>
    <w:rsid w:val="00865925"/>
    <w:rsid w:val="00883E36"/>
    <w:rsid w:val="008B4A6A"/>
    <w:rsid w:val="008C2D09"/>
    <w:rsid w:val="008C7E27"/>
    <w:rsid w:val="008D417B"/>
    <w:rsid w:val="008F7448"/>
    <w:rsid w:val="0090147A"/>
    <w:rsid w:val="009173EF"/>
    <w:rsid w:val="00924F74"/>
    <w:rsid w:val="00932906"/>
    <w:rsid w:val="009360C3"/>
    <w:rsid w:val="00961B0B"/>
    <w:rsid w:val="00962D33"/>
    <w:rsid w:val="009B38C3"/>
    <w:rsid w:val="009D6695"/>
    <w:rsid w:val="009E17BD"/>
    <w:rsid w:val="009E485A"/>
    <w:rsid w:val="00A04CEC"/>
    <w:rsid w:val="00A27F92"/>
    <w:rsid w:val="00A32257"/>
    <w:rsid w:val="00A36D20"/>
    <w:rsid w:val="00A514A4"/>
    <w:rsid w:val="00A55622"/>
    <w:rsid w:val="00A6582E"/>
    <w:rsid w:val="00A83502"/>
    <w:rsid w:val="00AC7145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A3113"/>
    <w:rsid w:val="00DB1936"/>
    <w:rsid w:val="00DB384B"/>
    <w:rsid w:val="00DE45AC"/>
    <w:rsid w:val="00DF0189"/>
    <w:rsid w:val="00E06FD5"/>
    <w:rsid w:val="00E10E80"/>
    <w:rsid w:val="00E124F0"/>
    <w:rsid w:val="00E227F3"/>
    <w:rsid w:val="00E23618"/>
    <w:rsid w:val="00E422C0"/>
    <w:rsid w:val="00E545C6"/>
    <w:rsid w:val="00E60F04"/>
    <w:rsid w:val="00E65B24"/>
    <w:rsid w:val="00E8341E"/>
    <w:rsid w:val="00E854E4"/>
    <w:rsid w:val="00E86DBF"/>
    <w:rsid w:val="00EB0D6F"/>
    <w:rsid w:val="00EB2232"/>
    <w:rsid w:val="00EC5337"/>
    <w:rsid w:val="00ED15B1"/>
    <w:rsid w:val="00EE49E8"/>
    <w:rsid w:val="00F16BAB"/>
    <w:rsid w:val="00F17024"/>
    <w:rsid w:val="00F1756C"/>
    <w:rsid w:val="00F2150A"/>
    <w:rsid w:val="00F231D8"/>
    <w:rsid w:val="00F40136"/>
    <w:rsid w:val="00F44C00"/>
    <w:rsid w:val="00F45D2C"/>
    <w:rsid w:val="00F46C5F"/>
    <w:rsid w:val="00F632C0"/>
    <w:rsid w:val="00F67AED"/>
    <w:rsid w:val="00F74710"/>
    <w:rsid w:val="00F94A63"/>
    <w:rsid w:val="00FA1C28"/>
    <w:rsid w:val="00FB1279"/>
    <w:rsid w:val="00FB6B76"/>
    <w:rsid w:val="00FB7596"/>
    <w:rsid w:val="00FD0B1C"/>
    <w:rsid w:val="00FE2248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2C0B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1874"/>
    <w:rPr>
      <w:rFonts w:ascii="Calibri" w:hAnsi="Calibri"/>
      <w:sz w:val="24"/>
      <w:lang w:val="en-GB" w:eastAsia="en-US"/>
    </w:rPr>
  </w:style>
  <w:style w:type="character" w:customStyle="1" w:styleId="ui-provider">
    <w:name w:val="ui-provider"/>
    <w:basedOn w:val="DefaultParagraphFont"/>
    <w:rsid w:val="0046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CL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4</TotalTime>
  <Pages>2</Pages>
  <Words>227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Obsolete Resolutions and Decisions of the ITU Council</vt:lpstr>
    </vt:vector>
  </TitlesOfParts>
  <Manager>General Secretariat - Pool</Manager>
  <Company>International Telecommunication Union (ITU)</Company>
  <LinksUpToDate>false</LinksUpToDate>
  <CharactersWithSpaces>1643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Resolutions and Decisions of the ITU Council</dc:title>
  <dc:subject>Council 2024</dc:subject>
  <dc:creator>author</dc:creator>
  <cp:keywords>C2024, C24, Council-24</cp:keywords>
  <dc:description/>
  <cp:lastModifiedBy>Brouard, Ricarda</cp:lastModifiedBy>
  <cp:revision>6</cp:revision>
  <cp:lastPrinted>2000-07-18T13:30:00Z</cp:lastPrinted>
  <dcterms:created xsi:type="dcterms:W3CDTF">2024-02-23T13:16:00Z</dcterms:created>
  <dcterms:modified xsi:type="dcterms:W3CDTF">2024-04-09T16:33:00Z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