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44B33F2F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55137D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6297DF48" w14:textId="2CF42882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55137D">
              <w:rPr>
                <w:b/>
              </w:rPr>
              <w:t>4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678A5AA8" w:rsidR="00796BD3" w:rsidRPr="00E85629" w:rsidRDefault="0055137D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lang w:val="ru-RU"/>
              </w:rPr>
              <w:t>мая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E15369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3062B77E" w:rsidR="00796BD3" w:rsidRPr="0055137D" w:rsidRDefault="0055137D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55137D">
              <w:rPr>
                <w:rFonts w:cstheme="minorHAnsi"/>
                <w:sz w:val="32"/>
                <w:szCs w:val="32"/>
                <w:lang w:val="ru-RU" w:bidi="ru-RU"/>
              </w:rPr>
              <w:t>РЕЗУЛЬТАТЫ КОНСУЛЬТАЦИЙ ПО ПРЕДЛАГАЕМЫМ МЕРАМ СОВЕРШЕНСТВОВАНИЯ ПОЛНОМОЧНОЙ КОНФЕРЕНЦИИ</w:t>
            </w:r>
          </w:p>
        </w:tc>
      </w:tr>
      <w:tr w:rsidR="00796BD3" w:rsidRPr="00E15369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Назначение (цель)</w:t>
            </w:r>
          </w:p>
          <w:p w14:paraId="0EA9CF00" w14:textId="5F0FEC19" w:rsidR="00796BD3" w:rsidRPr="0055137D" w:rsidRDefault="0055137D" w:rsidP="0055137D">
            <w:pPr>
              <w:rPr>
                <w:lang w:val="ru-RU"/>
              </w:rPr>
            </w:pPr>
            <w:r w:rsidRPr="0055137D">
              <w:rPr>
                <w:lang w:val="ru-RU" w:bidi="ru-RU"/>
              </w:rPr>
              <w:t xml:space="preserve">Совет на сессии 2023 года "предложил секретариату изучить предложения Румынии по совершенствованию процесса проведения конференции, провести консультации с Государствами-Членами относительно возможного совершенствования ПК, включая анализ процедур выборов и руководящих указаний по этическим аспектам, и представить свои выводы Совету-24". В настоящем отчете обобщены материалы, полученные от Государств-Членов по итогам консультаций, начатых в феврале (Документ </w:t>
            </w:r>
            <w:hyperlink r:id="rId7" w:history="1">
              <w:r w:rsidRPr="0055137D">
                <w:rPr>
                  <w:rStyle w:val="Hyperlink"/>
                  <w:lang w:val="ru-RU" w:bidi="ru-RU"/>
                </w:rPr>
                <w:t>CL-24/11</w:t>
              </w:r>
            </w:hyperlink>
            <w:r w:rsidRPr="0055137D">
              <w:rPr>
                <w:lang w:val="ru-RU" w:bidi="ru-RU"/>
              </w:rPr>
              <w:t xml:space="preserve">). </w:t>
            </w:r>
          </w:p>
          <w:p w14:paraId="2376E3C8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646EBAC2" w:rsidR="00796BD3" w:rsidRPr="0055137D" w:rsidRDefault="0055137D" w:rsidP="00E31DCE">
            <w:pPr>
              <w:rPr>
                <w:lang w:val="ru-RU"/>
              </w:rPr>
            </w:pPr>
            <w:r w:rsidRPr="0055137D">
              <w:rPr>
                <w:lang w:val="ru-RU" w:bidi="ru-RU"/>
              </w:rPr>
              <w:t xml:space="preserve">Совету предлагается </w:t>
            </w:r>
            <w:r w:rsidRPr="0055137D">
              <w:rPr>
                <w:b/>
                <w:lang w:val="ru-RU" w:bidi="ru-RU"/>
              </w:rPr>
              <w:t>рассмотреть</w:t>
            </w:r>
            <w:r w:rsidRPr="0055137D">
              <w:rPr>
                <w:lang w:val="ru-RU" w:bidi="ru-RU"/>
              </w:rPr>
              <w:t xml:space="preserve"> настоящий отчет и </w:t>
            </w:r>
            <w:r w:rsidRPr="0055137D">
              <w:rPr>
                <w:b/>
                <w:lang w:val="ru-RU" w:bidi="ru-RU"/>
              </w:rPr>
              <w:t>предложить</w:t>
            </w:r>
            <w:r w:rsidRPr="0055137D">
              <w:rPr>
                <w:lang w:val="ru-RU" w:bidi="ru-RU"/>
              </w:rPr>
              <w:t xml:space="preserve"> варианты дальнейших действий.</w:t>
            </w:r>
          </w:p>
          <w:p w14:paraId="4B76B099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2712FD41" w:rsidR="00796BD3" w:rsidRPr="0055137D" w:rsidRDefault="0055137D" w:rsidP="00E31DCE">
            <w:pPr>
              <w:rPr>
                <w:lang w:val="ru-RU"/>
              </w:rPr>
            </w:pPr>
            <w:r w:rsidRPr="0055137D">
              <w:rPr>
                <w:lang w:val="ru-RU" w:bidi="ru-RU"/>
              </w:rPr>
              <w:t>Платформы для созыва мероприятий.</w:t>
            </w:r>
          </w:p>
          <w:p w14:paraId="0F84FABA" w14:textId="52F306AF" w:rsidR="0055137D" w:rsidRPr="00E15369" w:rsidRDefault="0033025A" w:rsidP="00E31DCE">
            <w:pPr>
              <w:spacing w:before="160"/>
              <w:rPr>
                <w:lang w:val="ru-RU" w:bidi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8C34503" w14:textId="1B5463CA" w:rsidR="00796BD3" w:rsidRPr="0055137D" w:rsidRDefault="0055137D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lang w:val="ru-RU" w:bidi="ru-RU"/>
              </w:rPr>
              <w:t>В рамках выделенного бюджета на 2024–2025 годы.</w:t>
            </w:r>
          </w:p>
          <w:p w14:paraId="763B8351" w14:textId="77777777" w:rsidR="00796BD3" w:rsidRPr="0055137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5137D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55137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0DAE6459" w:rsidR="00796BD3" w:rsidRPr="00E15369" w:rsidRDefault="003C258B" w:rsidP="00E31DCE">
            <w:pPr>
              <w:spacing w:after="160"/>
              <w:rPr>
                <w:lang w:val="ru-RU"/>
              </w:rPr>
            </w:pPr>
            <w:hyperlink r:id="rId8" w:history="1">
              <w:r w:rsidR="0055137D" w:rsidRPr="00771623">
                <w:rPr>
                  <w:rStyle w:val="Hyperlink"/>
                  <w:i/>
                  <w:lang w:val="en-US" w:bidi="ru-RU"/>
                </w:rPr>
                <w:t>B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/75/1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9" w:history="1">
              <w:r w:rsidR="0055137D" w:rsidRPr="00771623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-14/</w:t>
              </w:r>
              <w:r w:rsidR="0055137D" w:rsidRPr="00771623">
                <w:rPr>
                  <w:rStyle w:val="Hyperlink"/>
                  <w:i/>
                  <w:lang w:val="en-US" w:bidi="ru-RU"/>
                </w:rPr>
                <w:t>DT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/66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10" w:history="1">
              <w:r w:rsidR="0055137D" w:rsidRPr="00771623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-14/161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11" w:history="1">
              <w:r w:rsidR="0055137D" w:rsidRPr="00771623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-14/175 (Рекомендация 8)</w:t>
              </w:r>
            </w:hyperlink>
            <w:r w:rsidR="0055137D" w:rsidRPr="0055137D">
              <w:rPr>
                <w:rStyle w:val="Hyperlink"/>
                <w:i/>
                <w:lang w:val="ru-RU" w:bidi="ru-RU"/>
              </w:rPr>
              <w:t xml:space="preserve">, </w:t>
            </w:r>
            <w:hyperlink r:id="rId12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15/4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13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15/99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14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16/4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15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16/120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16" w:history="1">
              <w:r w:rsidR="0055137D" w:rsidRPr="00771623">
                <w:rPr>
                  <w:rStyle w:val="Hyperlink"/>
                  <w:i/>
                  <w:lang w:val="en-US" w:bidi="ru-RU"/>
                </w:rPr>
                <w:t>CL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noBreakHyphen/>
                <w:t>16/48</w:t>
              </w:r>
            </w:hyperlink>
            <w:r w:rsidR="0055137D" w:rsidRPr="0055137D">
              <w:rPr>
                <w:rStyle w:val="Hyperlink"/>
                <w:i/>
                <w:lang w:val="ru-RU" w:bidi="ru-RU"/>
              </w:rPr>
              <w:t>,</w:t>
            </w:r>
            <w:r w:rsidR="0055137D" w:rsidRPr="0055137D">
              <w:rPr>
                <w:i/>
                <w:lang w:val="ru-RU" w:bidi="ru-RU"/>
              </w:rPr>
              <w:t xml:space="preserve"> </w:t>
            </w:r>
            <w:hyperlink r:id="rId17" w:history="1">
              <w:r w:rsidR="0055137D" w:rsidRPr="00771623">
                <w:rPr>
                  <w:rStyle w:val="Hyperlink"/>
                  <w:i/>
                  <w:lang w:val="en-US" w:bidi="ru-RU"/>
                </w:rPr>
                <w:t>CWG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-</w:t>
              </w:r>
              <w:r w:rsidR="0055137D" w:rsidRPr="00771623">
                <w:rPr>
                  <w:rStyle w:val="Hyperlink"/>
                  <w:i/>
                  <w:lang w:val="en-US" w:bidi="ru-RU"/>
                </w:rPr>
                <w:t>FHR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 xml:space="preserve"> 7/10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18" w:history="1">
              <w:r w:rsidR="0055137D" w:rsidRPr="00771623">
                <w:rPr>
                  <w:rStyle w:val="Hyperlink"/>
                  <w:i/>
                  <w:lang w:val="en-US" w:bidi="ru-RU"/>
                </w:rPr>
                <w:t>CL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-17/7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19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17/</w:t>
              </w:r>
              <w:r w:rsidR="0055137D" w:rsidRPr="00771623">
                <w:rPr>
                  <w:rStyle w:val="Hyperlink"/>
                  <w:i/>
                  <w:lang w:val="en-US" w:bidi="ru-RU"/>
                </w:rPr>
                <w:t>INF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/6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0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17/4(</w:t>
              </w:r>
              <w:r w:rsidR="0055137D" w:rsidRPr="00771623">
                <w:rPr>
                  <w:rStyle w:val="Hyperlink"/>
                  <w:i/>
                  <w:lang w:val="en-US" w:bidi="ru-RU"/>
                </w:rPr>
                <w:t>Rev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.1)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1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17/76(</w:t>
              </w:r>
              <w:r w:rsidR="0055137D" w:rsidRPr="00771623">
                <w:rPr>
                  <w:rStyle w:val="Hyperlink"/>
                  <w:i/>
                  <w:lang w:val="en-US" w:bidi="ru-RU"/>
                </w:rPr>
                <w:t>Rev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.1)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2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17/78(</w:t>
              </w:r>
              <w:r w:rsidR="0055137D" w:rsidRPr="00771623">
                <w:rPr>
                  <w:rStyle w:val="Hyperlink"/>
                  <w:i/>
                  <w:lang w:val="en-US" w:bidi="ru-RU"/>
                </w:rPr>
                <w:t>Rev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.2)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3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17/96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4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17/</w:t>
              </w:r>
              <w:r w:rsidR="0055137D" w:rsidRPr="00771623">
                <w:rPr>
                  <w:rStyle w:val="Hyperlink"/>
                  <w:i/>
                  <w:lang w:val="en-US" w:bidi="ru-RU"/>
                </w:rPr>
                <w:t>DL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/8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5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17/130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6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18/5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7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18/50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8" w:history="1">
              <w:r w:rsidR="0055137D" w:rsidRPr="00771623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55137D">
                <w:rPr>
                  <w:rStyle w:val="Hyperlink"/>
                  <w:i/>
                  <w:lang w:val="ru-RU" w:bidi="ru-RU"/>
                </w:rPr>
                <w:t>18/109</w:t>
              </w:r>
            </w:hyperlink>
            <w:r w:rsidR="0055137D" w:rsidRPr="0055137D">
              <w:rPr>
                <w:i/>
                <w:lang w:val="ru-RU" w:bidi="ru-RU"/>
              </w:rPr>
              <w:t xml:space="preserve">, </w:t>
            </w:r>
            <w:hyperlink r:id="rId29" w:history="1">
              <w:r w:rsidR="0055137D" w:rsidRPr="00B06808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-18/31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30" w:history="1">
              <w:r w:rsidR="0055137D" w:rsidRPr="00B06808">
                <w:rPr>
                  <w:rStyle w:val="Hyperlink"/>
                  <w:i/>
                  <w:lang w:val="en-US" w:bidi="ru-RU"/>
                </w:rPr>
                <w:t>IAP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/63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A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1/7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31" w:history="1">
              <w:r w:rsidR="0055137D" w:rsidRPr="00B06808">
                <w:rPr>
                  <w:rStyle w:val="Hyperlink"/>
                  <w:i/>
                  <w:lang w:val="en-US" w:bidi="ru-RU"/>
                </w:rPr>
                <w:t>IAP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/63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A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1/23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32" w:history="1">
              <w:r w:rsidR="0055137D" w:rsidRPr="00B06808">
                <w:rPr>
                  <w:rStyle w:val="Hyperlink"/>
                  <w:i/>
                  <w:lang w:val="en-US" w:bidi="ru-RU"/>
                </w:rPr>
                <w:t>ARG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CAN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CTR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DOM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PRG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S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/68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R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1/1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33" w:history="1">
              <w:r w:rsidR="0055137D" w:rsidRPr="00B06808">
                <w:rPr>
                  <w:rStyle w:val="Hyperlink"/>
                  <w:i/>
                  <w:lang w:val="en-US" w:bidi="ru-RU"/>
                </w:rPr>
                <w:t>AFCP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/55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A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5/1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34" w:history="1">
              <w:r w:rsidR="0055137D" w:rsidRPr="00B06808">
                <w:rPr>
                  <w:rStyle w:val="Hyperlink"/>
                  <w:i/>
                  <w:lang w:val="en-US" w:bidi="ru-RU"/>
                </w:rPr>
                <w:t>ARB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/72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A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1/38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35" w:history="1">
              <w:r w:rsidR="0055137D" w:rsidRPr="00B06808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-18/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DT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/18(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Rev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.1)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36" w:history="1">
              <w:r w:rsidR="0055137D" w:rsidRPr="00B06808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-18/155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37" w:history="1">
              <w:r w:rsidR="0055137D" w:rsidRPr="00B06808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-18/173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38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19/13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39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19/112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40" w:history="1">
              <w:r w:rsidR="0055137D" w:rsidRPr="00B06808">
                <w:rPr>
                  <w:rStyle w:val="Hyperlink"/>
                  <w:i/>
                  <w:lang w:val="en-US" w:bidi="ru-RU"/>
                </w:rPr>
                <w:t>CL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-19/57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41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20/4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42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20/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INF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/8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43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21/4(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Rev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.1)</w:t>
              </w:r>
            </w:hyperlink>
            <w:r w:rsidR="0055137D" w:rsidRPr="00E15369">
              <w:rPr>
                <w:rStyle w:val="Hyperlink"/>
                <w:i/>
                <w:lang w:val="ru-RU" w:bidi="ru-RU"/>
              </w:rPr>
              <w:t xml:space="preserve">, </w:t>
            </w:r>
            <w:hyperlink r:id="rId44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21/86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45" w:history="1">
              <w:r w:rsidR="0055137D" w:rsidRPr="00B06808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-22/40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46" w:history="1">
              <w:r w:rsidR="0055137D" w:rsidRPr="00B06808">
                <w:rPr>
                  <w:rStyle w:val="Hyperlink"/>
                  <w:i/>
                  <w:lang w:val="en-US" w:bidi="ru-RU"/>
                </w:rPr>
                <w:t>RCC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/68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A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17/1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47" w:history="1">
              <w:r w:rsidR="0055137D" w:rsidRPr="00B06808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-22/189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48" w:history="1">
              <w:r w:rsidR="0055137D" w:rsidRPr="00B06808">
                <w:rPr>
                  <w:rStyle w:val="Hyperlink"/>
                  <w:i/>
                  <w:lang w:val="en-US" w:bidi="ru-RU"/>
                </w:rPr>
                <w:t>PP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-22/206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49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23/4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50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23/84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51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23/107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52" w:history="1">
              <w:r w:rsidR="0055137D" w:rsidRPr="00B06808">
                <w:rPr>
                  <w:rStyle w:val="Hyperlink"/>
                  <w:i/>
                  <w:lang w:val="en-US" w:bidi="ru-RU"/>
                </w:rPr>
                <w:t>CL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-24/11</w:t>
              </w:r>
            </w:hyperlink>
            <w:r w:rsidR="0055137D" w:rsidRPr="00E15369">
              <w:rPr>
                <w:i/>
                <w:lang w:val="ru-RU" w:bidi="ru-RU"/>
              </w:rPr>
              <w:t xml:space="preserve">, </w:t>
            </w:r>
            <w:hyperlink r:id="rId53" w:history="1">
              <w:r w:rsidR="0055137D" w:rsidRPr="00B06808">
                <w:rPr>
                  <w:rStyle w:val="Hyperlink"/>
                  <w:i/>
                  <w:lang w:val="en-US" w:bidi="ru-RU"/>
                </w:rPr>
                <w:t>C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24/</w:t>
              </w:r>
              <w:r w:rsidR="0055137D" w:rsidRPr="00B06808">
                <w:rPr>
                  <w:rStyle w:val="Hyperlink"/>
                  <w:i/>
                  <w:lang w:val="en-US" w:bidi="ru-RU"/>
                </w:rPr>
                <w:t>INF</w:t>
              </w:r>
              <w:r w:rsidR="0055137D" w:rsidRPr="00E15369">
                <w:rPr>
                  <w:rStyle w:val="Hyperlink"/>
                  <w:i/>
                  <w:lang w:val="ru-RU" w:bidi="ru-RU"/>
                </w:rPr>
                <w:t>/13</w:t>
              </w:r>
            </w:hyperlink>
          </w:p>
        </w:tc>
      </w:tr>
      <w:bookmarkEnd w:id="2"/>
      <w:bookmarkEnd w:id="6"/>
    </w:tbl>
    <w:p w14:paraId="6EB9976D" w14:textId="77777777" w:rsidR="00796BD3" w:rsidRPr="00E15369" w:rsidRDefault="00796BD3" w:rsidP="00796BD3">
      <w:pPr>
        <w:rPr>
          <w:lang w:val="ru-RU"/>
        </w:rPr>
      </w:pPr>
    </w:p>
    <w:p w14:paraId="60F31B98" w14:textId="77777777" w:rsidR="00165D06" w:rsidRPr="00E15369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15369">
        <w:rPr>
          <w:lang w:val="ru-RU"/>
        </w:rPr>
        <w:br w:type="page"/>
      </w:r>
    </w:p>
    <w:p w14:paraId="24FD3494" w14:textId="77777777" w:rsidR="0055137D" w:rsidRPr="0055137D" w:rsidRDefault="0055137D" w:rsidP="0055137D">
      <w:pPr>
        <w:pStyle w:val="Headingb"/>
        <w:rPr>
          <w:bCs/>
          <w:lang w:val="ru-RU"/>
        </w:rPr>
      </w:pPr>
      <w:r w:rsidRPr="0055137D">
        <w:rPr>
          <w:lang w:val="ru-RU" w:bidi="ru-RU"/>
        </w:rPr>
        <w:lastRenderedPageBreak/>
        <w:t>Базовая информация</w:t>
      </w:r>
    </w:p>
    <w:p w14:paraId="20D6DA39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 xml:space="preserve">ПК-22 на своем </w:t>
      </w:r>
      <w:hyperlink r:id="rId54" w:history="1">
        <w:r w:rsidRPr="0055137D">
          <w:rPr>
            <w:rStyle w:val="Hyperlink"/>
            <w:lang w:val="ru-RU" w:bidi="ru-RU"/>
          </w:rPr>
          <w:t>16-м пленарном заседании</w:t>
        </w:r>
      </w:hyperlink>
      <w:r w:rsidRPr="0055137D">
        <w:rPr>
          <w:lang w:val="ru-RU" w:bidi="ru-RU"/>
        </w:rPr>
        <w:t xml:space="preserve"> приняла </w:t>
      </w:r>
      <w:hyperlink r:id="rId55" w:history="1">
        <w:r w:rsidRPr="0055137D">
          <w:rPr>
            <w:rStyle w:val="Hyperlink"/>
            <w:lang w:val="ru-RU" w:bidi="ru-RU"/>
          </w:rPr>
          <w:t>Рекомендацию 4 Комитета 5</w:t>
        </w:r>
      </w:hyperlink>
      <w:r w:rsidRPr="0055137D">
        <w:rPr>
          <w:lang w:val="ru-RU" w:bidi="ru-RU"/>
        </w:rPr>
        <w:t xml:space="preserve">: </w:t>
      </w:r>
    </w:p>
    <w:p w14:paraId="6D7E88FB" w14:textId="77777777" w:rsidR="0055137D" w:rsidRPr="0055137D" w:rsidRDefault="0055137D" w:rsidP="0055137D">
      <w:pPr>
        <w:ind w:left="567"/>
        <w:rPr>
          <w:lang w:val="ru-RU"/>
        </w:rPr>
      </w:pPr>
      <w:r w:rsidRPr="0055137D">
        <w:rPr>
          <w:lang w:val="ru-RU" w:bidi="ru-RU"/>
        </w:rPr>
        <w:t>"</w:t>
      </w:r>
      <w:r w:rsidRPr="0055137D">
        <w:rPr>
          <w:i/>
          <w:lang w:val="ru-RU" w:bidi="ru-RU"/>
        </w:rPr>
        <w:t>поручить Совету изучить вопрос о проведении предвыборных кампаний и процедур выборов Генерального секретаря, заместителя Генерального секретаря, Директоров Бюро и членов РРК, обеспечив при этом, чтобы все кандидаты имели возможность участвовать в проводимых предвыборных кампаниях в соответствии с принципами справедливости, прозрачности, честности и беспристрастности. Изучение данного вопроса должно быть завершено к окончанию Совета 2024 года, а изменения по данному вопросу, если таковые будут внесены, должны быть реализованы до следующей Полномочной конференции</w:t>
      </w:r>
      <w:r w:rsidRPr="0055137D">
        <w:rPr>
          <w:lang w:val="ru-RU" w:bidi="ru-RU"/>
        </w:rPr>
        <w:t>"</w:t>
      </w:r>
      <w:r w:rsidRPr="0055137D">
        <w:rPr>
          <w:i/>
          <w:lang w:val="ru-RU" w:bidi="ru-RU"/>
        </w:rPr>
        <w:t>.</w:t>
      </w:r>
    </w:p>
    <w:p w14:paraId="2A5A01F1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 xml:space="preserve">Совет на своей сессии в июле 2023 года (Документ </w:t>
      </w:r>
      <w:hyperlink r:id="rId56" w:history="1">
        <w:r w:rsidRPr="0055137D">
          <w:rPr>
            <w:rStyle w:val="Hyperlink"/>
            <w:lang w:bidi="ru-RU"/>
          </w:rPr>
          <w:t>C</w:t>
        </w:r>
        <w:r w:rsidRPr="0055137D">
          <w:rPr>
            <w:rStyle w:val="Hyperlink"/>
            <w:lang w:val="ru-RU" w:bidi="ru-RU"/>
          </w:rPr>
          <w:t>23/107</w:t>
        </w:r>
      </w:hyperlink>
      <w:r w:rsidRPr="0055137D">
        <w:rPr>
          <w:lang w:val="ru-RU" w:bidi="ru-RU"/>
        </w:rPr>
        <w:t xml:space="preserve">, пункт 1.9): </w:t>
      </w:r>
    </w:p>
    <w:p w14:paraId="5A093EA9" w14:textId="59363695" w:rsidR="0055137D" w:rsidRPr="0055137D" w:rsidRDefault="0055137D" w:rsidP="0055137D">
      <w:pPr>
        <w:ind w:left="567"/>
        <w:rPr>
          <w:i/>
          <w:iCs/>
          <w:lang w:val="ru-RU"/>
        </w:rPr>
      </w:pPr>
      <w:r w:rsidRPr="0055137D">
        <w:rPr>
          <w:lang w:val="ru-RU" w:bidi="ru-RU"/>
        </w:rPr>
        <w:t>"</w:t>
      </w:r>
      <w:r w:rsidRPr="0055137D">
        <w:rPr>
          <w:i/>
          <w:lang w:val="ru-RU" w:bidi="ru-RU"/>
        </w:rPr>
        <w:t>предлагает секретариату изучить предложения Румынии по совершенствованию процесса проведения конференции, провести консультации с Государствами-Членами относительно возможного совершенствования ПК, включая анализ процедур выборов и руководящих указаний по этическим аспектам, и представить свои выводы Совету</w:t>
      </w:r>
      <w:r w:rsidR="006867EB" w:rsidRPr="006867EB">
        <w:rPr>
          <w:i/>
          <w:lang w:val="ru-RU" w:bidi="ru-RU"/>
        </w:rPr>
        <w:noBreakHyphen/>
      </w:r>
      <w:r w:rsidRPr="0055137D">
        <w:rPr>
          <w:i/>
          <w:lang w:val="ru-RU" w:bidi="ru-RU"/>
        </w:rPr>
        <w:t>24</w:t>
      </w:r>
      <w:r w:rsidRPr="0055137D">
        <w:rPr>
          <w:lang w:val="ru-RU" w:bidi="ru-RU"/>
        </w:rPr>
        <w:t>"</w:t>
      </w:r>
      <w:r w:rsidRPr="0055137D">
        <w:rPr>
          <w:i/>
          <w:lang w:val="ru-RU" w:bidi="ru-RU"/>
        </w:rPr>
        <w:t>.</w:t>
      </w:r>
    </w:p>
    <w:p w14:paraId="2FB5B781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 xml:space="preserve">В Циркулярном письме </w:t>
      </w:r>
      <w:hyperlink r:id="rId57" w:history="1">
        <w:r w:rsidRPr="0055137D">
          <w:rPr>
            <w:rStyle w:val="Hyperlink"/>
            <w:lang w:bidi="ru-RU"/>
          </w:rPr>
          <w:t>CL</w:t>
        </w:r>
        <w:r w:rsidRPr="0055137D">
          <w:rPr>
            <w:rStyle w:val="Hyperlink"/>
            <w:lang w:val="ru-RU" w:bidi="ru-RU"/>
          </w:rPr>
          <w:t>-24/11</w:t>
        </w:r>
      </w:hyperlink>
      <w:r w:rsidRPr="0055137D">
        <w:rPr>
          <w:lang w:val="ru-RU" w:bidi="ru-RU"/>
        </w:rPr>
        <w:t xml:space="preserve"> Секретариат начал консультации по дальнейшему совершенствованию Полномочной конференции. Было получено 29 ответов, полный текст которых содержится в Документе </w:t>
      </w:r>
      <w:hyperlink r:id="rId58" w:history="1">
        <w:r w:rsidRPr="0055137D">
          <w:rPr>
            <w:rStyle w:val="Hyperlink"/>
            <w:lang w:bidi="ru-RU"/>
          </w:rPr>
          <w:t>C</w:t>
        </w:r>
        <w:r w:rsidRPr="0055137D">
          <w:rPr>
            <w:rStyle w:val="Hyperlink"/>
            <w:lang w:val="ru-RU" w:bidi="ru-RU"/>
          </w:rPr>
          <w:t>24/</w:t>
        </w:r>
        <w:r w:rsidRPr="0055137D">
          <w:rPr>
            <w:rStyle w:val="Hyperlink"/>
            <w:lang w:bidi="ru-RU"/>
          </w:rPr>
          <w:t>INF</w:t>
        </w:r>
        <w:r w:rsidRPr="0055137D">
          <w:rPr>
            <w:rStyle w:val="Hyperlink"/>
            <w:lang w:val="ru-RU" w:bidi="ru-RU"/>
          </w:rPr>
          <w:t>/13</w:t>
        </w:r>
      </w:hyperlink>
      <w:r w:rsidRPr="0055137D">
        <w:rPr>
          <w:lang w:val="ru-RU" w:bidi="ru-RU"/>
        </w:rPr>
        <w:t>. Ниже приведены вопросы и краткое содержание ответов Государств-Членов (ГЧ).</w:t>
      </w:r>
    </w:p>
    <w:p w14:paraId="694DAF18" w14:textId="77777777" w:rsidR="0055137D" w:rsidRPr="0055137D" w:rsidRDefault="0055137D" w:rsidP="0055137D">
      <w:pPr>
        <w:pStyle w:val="Headingb"/>
        <w:rPr>
          <w:bCs/>
          <w:lang w:val="ru-RU"/>
        </w:rPr>
      </w:pPr>
      <w:r w:rsidRPr="0055137D">
        <w:rPr>
          <w:lang w:val="ru-RU" w:bidi="ru-RU"/>
        </w:rPr>
        <w:t>Совершенствование межрегиональной подготовки и участия в конференции</w:t>
      </w:r>
    </w:p>
    <w:p w14:paraId="644326C0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r w:rsidRPr="0055137D">
        <w:rPr>
          <w:i/>
          <w:u w:val="single"/>
          <w:lang w:val="ru-RU" w:bidi="ru-RU"/>
        </w:rPr>
        <w:t>Какие аспекты неофициальных межрегиональных собраний/координационной деятельности можно было бы улучшить?</w:t>
      </w:r>
    </w:p>
    <w:p w14:paraId="7F327753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 xml:space="preserve">В целом Государства-Члены выразили признательность за проведение межрегиональных собраний и осуществление координационной деятельности в преддверии Полномочной конференции (ПК). Они считают эти меры полезными для согласования организационных/административных вопросов, таких как распределение документов и назначение председателей/заместителей председателей комитетов, но их возможности по согласованию более сложных вопросов ограничены, поскольку не все регионы придерживаются одинакового графика подготовки, а региональные координаторы не обязательно уполномочены вести переговоры от имени многих Государств-Членов. Ниже приведены некоторые из основных аспектов: </w:t>
      </w:r>
    </w:p>
    <w:p w14:paraId="4E18BAB7" w14:textId="661EDEB4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можно было бы продолжить применение тематического подхода, начатого в рамках ПК-22, с более четкими задачами для обеспечения целенаправленных обсуждений и заблаговременной рассылкой, чтобы Государства-Члены могли подготовиться;</w:t>
      </w:r>
    </w:p>
    <w:p w14:paraId="25BFD938" w14:textId="0117C38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график следует составлять заблаговременно, а собрания следует проводить несколько раз в течение года до начала конференции;</w:t>
      </w:r>
    </w:p>
    <w:p w14:paraId="4BFD11E9" w14:textId="07B4ABAC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поддерживать смешанный/виртуальный режим для обеспечения максимального участия, при этом следует учитывать, что очные собрания позволяют проводить обмен мнениями в менее официальном формате;</w:t>
      </w:r>
    </w:p>
    <w:p w14:paraId="46A4E5F2" w14:textId="392A9D9C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поощрять более активный диалог между региональными координаторами; МСЭ мог бы составлять подборку контактной информации и делиться ею;</w:t>
      </w:r>
    </w:p>
    <w:p w14:paraId="3F1647A3" w14:textId="32ED2A8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призывать ГЧ/региональные организации электросвязи (РОЭ) представлять свои позиции/вклады на более раннем этапе.</w:t>
      </w:r>
    </w:p>
    <w:p w14:paraId="54C70012" w14:textId="77777777" w:rsidR="0055137D" w:rsidRPr="0055137D" w:rsidRDefault="0055137D" w:rsidP="006867EB">
      <w:pPr>
        <w:keepNext/>
        <w:rPr>
          <w:i/>
          <w:iCs/>
          <w:u w:val="single"/>
          <w:lang w:val="ru-RU"/>
        </w:rPr>
      </w:pPr>
      <w:bookmarkStart w:id="7" w:name="_Hlk164847149"/>
      <w:r w:rsidRPr="0055137D">
        <w:rPr>
          <w:i/>
          <w:iCs/>
          <w:u w:val="single"/>
          <w:lang w:val="ru-RU" w:bidi="ru-RU"/>
        </w:rPr>
        <w:lastRenderedPageBreak/>
        <w:t>Есть ли у вас предложения по подготовке/обучению делегатов и работников конференции?</w:t>
      </w:r>
      <w:bookmarkEnd w:id="7"/>
    </w:p>
    <w:p w14:paraId="715A93CB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В целом в предложениях подчеркивается важность комплексных, доступных и интерактивных программ обучения, чтобы вооружить новых участников, делегатов и должностных лиц конференции знаниями, навыками и уверенностью, необходимыми для эффективного участия в полномочных конференциях.</w:t>
      </w:r>
    </w:p>
    <w:p w14:paraId="3AE4CA1C" w14:textId="1219144D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Онлайновые курсы подготовки/семинары-практикумы/презентации, созданные и распространенные заблаговременно, по следующим темам: задачи ПК, методы ведения переговоров, процедуры, сроки, функции делегатов, кодекс поведения/этики, составление Резолюций, административные процессы и процедуры, полномочия, что ожидать на ПК, процедуры выборов, правила процедуры, сессия для новых участников/вводные видеоматериалы;</w:t>
      </w:r>
    </w:p>
    <w:p w14:paraId="762A5548" w14:textId="672C9B12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наставничество/приглашение бывших должностных лиц и делегатов конференции поделиться своим опытом и знаниями;</w:t>
      </w:r>
    </w:p>
    <w:p w14:paraId="5116A570" w14:textId="3545FE39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организация подготовки на базе Академии МСЭ;</w:t>
      </w:r>
    </w:p>
    <w:p w14:paraId="6CD5A44F" w14:textId="59368DC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виртуальные тематические брифинги по аналогии с брифингами для Совета;</w:t>
      </w:r>
    </w:p>
    <w:p w14:paraId="5B0D56BF" w14:textId="1CE9C032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использование региональных отделений для достижения вышеупомянутых целей.</w:t>
      </w:r>
    </w:p>
    <w:p w14:paraId="29C5B488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8" w:name="_Hlk164847228"/>
      <w:r w:rsidRPr="0055137D">
        <w:rPr>
          <w:i/>
          <w:iCs/>
          <w:u w:val="single"/>
          <w:lang w:val="ru-RU" w:bidi="ru-RU"/>
        </w:rPr>
        <w:t>Есть ли у вас предложения по улучшению и сокращению размера вкладов?</w:t>
      </w:r>
    </w:p>
    <w:bookmarkEnd w:id="8"/>
    <w:p w14:paraId="20AB8266" w14:textId="589D9BD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 xml:space="preserve">Большинство Государств-Членов поддержали бы короткие, лаконичные вклады, но при этом следует отметить, что большинство вкладов представляются для внесения изменений в существующие документы, поэтому их объем зависит от исходного документа. Тем не менее имеется общее согласие относительно того, что Государствам-Членам следует рекомендовать использовать формат резюме, максимально ограничивать количество страниц, использовать интерфейс </w:t>
      </w:r>
      <w:r w:rsidRPr="0055137D">
        <w:rPr>
          <w:lang w:bidi="ru-RU"/>
        </w:rPr>
        <w:t>CPI</w:t>
      </w:r>
      <w:r w:rsidRPr="0055137D">
        <w:rPr>
          <w:lang w:val="ru-RU" w:bidi="ru-RU"/>
        </w:rPr>
        <w:t xml:space="preserve"> и представлять вклады от нескольких стран, чтобы избежать дублирования во вкладах отдельных Государств-Членов. Помочь Государствам-Членам в этих усилиях также могла бы вышеупомянутая подготовка по составлению </w:t>
      </w:r>
      <w:r w:rsidR="006867EB">
        <w:rPr>
          <w:lang w:val="ru-RU" w:bidi="ru-RU"/>
        </w:rPr>
        <w:t>р</w:t>
      </w:r>
      <w:r w:rsidRPr="0055137D">
        <w:rPr>
          <w:lang w:val="ru-RU" w:bidi="ru-RU"/>
        </w:rPr>
        <w:t xml:space="preserve">езолюций. </w:t>
      </w:r>
    </w:p>
    <w:p w14:paraId="6EB65759" w14:textId="40C52442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9" w:name="_Hlk164847462"/>
      <w:r w:rsidRPr="0055137D">
        <w:rPr>
          <w:i/>
          <w:iCs/>
          <w:u w:val="single"/>
          <w:lang w:val="ru-RU" w:bidi="ru-RU"/>
        </w:rPr>
        <w:t xml:space="preserve">Есть ли у вас предложения по упорядочению </w:t>
      </w:r>
      <w:r w:rsidR="006867EB">
        <w:rPr>
          <w:i/>
          <w:iCs/>
          <w:u w:val="single"/>
          <w:lang w:val="ru-RU" w:bidi="ru-RU"/>
        </w:rPr>
        <w:t>р</w:t>
      </w:r>
      <w:r w:rsidRPr="0055137D">
        <w:rPr>
          <w:i/>
          <w:iCs/>
          <w:u w:val="single"/>
          <w:lang w:val="ru-RU" w:bidi="ru-RU"/>
        </w:rPr>
        <w:t>езолюций?</w:t>
      </w:r>
    </w:p>
    <w:bookmarkEnd w:id="9"/>
    <w:p w14:paraId="6441D86E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В целом в предложениях подчеркивается необходимость сотрудничества, совершенствования процедур, наращивания потенциала и повышения осведомленности для эффективного упорядочения Резолюций. Некоторые Государства-Члены отметили, что Резолюции ПК должны иметь преимущественную силу по сравнению с Резолюциями других конференций и что этим конференциям следует в первую очередь обращаться к Резолюциям ПК, прежде чем создавать аналогичные Резолюции. В этом вопросе также мог бы помочь вышеупомянутый курс подготовки по составлению Резолюций. В частности, предлагается:</w:t>
      </w:r>
    </w:p>
    <w:p w14:paraId="4D18F1C4" w14:textId="585A147A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использовать результаты работы по сопоставлению всех Резолюций (Секторов и ПК), проведенной до ПК-22;</w:t>
      </w:r>
    </w:p>
    <w:p w14:paraId="50FFC511" w14:textId="12D0667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призывать заблаговременно представлять вклады и включать в повестку дня собраний постоянные пункты, посвященные упорядочению Резолюций;</w:t>
      </w:r>
    </w:p>
    <w:p w14:paraId="7F380758" w14:textId="5FF7840C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организовывать семинары-практикумы и проекты по обучению упорядочению формулировок для Государств-Членов;</w:t>
      </w:r>
    </w:p>
    <w:p w14:paraId="237EC9EF" w14:textId="3591AFA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создавать группы или рабочие группы, работающие по переписке, для пересмотра и объединения Резолюций;</w:t>
      </w:r>
    </w:p>
    <w:p w14:paraId="52159F2E" w14:textId="310B8337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углублять понимание преимуществ упорядочения за счет межрегиональной координации.</w:t>
      </w:r>
    </w:p>
    <w:p w14:paraId="22887AE2" w14:textId="77777777" w:rsidR="0055137D" w:rsidRPr="0055137D" w:rsidRDefault="0055137D" w:rsidP="006867EB">
      <w:pPr>
        <w:keepNext/>
        <w:rPr>
          <w:i/>
          <w:iCs/>
          <w:u w:val="single"/>
          <w:lang w:val="ru-RU"/>
        </w:rPr>
      </w:pPr>
      <w:bookmarkStart w:id="10" w:name="_Hlk164847524"/>
      <w:r w:rsidRPr="0055137D">
        <w:rPr>
          <w:i/>
          <w:iCs/>
          <w:u w:val="single"/>
          <w:lang w:val="ru-RU" w:bidi="ru-RU"/>
        </w:rPr>
        <w:lastRenderedPageBreak/>
        <w:t xml:space="preserve">Считаете ли вы, что было бы полезно проводить оценку финансовых последствий предложений до их окончательного утверждения конференцией? Если да, то каков может быть механизм? </w:t>
      </w:r>
      <w:bookmarkEnd w:id="10"/>
    </w:p>
    <w:p w14:paraId="68DEFB67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Многие респонденты считают оценку финансовых последствий предложений до их окончательного утверждения полезной и даже обязательной. Как справедливо отмечают некоторые Государства-Члены, в соответствии с пп. 71 и 73 Общего регламента и Статьей 34 Конвенции эта задача входит в компетенцию Комитета по бюджетному контролю. Предлагается:</w:t>
      </w:r>
    </w:p>
    <w:p w14:paraId="4D5F8D50" w14:textId="26C6372F" w:rsidR="0055137D" w:rsidRPr="0055137D" w:rsidRDefault="0055137D" w:rsidP="0055137D">
      <w:pPr>
        <w:pStyle w:val="enumlev1"/>
        <w:rPr>
          <w:rStyle w:val="EndnoteReference"/>
          <w:vertAlign w:val="baseline"/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55137D">
        <w:rPr>
          <w:rStyle w:val="EndnoteReference"/>
          <w:vertAlign w:val="baseline"/>
          <w:lang w:val="ru-RU" w:bidi="ru-RU"/>
        </w:rPr>
        <w:t>задействовать такие комитеты, как Комитет по бюджетному контролю или РГС-ФЛР;</w:t>
      </w:r>
    </w:p>
    <w:p w14:paraId="65BD094E" w14:textId="1D3FC6D1" w:rsidR="0055137D" w:rsidRPr="0055137D" w:rsidRDefault="0055137D" w:rsidP="0055137D">
      <w:pPr>
        <w:pStyle w:val="enumlev1"/>
        <w:rPr>
          <w:rStyle w:val="EndnoteReference"/>
          <w:vertAlign w:val="baseline"/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55137D">
        <w:rPr>
          <w:rStyle w:val="EndnoteReference"/>
          <w:vertAlign w:val="baseline"/>
          <w:lang w:val="ru-RU" w:bidi="ru-RU"/>
        </w:rPr>
        <w:t>включать финансовые аспекты в представления, как это было сделано для Совета;</w:t>
      </w:r>
    </w:p>
    <w:p w14:paraId="201AEDF9" w14:textId="32BAF101" w:rsidR="0055137D" w:rsidRPr="0055137D" w:rsidRDefault="0055137D" w:rsidP="0055137D">
      <w:pPr>
        <w:pStyle w:val="enumlev1"/>
        <w:rPr>
          <w:rStyle w:val="EndnoteReference"/>
          <w:vertAlign w:val="baseline"/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55137D">
        <w:rPr>
          <w:rStyle w:val="EndnoteReference"/>
          <w:vertAlign w:val="baseline"/>
          <w:lang w:val="ru-RU" w:bidi="ru-RU"/>
        </w:rPr>
        <w:t>учитывать некоторые опасения по поводу задержек и сложностей при оценке;</w:t>
      </w:r>
    </w:p>
    <w:p w14:paraId="44282DDE" w14:textId="48BC8C3A" w:rsidR="0055137D" w:rsidRPr="0055137D" w:rsidRDefault="0055137D" w:rsidP="0055137D">
      <w:pPr>
        <w:pStyle w:val="enumlev1"/>
        <w:rPr>
          <w:rStyle w:val="EndnoteReference"/>
          <w:vertAlign w:val="baseline"/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55137D">
        <w:rPr>
          <w:rStyle w:val="EndnoteReference"/>
          <w:vertAlign w:val="baseline"/>
          <w:lang w:val="ru-RU" w:bidi="ru-RU"/>
        </w:rPr>
        <w:t>учитывая разнообразие предложений, особое внимание следует уделять практичности и выполнимости;</w:t>
      </w:r>
    </w:p>
    <w:p w14:paraId="54747144" w14:textId="045C773F" w:rsidR="0055137D" w:rsidRPr="0055137D" w:rsidRDefault="0055137D" w:rsidP="0055137D">
      <w:pPr>
        <w:pStyle w:val="enumlev1"/>
        <w:rPr>
          <w:rStyle w:val="EndnoteReference"/>
          <w:vertAlign w:val="baseline"/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55137D">
        <w:rPr>
          <w:rStyle w:val="EndnoteReference"/>
          <w:vertAlign w:val="baseline"/>
          <w:lang w:val="ru-RU" w:bidi="ru-RU"/>
        </w:rPr>
        <w:t>учитывать обеспокоенность, выраженную некоторыми Государствами-Членами по поводу того, что это может помешать реализации творческого потенциала;</w:t>
      </w:r>
    </w:p>
    <w:p w14:paraId="122A32D2" w14:textId="6A576E1F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55137D">
        <w:rPr>
          <w:rStyle w:val="EndnoteReference"/>
          <w:vertAlign w:val="baseline"/>
          <w:lang w:val="ru-RU" w:bidi="ru-RU"/>
        </w:rPr>
        <w:t>в том числе</w:t>
      </w:r>
      <w:r w:rsidRPr="0055137D">
        <w:rPr>
          <w:lang w:val="ru-RU" w:bidi="ru-RU"/>
        </w:rPr>
        <w:t>, перенести рассмотрение предложений на будущее.</w:t>
      </w:r>
    </w:p>
    <w:p w14:paraId="77EC5217" w14:textId="77777777" w:rsidR="0055137D" w:rsidRPr="0055137D" w:rsidRDefault="0055137D" w:rsidP="0055137D">
      <w:pPr>
        <w:pStyle w:val="Headingb"/>
        <w:rPr>
          <w:bCs/>
          <w:lang w:val="ru-RU"/>
        </w:rPr>
      </w:pPr>
      <w:r w:rsidRPr="0055137D">
        <w:rPr>
          <w:lang w:val="ru-RU" w:bidi="ru-RU"/>
        </w:rPr>
        <w:t>Совершенствование инклюзивного участия</w:t>
      </w:r>
    </w:p>
    <w:p w14:paraId="40163836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11" w:name="_Hlk164848200"/>
      <w:r w:rsidRPr="0055137D">
        <w:rPr>
          <w:i/>
          <w:iCs/>
          <w:u w:val="single"/>
          <w:lang w:val="ru-RU" w:bidi="ru-RU"/>
        </w:rPr>
        <w:t>Какие меры могут использоваться для дальнейшего совершенствования вовлечения и участия женщин в конференции, в том числе на руководящих должностях (председатель, заместитель председателя)?</w:t>
      </w:r>
    </w:p>
    <w:p w14:paraId="2F775333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В целом ответы свидетельствуют о необходимости многогранного подхода, включающего финансовую поддержку, профессиональную подготовку, повышение осведомленности и политические меры для поощрения более широкого участия женщин на руководящих должностях на конференции.</w:t>
      </w:r>
    </w:p>
    <w:p w14:paraId="0FBF8E5E" w14:textId="674A76BD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Предоставлять стипендии, спонсорскую поддержку и гранты;</w:t>
      </w:r>
    </w:p>
    <w:p w14:paraId="42C56086" w14:textId="2EBA2D3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обеспечивать наставничество, обучение и мероприятия по повышению осведомленности;</w:t>
      </w:r>
    </w:p>
    <w:p w14:paraId="2914CD3F" w14:textId="3764864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установить квоты или минимальные процентные доли женщин на руководящих должностях;</w:t>
      </w:r>
    </w:p>
    <w:p w14:paraId="1E12B830" w14:textId="2680CEC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предоставлять гранты на поездки, присуждать награды и обеспечивать признание;</w:t>
      </w:r>
    </w:p>
    <w:p w14:paraId="4F30DC28" w14:textId="36887DF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формировать специальные группы и комитеты;</w:t>
      </w:r>
    </w:p>
    <w:p w14:paraId="207AD8C1" w14:textId="2D55E50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содействовать созданию безопасной и инклюзивной среды;</w:t>
      </w:r>
    </w:p>
    <w:p w14:paraId="23DA1F02" w14:textId="5340AF30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повышать наглядность деятельности женщин, являющихся примерами для подражания;</w:t>
      </w:r>
    </w:p>
    <w:p w14:paraId="01E460BA" w14:textId="738D9642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расширять права и возможности женщин с помощью обучения и формирования сетей поддержки;</w:t>
      </w:r>
    </w:p>
    <w:p w14:paraId="315F809C" w14:textId="19CA494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оценивать процессы и обеспечивать гендерный паритет.</w:t>
      </w:r>
    </w:p>
    <w:p w14:paraId="37D5ADA0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12" w:name="_Hlk164848657"/>
      <w:bookmarkEnd w:id="11"/>
      <w:r w:rsidRPr="0055137D">
        <w:rPr>
          <w:i/>
          <w:iCs/>
          <w:u w:val="single"/>
          <w:lang w:val="ru-RU" w:bidi="ru-RU"/>
        </w:rPr>
        <w:t>Как регионы, а также инициативы "Сеть женщин" в рамках МСЭ могли бы стимулировать и вовлекать больше женщин в работу ПК?</w:t>
      </w:r>
      <w:bookmarkEnd w:id="12"/>
    </w:p>
    <w:p w14:paraId="1B72B283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 xml:space="preserve">Как и в предыдущем вопросе, для поощрения и вовлечения большего числа женщин в работу ПК необходимо сочетание финансовой поддержки, обучения, возможностей для налаживания контактов и мероприятий по повышению осведомленности. Решающее значение для достижения успеха также имеет сотрудничество с Государствами-Членами, региональными организациями и сетями женщин. </w:t>
      </w:r>
    </w:p>
    <w:p w14:paraId="1A3707D6" w14:textId="6AD1F02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lastRenderedPageBreak/>
        <w:t>•</w:t>
      </w:r>
      <w:r w:rsidRPr="0055137D">
        <w:rPr>
          <w:lang w:val="ru-RU" w:bidi="ru-RU"/>
        </w:rPr>
        <w:tab/>
        <w:t>Предоставлять стипендии и гранты для женщин-участниц;</w:t>
      </w:r>
    </w:p>
    <w:p w14:paraId="4C3451B7" w14:textId="12F78C9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поощрять администрации к привлечению женщин на организационном уровне на ранних этапах;</w:t>
      </w:r>
    </w:p>
    <w:p w14:paraId="0E2FC36F" w14:textId="3DD90207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предварительно планировать проведение широкомасштабного мероприятия в рамках "Сетей женщин" МСЭ в качестве сопутствующего мероприятия для демонстрации достижений;</w:t>
      </w:r>
    </w:p>
    <w:p w14:paraId="596926A8" w14:textId="492F8E79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содействовать межрегиональным обменам между "Сетями женщин";</w:t>
      </w:r>
    </w:p>
    <w:p w14:paraId="31FCD0C0" w14:textId="4079A02F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отделить деятельность "Сети женщин" от конференций для обеспечения повседневного участия;</w:t>
      </w:r>
    </w:p>
    <w:p w14:paraId="4AE127CC" w14:textId="1502F7F4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организовывать обучение и семинары-практикумы для женщин на ранних этапах подготовки к мероприятию;</w:t>
      </w:r>
    </w:p>
    <w:p w14:paraId="3AC092FA" w14:textId="2DEF0D0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поощрять региональные группы к расширению участия женщин;</w:t>
      </w:r>
    </w:p>
    <w:p w14:paraId="08D360CF" w14:textId="46D49B84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включать цели по</w:t>
      </w:r>
      <w:r w:rsidRPr="0055137D">
        <w:rPr>
          <w:lang w:val="ru-RU"/>
        </w:rPr>
        <w:t xml:space="preserve"> </w:t>
      </w:r>
      <w:r w:rsidRPr="0055137D">
        <w:rPr>
          <w:lang w:val="ru-RU" w:bidi="ru-RU"/>
        </w:rPr>
        <w:t>вовлеченности представителей различных гендеров в повестку дня сессии Совета;</w:t>
      </w:r>
    </w:p>
    <w:p w14:paraId="30358C77" w14:textId="655EF117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создавать программы наставничества для женщин, заинтересованных в руководящих функциях;</w:t>
      </w:r>
    </w:p>
    <w:p w14:paraId="115A6B9A" w14:textId="0653ECE8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проводить мероприятия, посвященные женщинам, параллельно с конференцией;</w:t>
      </w:r>
    </w:p>
    <w:p w14:paraId="54DEB987" w14:textId="5CB422D2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обеспечивать бóльшую доступность программ наставничества и стипендий.</w:t>
      </w:r>
    </w:p>
    <w:p w14:paraId="7F804DED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13" w:name="_Hlk164849396"/>
      <w:r w:rsidRPr="0055137D">
        <w:rPr>
          <w:i/>
          <w:iCs/>
          <w:u w:val="single"/>
          <w:lang w:val="ru-RU" w:bidi="ru-RU"/>
        </w:rPr>
        <w:t>Какие возможности могут предоставить МСЭ и/или Государства-Члены для более активного вовлечения молодых делегатов в работу ПК?</w:t>
      </w:r>
    </w:p>
    <w:bookmarkEnd w:id="13"/>
    <w:p w14:paraId="783A6DC9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В целом ответы подчеркивают важность предоставления возможностей, поддержки и платформ для молодых делегатов, чтобы они могли активно участвовать в работе ПК, высказывать свою точку зрения и приобретать ценный опыт в работе МСЭ. Государства-Члены должны играть важную роль в этой инициативе, включая молодых людей в состав своих делегаций и поручая им ответственные задания.</w:t>
      </w:r>
    </w:p>
    <w:p w14:paraId="7492BF69" w14:textId="0BC746C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Создавать программы подготовки делегатов из числа молодежи, обеспечивать стипендии и стажировки;</w:t>
      </w:r>
    </w:p>
    <w:p w14:paraId="3CC6280A" w14:textId="76F21348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повышать осведомленность об инициативе "Поколение подключений";</w:t>
      </w:r>
    </w:p>
    <w:p w14:paraId="18FADC14" w14:textId="3FDAA1B3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создавать программы наставничества и объединять молодых делегатов с опытными коллегами;</w:t>
      </w:r>
    </w:p>
    <w:p w14:paraId="6AD9B9F0" w14:textId="417A234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организовывать специальные сессии и форумы, посвященные молодым делегатам;</w:t>
      </w:r>
    </w:p>
    <w:p w14:paraId="3DBF21C0" w14:textId="05A806B4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консультироваться с молодежью по вопросам, касающимся молодых поколений.</w:t>
      </w:r>
    </w:p>
    <w:p w14:paraId="687E9C70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14" w:name="_Hlk164849950"/>
      <w:r w:rsidRPr="0055137D">
        <w:rPr>
          <w:i/>
          <w:iCs/>
          <w:u w:val="single"/>
          <w:lang w:val="ru-RU" w:bidi="ru-RU"/>
        </w:rPr>
        <w:t>Как можно обеспечить эффективную передачу знаний и опыта следующему поколению делегатов МСЭ при одновременном улучшении гендерного баланса?</w:t>
      </w:r>
    </w:p>
    <w:bookmarkEnd w:id="14"/>
    <w:p w14:paraId="5C445EC9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В целом в ответах подчеркивается важность структурированных инициатив по передаче знаний, цифровых платформ для обмена информацией, планирования преемственности, программ наставничества и сотрудничества с Государствами-Членами для обеспечения эффективной передачи знаний и опыта следующему поколению делегатов МСЭ при уделении особого внимания достижению лучшего гендерного баланса. И в этом случае большая часть усилий ложится на Государства-Члены, которые формируют свои делегации. В частности, предлагается:</w:t>
      </w:r>
    </w:p>
    <w:p w14:paraId="45F526A7" w14:textId="2BF9717C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реализовывать структурированные инициативы по передаче знаний;</w:t>
      </w:r>
    </w:p>
    <w:p w14:paraId="68D8A224" w14:textId="1B836D2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разрабатывать цифровые платформы для обмена информацией;</w:t>
      </w:r>
    </w:p>
    <w:p w14:paraId="59D1383C" w14:textId="1BFE3E9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развивать стратегии планирования преемственности;</w:t>
      </w:r>
    </w:p>
    <w:p w14:paraId="4A674AFC" w14:textId="03B4ECA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lastRenderedPageBreak/>
        <w:t>•</w:t>
      </w:r>
      <w:r w:rsidRPr="0055137D">
        <w:rPr>
          <w:lang w:val="ru-RU" w:bidi="ru-RU"/>
        </w:rPr>
        <w:tab/>
        <w:t>содействовать развитию программ наставничества;</w:t>
      </w:r>
    </w:p>
    <w:p w14:paraId="77B482AE" w14:textId="4EE74717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поощрять сотрудничество между Государствами-Членами и секретариатом.</w:t>
      </w:r>
    </w:p>
    <w:p w14:paraId="630644F2" w14:textId="77777777" w:rsidR="0055137D" w:rsidRPr="0055137D" w:rsidRDefault="0055137D" w:rsidP="0055137D">
      <w:pPr>
        <w:pStyle w:val="Headingb"/>
        <w:rPr>
          <w:bCs/>
          <w:lang w:val="ru-RU"/>
        </w:rPr>
      </w:pPr>
      <w:r w:rsidRPr="0055137D">
        <w:rPr>
          <w:lang w:val="ru-RU" w:bidi="ru-RU"/>
        </w:rPr>
        <w:t>Осуществление повестки дня МСЭ по экологизации ПК</w:t>
      </w:r>
    </w:p>
    <w:p w14:paraId="028FDBF3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15" w:name="_Hlk164850545"/>
      <w:r w:rsidRPr="0055137D">
        <w:rPr>
          <w:i/>
          <w:iCs/>
          <w:u w:val="single"/>
          <w:lang w:val="ru-RU" w:bidi="ru-RU"/>
        </w:rPr>
        <w:t>Есть ли у вас предложения касательно того, как сделать, чтобы конференция в большей степени соответствовала требованиям устойчивости?</w:t>
      </w:r>
    </w:p>
    <w:bookmarkEnd w:id="15"/>
    <w:p w14:paraId="63F59932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Государства-Члены высоко оценили усилия, предпринятые на ПК-22, и предложили следующие меры, чтобы и впредь конференции МСЭ в большей степени соответствовали требованиям устойчивости и социальной ответственности:</w:t>
      </w:r>
    </w:p>
    <w:p w14:paraId="6002FB8A" w14:textId="06B4CC14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включать презентации и обсуждения по вопросам устойчивого развития в процесс подготовки;</w:t>
      </w:r>
    </w:p>
    <w:p w14:paraId="6D78CEF2" w14:textId="6105D75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включать требования по устойчивому развитию в соглашения с принимающей страной;</w:t>
      </w:r>
    </w:p>
    <w:p w14:paraId="4EA816BE" w14:textId="3823B1D3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выбирать экологичные площадки, которые оснащены возобновляемыми источниками энергии и оборудованием для переработки отходов, а также на которых обеспечена доступность;</w:t>
      </w:r>
    </w:p>
    <w:p w14:paraId="217D688B" w14:textId="4C69B77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выступать за экологически чистые виды транспорта и сокращение выбросов при авиаперелетах;</w:t>
      </w:r>
    </w:p>
    <w:p w14:paraId="63205717" w14:textId="0EB0BCA2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предлагать варианты дистанционного участия, чтобы расширить круг участников, сократить расходы и свести к минимуму выбросы, связанные с поездками;</w:t>
      </w:r>
    </w:p>
    <w:p w14:paraId="6AB9E8D7" w14:textId="2D414940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разрабатывать цифровые решения, такие как мобильные приложения и цифровая документация, чтобы свести к минимуму использование бумаги;</w:t>
      </w:r>
    </w:p>
    <w:p w14:paraId="792677FD" w14:textId="3CA3F125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внедрять устойчивые методы, такие как переработка, минимизация отходов и использование возобновляемых источников энергии;</w:t>
      </w:r>
    </w:p>
    <w:p w14:paraId="53D616BA" w14:textId="7866EA8F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поощрять использование многоразовых материалов и экологически чистых сувениров;</w:t>
      </w:r>
    </w:p>
    <w:p w14:paraId="5732B41D" w14:textId="1F417327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сотрудничать с местными организациями в области устойчивого развития;</w:t>
      </w:r>
    </w:p>
    <w:p w14:paraId="4F348E82" w14:textId="2CEB54B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поощрять экологически чистые закупки и продукцию местного производства;</w:t>
      </w:r>
    </w:p>
    <w:p w14:paraId="2E4BE021" w14:textId="5B1ED1F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отказаться от работы в позднее время суток и в выходные дни, чтобы повысить энергоэффективность;</w:t>
      </w:r>
    </w:p>
    <w:p w14:paraId="2FE20FBB" w14:textId="486AD65D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поощрять принимающую страну к безвозмездной передаче или переработке остатков продуктов питания, материалов и оборудования.</w:t>
      </w:r>
    </w:p>
    <w:p w14:paraId="0E824630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r w:rsidRPr="0055137D">
        <w:rPr>
          <w:i/>
          <w:u w:val="single"/>
          <w:lang w:val="ru-RU" w:bidi="ru-RU"/>
        </w:rPr>
        <w:t>Как секретариат мог бы помочь делегатам до и во время конференции соблюдать принципы устойчивого развития?</w:t>
      </w:r>
    </w:p>
    <w:p w14:paraId="36CB5D54" w14:textId="1CF5C9CA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Предоставлять Государствам-Членам и делегатам всеобъемлющие руководящие указания и ресурсы до начала конференции, а также проводить специальные обучающие сессии;</w:t>
      </w:r>
    </w:p>
    <w:p w14:paraId="32C83AB4" w14:textId="1C4B1889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использовать веб-сайт или мобильное приложение, чтобы узнать, какие шаги необходимо предпринять;</w:t>
      </w:r>
    </w:p>
    <w:p w14:paraId="4680E767" w14:textId="07F9048F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разработать руководство для стран, принимающих ПК;</w:t>
      </w:r>
    </w:p>
    <w:p w14:paraId="5A3A365B" w14:textId="77308BA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просить Государства-Члены, которые являются кандидатами/имеют кандидатов, делать акцент на устойчивом развитии в своих кампаниях.</w:t>
      </w:r>
    </w:p>
    <w:p w14:paraId="06441608" w14:textId="77777777" w:rsidR="0055137D" w:rsidRPr="0055137D" w:rsidRDefault="0055137D" w:rsidP="0055137D">
      <w:pPr>
        <w:pStyle w:val="Headingb"/>
        <w:rPr>
          <w:bCs/>
          <w:lang w:val="ru-RU"/>
        </w:rPr>
      </w:pPr>
      <w:r w:rsidRPr="0055137D">
        <w:rPr>
          <w:lang w:val="ru-RU" w:bidi="ru-RU"/>
        </w:rPr>
        <w:t>Улучшение опыта делегатов</w:t>
      </w:r>
    </w:p>
    <w:p w14:paraId="7D0DE3A1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16" w:name="_Hlk164852065"/>
      <w:r w:rsidRPr="0055137D">
        <w:rPr>
          <w:i/>
          <w:iCs/>
          <w:u w:val="single"/>
          <w:lang w:val="ru-RU" w:bidi="ru-RU"/>
        </w:rPr>
        <w:t>Есть ли у вас какие-либо предложения по совершенствованию распределения времени/рабочих процедур/методов работы комитетов?</w:t>
      </w:r>
    </w:p>
    <w:bookmarkEnd w:id="16"/>
    <w:p w14:paraId="18E29692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lastRenderedPageBreak/>
        <w:t>На этот вопрос Государства-Члены неоднократно отвечали о необходимости отказа от работы в течение многих часов, работы в ночные часы и проведения сессий в выходные дни, что стало положительным примером, поданным на ПК-22, и должно стать целью будущих ПК. Кроме того, часто упоминались ограничения по времени, будь то касающиеся отдельных выступлений или ряда обсуждений либо специальных групп. Для совершенствования управления временем и рабочих процедур на конференциях МСЭ были предложены следующие пункты:</w:t>
      </w:r>
    </w:p>
    <w:p w14:paraId="47B714EA" w14:textId="46612D18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установить ограничения времени выступлений для предотвращения длительных выступлений и использовать таймеры для соблюдения таких ограничений;</w:t>
      </w:r>
    </w:p>
    <w:p w14:paraId="55AA1F7C" w14:textId="190BD8BF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избегать планирования параллельных собраний по смежным темам;</w:t>
      </w:r>
    </w:p>
    <w:p w14:paraId="7A86C703" w14:textId="7686E7D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планировать собрания только в разумные рабочие часы, избегать поздних ночных собраний и собраний в выходные дни;</w:t>
      </w:r>
    </w:p>
    <w:p w14:paraId="1F8DBEAB" w14:textId="3079BFE9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заранее определять даты и время начала работы комитетов и использовать графики с реалистичными сроками;</w:t>
      </w:r>
    </w:p>
    <w:p w14:paraId="1BD87446" w14:textId="49C41128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предоставлять исчерпывающие информационные материалы о рабочих процедурах и методах;</w:t>
      </w:r>
    </w:p>
    <w:p w14:paraId="59F16636" w14:textId="01D2F843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тщательно рассмотреть вопрос изменения методов работы, чтобы избежать увеличения нагрузки на делегатов;</w:t>
      </w:r>
    </w:p>
    <w:p w14:paraId="1CEB1C15" w14:textId="158AD5D2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повторно использовать успешные планы распределения времени, разработанные на предыдущих конференциях;</w:t>
      </w:r>
    </w:p>
    <w:p w14:paraId="02A10BC7" w14:textId="0A39849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следить за тем, чтобы другие сессии не накладывались на процесс выборов, чтобы не отвлекаться от основных целей;</w:t>
      </w:r>
    </w:p>
    <w:p w14:paraId="774D82F8" w14:textId="5BA0D1F9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предоставить председателям комитетов полномочия по разрешению конфликтов на уровне комитета, обучать их решению сложных вопросов и настоятельно призывать их устанавливать ограничения по времени для специальных групп;</w:t>
      </w:r>
    </w:p>
    <w:p w14:paraId="73A64E57" w14:textId="43A428F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установить четкие и единообразные методы работы комитетов и специальных групп;</w:t>
      </w:r>
    </w:p>
    <w:p w14:paraId="4E186640" w14:textId="0BC4F1C4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продолжать следовать принципу "нет консенсуса – нет изменений".</w:t>
      </w:r>
    </w:p>
    <w:p w14:paraId="19178ED4" w14:textId="75A032C4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17" w:name="_Hlk164852863"/>
      <w:r w:rsidRPr="0055137D">
        <w:rPr>
          <w:i/>
          <w:iCs/>
          <w:u w:val="single"/>
          <w:lang w:val="ru-RU" w:bidi="ru-RU"/>
        </w:rPr>
        <w:t>Есть ли у вас какие-либо предложения по улучшению общего опыта делегатов на ПК?</w:t>
      </w:r>
    </w:p>
    <w:bookmarkEnd w:id="17"/>
    <w:p w14:paraId="37CF0BDF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В нескольких предложениях повторялись вышеупомянутые просьбы об ограничении времени выступлений, сведении к минимуму поздних вечерних или ночных сессий, более строгом времени начала и окончания конференций, более коротких конференциях и перерывах между сессиями. Секретариат может выполнить эти просьбы, кроме просьбы, касающейся продолжительности конференции. Дополнительно предлагается:</w:t>
      </w:r>
    </w:p>
    <w:p w14:paraId="1D072DF9" w14:textId="3B64331F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расширять возможности для налаживания контактов с помощью специальных мероприятий и цифровых платформ;</w:t>
      </w:r>
    </w:p>
    <w:p w14:paraId="377B79A2" w14:textId="0E09F47F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обеспечивать доступные места и вспомогательные услуги для пожилых людей и делегатов с ограниченными возможностями;</w:t>
      </w:r>
    </w:p>
    <w:p w14:paraId="16F5FCF8" w14:textId="2EF56383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предлагать стойки комплексного информационного обслуживания и помощь в организации поездок;</w:t>
      </w:r>
    </w:p>
    <w:p w14:paraId="75F663A6" w14:textId="16F754FC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проводить вводные сессии для тех, кто впервые принимает участие в конференции, до ее начала и предлагать новым участникам инструктаж и программы наставничества, чтобы они могли эффективно ориентироваться в работе конференции;</w:t>
      </w:r>
    </w:p>
    <w:p w14:paraId="0859C1EE" w14:textId="29840A7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внедрять меры по повышению эффективности, такие как электронные системы голосования и руководящие указания по общеполитическим заявлениям;</w:t>
      </w:r>
    </w:p>
    <w:p w14:paraId="76718D37" w14:textId="49920C3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организовывать дополнительные мероприятия, например спортивные соревнования или культурные мероприятия;</w:t>
      </w:r>
    </w:p>
    <w:p w14:paraId="7D437B4D" w14:textId="02EB481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lastRenderedPageBreak/>
        <w:t>•</w:t>
      </w:r>
      <w:r w:rsidRPr="0055137D">
        <w:rPr>
          <w:lang w:val="ru-RU" w:bidi="ru-RU"/>
        </w:rPr>
        <w:tab/>
        <w:t>обеспечивать наличие различных вариантов питания и удобств на всей территории проведения конференции.</w:t>
      </w:r>
    </w:p>
    <w:p w14:paraId="20DE30C9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18" w:name="_Hlk164854022"/>
      <w:r w:rsidRPr="0055137D">
        <w:rPr>
          <w:i/>
          <w:iCs/>
          <w:u w:val="single"/>
          <w:lang w:val="ru-RU" w:bidi="ru-RU"/>
        </w:rPr>
        <w:t>Как можно обеспечить безопасную среду для всех делегатов?</w:t>
      </w:r>
    </w:p>
    <w:bookmarkEnd w:id="18"/>
    <w:p w14:paraId="07025395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В ответах подчеркивается необходимость комплексного подхода к обеспечению безопасности, включая политические аспекты, вопросы здравоохранения и физической безопасности. Многие предложения посвящены превентивным мерам, таким как протоколы безопасности, механизмы отчетности и процедуры на случай чрезвычайных ситуаций для снижения рисков. Среди необходимых условий для обеспечения безопасности и комфорта делегатов выделяется понимание особенностей других культур и знание местных обычаев. Как принимающим странам, так и делегациям рекомендуется обеспечивать подотчетность для своевременного и эффективного решения проблем безопасности. В качестве основополагающего шага в формировании на ПК среды на основе принципов уважения и недопустимости домогательств рассматривается создание четкого Кодекса поведения. Важнейшую роль в обеспечении безопасности и благополучия делегатов, особенно в позднее время, играет материально-техническое обеспечение, такое как организация транспорта и проживания.</w:t>
      </w:r>
    </w:p>
    <w:p w14:paraId="7F4D3652" w14:textId="1A48C17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Учитывать показатели безопасности потенциальных организаторов и рекомендации представительств в Женеве;</w:t>
      </w:r>
    </w:p>
    <w:p w14:paraId="5029D4A9" w14:textId="7433CBCC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55137D">
        <w:rPr>
          <w:lang w:val="ru-RU"/>
        </w:rPr>
        <w:t xml:space="preserve">создать </w:t>
      </w:r>
      <w:r w:rsidRPr="0055137D">
        <w:rPr>
          <w:lang w:val="ru-RU" w:bidi="ru-RU"/>
        </w:rPr>
        <w:t>и популяризовать Кодекс поведения МСЭ, предназначенный для участия в мероприятиях МСЭ, чтобы способствовать формированию среды на основе принципов уважения и безопасности;</w:t>
      </w:r>
    </w:p>
    <w:p w14:paraId="6FD02E62" w14:textId="021E46D3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четко доносить информацию о безопасности, процедурах и протоколах действий в чрезвычайных ситуациях до всех делегатов;</w:t>
      </w:r>
    </w:p>
    <w:p w14:paraId="20906163" w14:textId="5E8FCDEA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обеспечивать доступные "горячие линии" и четкие механизмы отчетности по вопросам охраны, безопасности и здоровья;</w:t>
      </w:r>
    </w:p>
    <w:p w14:paraId="5DF4C923" w14:textId="4DDB6BD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увеличивать штат охраны, устанавливать больше камер и своевременно рассматривать жалобы;</w:t>
      </w:r>
    </w:p>
    <w:p w14:paraId="12D52A12" w14:textId="75C5F6A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призывать организаторов информировать делегатов о местных обычаях, этикете и запретах;</w:t>
      </w:r>
    </w:p>
    <w:p w14:paraId="16BBACAA" w14:textId="4694E1DA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обеспечивать доступность для всех делегатов, включая объекты с раздельным доступом для разных полов и приспособления для людей с ограниченными возможностями;</w:t>
      </w:r>
    </w:p>
    <w:p w14:paraId="38DBAB1C" w14:textId="58A9390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обеспечивать безопасные варианты передвижения, особенно в позднее время, и избегать районов с высоким уровнем преступности.</w:t>
      </w:r>
    </w:p>
    <w:p w14:paraId="5E40113C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19" w:name="_Hlk164855322"/>
      <w:r w:rsidRPr="0055137D">
        <w:rPr>
          <w:i/>
          <w:iCs/>
          <w:u w:val="single"/>
          <w:lang w:val="ru-RU" w:bidi="ru-RU"/>
        </w:rPr>
        <w:t xml:space="preserve">Посещаете ли вы сопутствующие (не протокольные) мероприятия во время ПК? </w:t>
      </w:r>
      <w:r w:rsidRPr="0055137D">
        <w:rPr>
          <w:i/>
          <w:u w:val="single"/>
          <w:lang w:val="ru-RU" w:bidi="ru-RU"/>
        </w:rPr>
        <w:t>Если да, есть ли у вас предложения по проведению сопутствующих мероприятий в будущем?</w:t>
      </w:r>
    </w:p>
    <w:bookmarkEnd w:id="19"/>
    <w:p w14:paraId="5AE21040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 xml:space="preserve">Сопутствующие мероприятия обычно высоко оцениваются делегатами, поскольку они предоставляют ценные возможности для налаживания связей, профессионального развития и обмена знаниями. Однако признается, что сопутствующие мероприятия не должны затмевать работу основных мероприятий конференции и должны иметь четкую направленность, наполнение по существу, быть содержательными и иметь стратегический характер. Отмечаются материально-технические проблемы, связанные с проведением сопутствующих мероприятий, такие как доступность помещений и перегруженные повестки дня, что подчеркивает необходимость уделять первостепенное внимание бесперебойной работе конференции. Выражается обеспокоенность по поводу потенциального влияния сопутствующих мероприятий на эффективность конференции и предлагается тщательно оценивать их необходимость и время проведения, чтобы они дополняли основной процесс, а не отвлекали от него. Рекомендации включают организацию сопутствующих мероприятий на </w:t>
      </w:r>
      <w:r w:rsidRPr="0055137D">
        <w:rPr>
          <w:lang w:val="ru-RU" w:bidi="ru-RU"/>
        </w:rPr>
        <w:lastRenderedPageBreak/>
        <w:t>неделях после выборов, чтобы разгрузить напряженный график первой недели и обеспечить максимальное участие. Среди предложений по проведению будущих сопутствующих мероприятий – тематические семинары-практикумы, соответствующие глобальным технологическим тенденциям и стратегическим целям МСЭ, мероприятия, ориентированные на женщин и молодежь, тематические дебаты по передовым технологиям и выставки, демонстрирующие инновации в области ИКТ. В частности, предлагается также проводить сопутствующие мероприятия отраслевых компаний, специализирующихся на инфраструктуре электросвязи, кибербезопасности, появляющихся технологиях, управлении использованием спектра и инициативах по обеспечению охвата цифровыми технологиями, чтобы предоставить ценную информацию и стимулировать сотрудничество. В целом сопутствующие мероприятия рассматриваются как значимое дополнение к конференции, но их следует тщательно готовить, чтобы они улучшали впечатления делегатов и не затмевали основной процесс.</w:t>
      </w:r>
    </w:p>
    <w:p w14:paraId="2D963ED8" w14:textId="71D3920E" w:rsidR="0055137D" w:rsidRPr="0055137D" w:rsidRDefault="0055137D" w:rsidP="0055137D">
      <w:pPr>
        <w:pStyle w:val="Headingb"/>
        <w:rPr>
          <w:bCs/>
          <w:lang w:val="ru-RU"/>
        </w:rPr>
      </w:pPr>
      <w:bookmarkStart w:id="20" w:name="_Hlk164855885"/>
      <w:r w:rsidRPr="0055137D">
        <w:rPr>
          <w:lang w:val="ru-RU" w:bidi="ru-RU"/>
        </w:rPr>
        <w:t>Участие министров</w:t>
      </w:r>
    </w:p>
    <w:p w14:paraId="77F5A4E7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r w:rsidRPr="0055137D">
        <w:rPr>
          <w:i/>
          <w:u w:val="single"/>
          <w:lang w:val="ru-RU" w:bidi="ru-RU"/>
        </w:rPr>
        <w:t>Есть ли у вас какие-либо предложения по совершенствованию аспектов участия министров и делегатов высокого уровня, а также взаимодействия с этими участниками?</w:t>
      </w:r>
    </w:p>
    <w:bookmarkEnd w:id="20"/>
    <w:p w14:paraId="25C43A37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Для улучшения участия министров и высокопоставленных делегатов в ПК предлагается:</w:t>
      </w:r>
    </w:p>
    <w:p w14:paraId="73FA130A" w14:textId="0228D22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обеспечивать заблаговременное направление конкретных приглашений министрам для участия в мероприятии, составление повестки дня, в которой приоритетными являются вопросы, требующие руководства на высоком уровне, и организацию интерактивных сессий с участием министров;</w:t>
      </w:r>
    </w:p>
    <w:p w14:paraId="5BB95646" w14:textId="7313DFB6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 начале конференции определять четкую программу на высоком уровне на ограниченный срок, например по полдня в день в течение максимум двух дней, чтобы оптимизировать вовлеченность;</w:t>
      </w:r>
    </w:p>
    <w:p w14:paraId="702FAE24" w14:textId="5C7A416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организовывать специальные сессии для министров, с тем чтобы они могли обсудить насущные вопросы и принять декларацию министров, отражающую высокую политическую приверженность;</w:t>
      </w:r>
    </w:p>
    <w:p w14:paraId="70389ECD" w14:textId="592B052C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определять приоритеты и оптимизировать участие высокопоставленных лиц, обеспечивая при этом реальную вовлеченность и результаты;</w:t>
      </w:r>
    </w:p>
    <w:p w14:paraId="473104E6" w14:textId="62724824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осуществлять сотрудничество между Секретариатом МСЭ и принимающими странами для успешной организации круглых столов на уровне министров и обмена опытом, полученным на предыдущих конференциях;</w:t>
      </w:r>
    </w:p>
    <w:p w14:paraId="3E95D115" w14:textId="55468124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организовывать участие высокопоставленных представителей в рамках сопутствующего мероприятия конференции, чтобы предоставить больше рекламных возможностей и облегчить организацию двусторонних встреч;</w:t>
      </w:r>
    </w:p>
    <w:p w14:paraId="1482F131" w14:textId="1DA749D2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пересмотреть участие министров, чтобы сделать его более значимым, возможно, с помощью межрегиональных групповых дискуссий по ключевым для МСЭ темам при сбалансированной гендерной представленности;</w:t>
      </w:r>
    </w:p>
    <w:p w14:paraId="7E6BA11D" w14:textId="35C7BB4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проводить специальные сопутствующие мероприятия и сессии круглых столов для более активного вовлечения делегатов высокого уровня.</w:t>
      </w:r>
    </w:p>
    <w:p w14:paraId="0210DE35" w14:textId="5C971D84" w:rsidR="0055137D" w:rsidRPr="0055137D" w:rsidRDefault="0055137D" w:rsidP="0055137D">
      <w:pPr>
        <w:pStyle w:val="Headingb"/>
        <w:rPr>
          <w:bCs/>
          <w:lang w:val="ru-RU"/>
        </w:rPr>
      </w:pPr>
      <w:r w:rsidRPr="0055137D">
        <w:rPr>
          <w:lang w:val="ru-RU" w:bidi="ru-RU"/>
        </w:rPr>
        <w:t>Цифровизация</w:t>
      </w:r>
    </w:p>
    <w:p w14:paraId="5C2956B7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21" w:name="_Hlk164858115"/>
      <w:r w:rsidRPr="0055137D">
        <w:rPr>
          <w:i/>
          <w:iCs/>
          <w:u w:val="single"/>
          <w:lang w:val="ru-RU" w:bidi="ru-RU"/>
        </w:rPr>
        <w:t>Какие процессы (регистрация/документация/установление контактов/подготовка к ПК и взаимодействие до ПК /работа протокольной службы/распределение времени/принятие решений/голосование/дистанционное участие/и т. д.), по вашему мнению, можно было бы дополнительно улучшить с помощью цифровых технологий?</w:t>
      </w:r>
    </w:p>
    <w:bookmarkEnd w:id="21"/>
    <w:p w14:paraId="38F0A4EB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 xml:space="preserve">Предложения направлены на использование цифровых технологий для оптимизации различных аспектов процесса проведения ПК – от регистрации и составления графика до </w:t>
      </w:r>
      <w:r w:rsidRPr="0055137D">
        <w:rPr>
          <w:lang w:val="ru-RU" w:bidi="ru-RU"/>
        </w:rPr>
        <w:lastRenderedPageBreak/>
        <w:t>принятия решений и дистанционного участия, – что в конечном итоге повысит эффективность, доступность и инклюзивность.</w:t>
      </w:r>
    </w:p>
    <w:p w14:paraId="02F38E36" w14:textId="60161D5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Внедрить систему онлайнового бронирования помещений для планирования мероприятий на основе принципов справедливости;</w:t>
      </w:r>
    </w:p>
    <w:p w14:paraId="54A361FE" w14:textId="4B71801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использовать инструменты для бронирования залов заседаний в режиме реального времени;</w:t>
      </w:r>
    </w:p>
    <w:p w14:paraId="1AF325D8" w14:textId="5C4C674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изучать решения для письменного и устного перевода на базе технологии искусственного интеллекта;</w:t>
      </w:r>
    </w:p>
    <w:p w14:paraId="7CFF8E68" w14:textId="7A23A02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 xml:space="preserve">внедрять </w:t>
      </w:r>
      <w:r w:rsidRPr="0055137D">
        <w:rPr>
          <w:lang w:bidi="ru-RU"/>
        </w:rPr>
        <w:t>QR</w:t>
      </w:r>
      <w:r w:rsidRPr="0055137D">
        <w:rPr>
          <w:lang w:val="ru-RU" w:bidi="ru-RU"/>
        </w:rPr>
        <w:t>-коды для регистрации и доступа к цифровой документации;</w:t>
      </w:r>
    </w:p>
    <w:p w14:paraId="73071BCC" w14:textId="43C303C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продолжать предоставлять возможности дистанционного участия;</w:t>
      </w:r>
    </w:p>
    <w:p w14:paraId="72C2503A" w14:textId="2B75CC6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перейти на электронные системы голосования для повышения эффективности и точности результатов;</w:t>
      </w:r>
    </w:p>
    <w:p w14:paraId="238CA94C" w14:textId="612E7735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использовать цифровые инструменты планирования для более эффективного управления временем;</w:t>
      </w:r>
    </w:p>
    <w:p w14:paraId="6647958F" w14:textId="4EA02184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внедрять сетевые платформы для делегатов;</w:t>
      </w:r>
    </w:p>
    <w:p w14:paraId="63417DB1" w14:textId="7032A90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2B7DD4">
        <w:rPr>
          <w:spacing w:val="-2"/>
          <w:lang w:val="ru-RU" w:bidi="ru-RU"/>
        </w:rPr>
        <w:t>расширять протокольные услуги с помощью мобильных приложений или уведомлений</w:t>
      </w:r>
      <w:r w:rsidRPr="0055137D">
        <w:rPr>
          <w:lang w:val="ru-RU" w:bidi="ru-RU"/>
        </w:rPr>
        <w:t>;</w:t>
      </w:r>
    </w:p>
    <w:p w14:paraId="627FDAF9" w14:textId="628C71B3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изучать возможности распознавания лиц для автоматизации регистрации и доступа в помещения;</w:t>
      </w:r>
    </w:p>
    <w:p w14:paraId="5E005CF8" w14:textId="40F2C45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создать специальное приложение МСЭ для распространения информации.</w:t>
      </w:r>
    </w:p>
    <w:p w14:paraId="4EFB801E" w14:textId="77777777" w:rsidR="0055137D" w:rsidRPr="0055137D" w:rsidRDefault="0055137D" w:rsidP="0055137D">
      <w:pPr>
        <w:pStyle w:val="Headingb"/>
        <w:rPr>
          <w:bCs/>
          <w:lang w:val="ru-RU"/>
        </w:rPr>
      </w:pPr>
      <w:r w:rsidRPr="0055137D">
        <w:rPr>
          <w:lang w:val="ru-RU" w:bidi="ru-RU"/>
        </w:rPr>
        <w:t>Процесс выборов и этические принципы кандидатов</w:t>
      </w:r>
    </w:p>
    <w:p w14:paraId="216ED990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22" w:name="_Hlk164860657"/>
      <w:r w:rsidRPr="0055137D">
        <w:rPr>
          <w:i/>
          <w:iCs/>
          <w:u w:val="single"/>
          <w:lang w:val="ru-RU" w:bidi="ru-RU"/>
        </w:rPr>
        <w:t>В свете предыдущих дискуссий о совершенствовании процедур выборов есть ли у вас какие-либо предложения по их улучшению?</w:t>
      </w:r>
    </w:p>
    <w:bookmarkEnd w:id="22"/>
    <w:p w14:paraId="349D3AE9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 xml:space="preserve">В целом предложения направлены на модернизацию и упорядочение процедур выборов на ПК за счет использования цифровых технологий, повышения прозрачности и обеспечения справедливости. Электронные системы голосования, возможность дистанционного участия и </w:t>
      </w:r>
      <w:r w:rsidRPr="0055137D">
        <w:rPr>
          <w:spacing w:val="-2"/>
          <w:lang w:val="ru-RU" w:bidi="ru-RU"/>
        </w:rPr>
        <w:t xml:space="preserve">оптимизация процессов могут повысить </w:t>
      </w:r>
      <w:r w:rsidRPr="0055137D">
        <w:rPr>
          <w:spacing w:val="-4"/>
          <w:lang w:val="ru-RU" w:bidi="ru-RU"/>
        </w:rPr>
        <w:t>эффективность</w:t>
      </w:r>
      <w:r w:rsidRPr="0055137D">
        <w:rPr>
          <w:spacing w:val="-2"/>
          <w:lang w:val="ru-RU" w:bidi="ru-RU"/>
        </w:rPr>
        <w:t xml:space="preserve"> и инклюзивность</w:t>
      </w:r>
      <w:r w:rsidRPr="0055137D">
        <w:rPr>
          <w:spacing w:val="-4"/>
          <w:lang w:val="ru-RU" w:bidi="ru-RU"/>
        </w:rPr>
        <w:t xml:space="preserve">. Кроме того, сокращение </w:t>
      </w:r>
      <w:r w:rsidRPr="0055137D">
        <w:rPr>
          <w:lang w:val="ru-RU" w:bidi="ru-RU"/>
        </w:rPr>
        <w:t xml:space="preserve">бумажных агитационных материалов и поздравительных речей соответствует целям в области устойчивого развития и эффективности конференций. Однако реализация некоторых из этих предложений потребует внесения изменений в основные тексты документов Союза. </w:t>
      </w:r>
    </w:p>
    <w:p w14:paraId="0EE9CF12" w14:textId="703CCFA2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Внедрить электронное голосование для обеспечения эффективности и прозрачности;</w:t>
      </w:r>
    </w:p>
    <w:p w14:paraId="3AB99186" w14:textId="67F6660C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предоставить четкие рекомендации по этичным методам проведения предвыборных кампаний;</w:t>
      </w:r>
    </w:p>
    <w:p w14:paraId="7C108D0E" w14:textId="72B5BF49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предоставить всю информацию о процедурах выборов и предвыборной кампании в одном месте;</w:t>
      </w:r>
    </w:p>
    <w:p w14:paraId="220047F3" w14:textId="4178470F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рассмотреть возможность объединения нескольких выборов в один бюллетень для упрощения процедуры и проведения всех необходимых туров голосования за одну сессию для повышения эффективности;</w:t>
      </w:r>
    </w:p>
    <w:p w14:paraId="7FD50479" w14:textId="3E4AE7E3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продлить сроки выдвижения кандидатов для проведения эффективной предвыборной кампании;</w:t>
      </w:r>
    </w:p>
    <w:p w14:paraId="2A1995F0" w14:textId="5AAEB659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пропагандировать проведение цифровых предвыборных кампаний для снижения воздействия на окружающую среду;</w:t>
      </w:r>
    </w:p>
    <w:p w14:paraId="3299D4F5" w14:textId="7B9647B9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свести к минимуму поздравительные речи после выборов для повышения эффективности конференции;</w:t>
      </w:r>
    </w:p>
    <w:p w14:paraId="528B7A64" w14:textId="4F4A8AC7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отслеживать и предотвращать дискриминацию при отборе кандидатов.</w:t>
      </w:r>
    </w:p>
    <w:p w14:paraId="4BE341CB" w14:textId="77777777" w:rsidR="0055137D" w:rsidRPr="0055137D" w:rsidRDefault="0055137D" w:rsidP="0055137D">
      <w:pPr>
        <w:rPr>
          <w:i/>
          <w:iCs/>
          <w:u w:val="single"/>
          <w:lang w:val="ru-RU"/>
        </w:rPr>
      </w:pPr>
      <w:bookmarkStart w:id="23" w:name="_Hlk164861547"/>
      <w:r w:rsidRPr="0055137D">
        <w:rPr>
          <w:i/>
          <w:iCs/>
          <w:u w:val="single"/>
          <w:lang w:val="ru-RU" w:bidi="ru-RU"/>
        </w:rPr>
        <w:lastRenderedPageBreak/>
        <w:t xml:space="preserve">Есть ли у вас какие-либо предложения по последним Руководящим указаниям по этическим аспектам определенных предвыборных мероприятий, которые были утверждены Советом 2018 года и повторно одобрены Советом 2021 года? </w:t>
      </w:r>
    </w:p>
    <w:bookmarkEnd w:id="23"/>
    <w:p w14:paraId="685FDF10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Существует единое мнение о важности руководящих указаний по этическим аспектам и постоянной оценки их эффективности. Предложения касаются прозрачности, равных возможностей для кандидатов и механизмов своевременного рассмотрения заявлений о нарушениях. Особое внимание уделяется механизмам обучения и контроля для поддержания честности процесса выборов. В целом, выражается призыв к обеспечению четких руководящих указаний, равных возможностей и надежного контроля для поддержания этических стандартов в предвыборных мероприятиях.</w:t>
      </w:r>
    </w:p>
    <w:p w14:paraId="40FD4C3E" w14:textId="0D74B10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Проводить постоянное обучение по вопросам этичного проведения предвыборных мероприятий и обновлять руководящие указания с учетом передового опыта и новых вызовов;</w:t>
      </w:r>
    </w:p>
    <w:p w14:paraId="5062C1C9" w14:textId="50B8B408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продолжать оценку эффективности руководящих указаний по этическим аспектам предвыборных мероприятий и привлекать к процессу оценки соответствующие заинтересованные стороны, такие как РОЭ;</w:t>
      </w:r>
    </w:p>
    <w:p w14:paraId="77B11EFF" w14:textId="58DF8A38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разъяснить права и обязанности неизбираемых должностных лиц, баллотирующихся на должность, в сравнении с избираемыми должностными лицами, обеспечивая равные возможности для всех кандидатов. Предложить такие меры, как, например, подписание кандидатами обязательств по соблюдению руководящих указаний и публикация их коммуникационных программ;</w:t>
      </w:r>
    </w:p>
    <w:p w14:paraId="60FF1AD0" w14:textId="12C67517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создать механизмы для своевременного рассмотрения заявлений о неправомерном поведении;</w:t>
      </w:r>
    </w:p>
    <w:p w14:paraId="35B49945" w14:textId="6286B8AA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уделять особое внимание эффективному наблюдению за процессом выборов.</w:t>
      </w:r>
    </w:p>
    <w:p w14:paraId="6C68C1A2" w14:textId="77777777" w:rsidR="0055137D" w:rsidRPr="0055137D" w:rsidRDefault="0055137D" w:rsidP="0055137D">
      <w:pPr>
        <w:pStyle w:val="Headingb"/>
        <w:rPr>
          <w:bCs/>
          <w:lang w:val="ru-RU"/>
        </w:rPr>
      </w:pPr>
      <w:r w:rsidRPr="0055137D">
        <w:rPr>
          <w:lang w:val="ru-RU" w:bidi="ru-RU"/>
        </w:rPr>
        <w:t>Другие вопросы</w:t>
      </w:r>
    </w:p>
    <w:p w14:paraId="09D94E54" w14:textId="77777777" w:rsidR="0055137D" w:rsidRPr="0055137D" w:rsidRDefault="0055137D" w:rsidP="0055137D">
      <w:pPr>
        <w:rPr>
          <w:lang w:val="ru-RU"/>
        </w:rPr>
      </w:pPr>
      <w:r w:rsidRPr="0055137D">
        <w:rPr>
          <w:lang w:val="ru-RU" w:bidi="ru-RU"/>
        </w:rPr>
        <w:t>В частности, предлагается:</w:t>
      </w:r>
    </w:p>
    <w:p w14:paraId="709EA456" w14:textId="1000A5BC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2B7DD4">
        <w:rPr>
          <w:spacing w:val="-2"/>
          <w:lang w:val="ru-RU" w:bidi="ru-RU"/>
        </w:rPr>
        <w:t xml:space="preserve">увеличить количество </w:t>
      </w:r>
      <w:r w:rsidRPr="002B7DD4">
        <w:rPr>
          <w:spacing w:val="-4"/>
          <w:lang w:val="ru-RU" w:bidi="ru-RU"/>
        </w:rPr>
        <w:t>киосков с питанием и напитками в месте</w:t>
      </w:r>
      <w:r w:rsidRPr="002B7DD4">
        <w:rPr>
          <w:spacing w:val="-2"/>
          <w:lang w:val="ru-RU" w:bidi="ru-RU"/>
        </w:rPr>
        <w:t xml:space="preserve"> проведения мероприятия;</w:t>
      </w:r>
    </w:p>
    <w:p w14:paraId="11135D73" w14:textId="03E2E3CF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устанавливать больше ячеек с замками и обустраивать гардеробное помещение для удобства делегатов;</w:t>
      </w:r>
    </w:p>
    <w:p w14:paraId="2EF4AEF7" w14:textId="324A2CC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устанавливать дополнительные фотоуголки, чтобы стимулировать активность в социальных сетях;</w:t>
      </w:r>
    </w:p>
    <w:p w14:paraId="7BE8F751" w14:textId="62A3B690" w:rsidR="0055137D" w:rsidRPr="00B11C9D" w:rsidRDefault="0055137D" w:rsidP="00B11C9D">
      <w:pPr>
        <w:pStyle w:val="enumlev1"/>
        <w:ind w:right="-143"/>
        <w:rPr>
          <w:spacing w:val="-6"/>
          <w:lang w:val="ru-RU" w:bidi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</w:r>
      <w:r w:rsidRPr="00B11C9D">
        <w:rPr>
          <w:spacing w:val="-4"/>
          <w:lang w:val="ru-RU" w:bidi="ru-RU"/>
        </w:rPr>
        <w:t>поддерживать комфортную температуру в залах заседаний (не менее 20 градусов Цельсия);</w:t>
      </w:r>
    </w:p>
    <w:p w14:paraId="3364EA78" w14:textId="3D9F92F8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устанавливать информационные стенды для навигации по площадке мероприятия и выделять больше мест для неофициальных встреч;</w:t>
      </w:r>
    </w:p>
    <w:p w14:paraId="4183C3CD" w14:textId="2DD61A13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предлагать услуги печати и ИТ в залах для собраний с участием министров;</w:t>
      </w:r>
    </w:p>
    <w:p w14:paraId="76FB70E0" w14:textId="09B3068D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выступать за более активное привлечение представителей отрасли и цифровой экономики для расширения участия многих заинтересованных сторон;</w:t>
      </w:r>
    </w:p>
    <w:p w14:paraId="272646AD" w14:textId="340EF2D1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признать, что не все вопросы могут быть решены идеально, и смириться с некоторыми недостатками.</w:t>
      </w:r>
    </w:p>
    <w:p w14:paraId="027213B9" w14:textId="3C85FA1E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предложить проводить подобные консультации после крупных конференций для сбора отзывов;</w:t>
      </w:r>
    </w:p>
    <w:p w14:paraId="6D6B4E83" w14:textId="7AD92198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стараться не планировать одновременное проведение протокольных мероприятий, чтобы обеспечить равные возможности для Государств-Членов и кандидатов;</w:t>
      </w:r>
    </w:p>
    <w:p w14:paraId="48AFDB2C" w14:textId="76EAB61B" w:rsidR="0055137D" w:rsidRPr="0055137D" w:rsidRDefault="0055137D" w:rsidP="0055137D">
      <w:pPr>
        <w:pStyle w:val="enumlev1"/>
        <w:rPr>
          <w:lang w:val="ru-RU"/>
        </w:rPr>
      </w:pPr>
      <w:r w:rsidRPr="0055137D">
        <w:rPr>
          <w:lang w:val="ru-RU" w:bidi="ru-RU"/>
        </w:rPr>
        <w:t>•</w:t>
      </w:r>
      <w:r w:rsidRPr="0055137D">
        <w:rPr>
          <w:lang w:val="ru-RU" w:bidi="ru-RU"/>
        </w:rPr>
        <w:tab/>
        <w:t>рассмотреть возможность сокращения продолжительности мероприятий.</w:t>
      </w:r>
    </w:p>
    <w:p w14:paraId="69767EBE" w14:textId="58D7F7C1" w:rsidR="00796BD3" w:rsidRPr="0055137D" w:rsidRDefault="0055137D" w:rsidP="00B11C9D">
      <w:pPr>
        <w:jc w:val="center"/>
      </w:pPr>
      <w:r>
        <w:t>______________</w:t>
      </w:r>
    </w:p>
    <w:sectPr w:rsidR="00796BD3" w:rsidRPr="0055137D" w:rsidSect="00796BD3">
      <w:footerReference w:type="default" r:id="rId59"/>
      <w:headerReference w:type="first" r:id="rId60"/>
      <w:footerReference w:type="first" r:id="rId6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38C285E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0FACC37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B7DD4">
            <w:rPr>
              <w:bCs/>
              <w:lang w:val="ru-RU"/>
            </w:rPr>
            <w:t>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0D079D5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55137D"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4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4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B7DD4"/>
    <w:rsid w:val="002D2F57"/>
    <w:rsid w:val="002D48C5"/>
    <w:rsid w:val="0033025A"/>
    <w:rsid w:val="003C258B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262ED"/>
    <w:rsid w:val="0055137D"/>
    <w:rsid w:val="005A64D5"/>
    <w:rsid w:val="005B3DEC"/>
    <w:rsid w:val="00601994"/>
    <w:rsid w:val="00660449"/>
    <w:rsid w:val="00672F8A"/>
    <w:rsid w:val="006867EB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6349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1C9D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5369"/>
    <w:rsid w:val="00E176BA"/>
    <w:rsid w:val="00E423EC"/>
    <w:rsid w:val="00E55121"/>
    <w:rsid w:val="00EB4FCB"/>
    <w:rsid w:val="00EC6BC5"/>
    <w:rsid w:val="00F0452E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5-CL-C-0099/en" TargetMode="External"/><Relationship Id="rId18" Type="http://schemas.openxmlformats.org/officeDocument/2006/relationships/hyperlink" Target="https://www.itu.int/md/S17-SG-CIR-0007/en" TargetMode="External"/><Relationship Id="rId26" Type="http://schemas.openxmlformats.org/officeDocument/2006/relationships/hyperlink" Target="https://www.itu.int/md/S18-CL-C-0005/en" TargetMode="External"/><Relationship Id="rId39" Type="http://schemas.openxmlformats.org/officeDocument/2006/relationships/hyperlink" Target="https://www.itu.int/md/S19-CL-C-0112/en" TargetMode="External"/><Relationship Id="rId21" Type="http://schemas.openxmlformats.org/officeDocument/2006/relationships/hyperlink" Target="https://www.itu.int/md/S17-CL-C-0076/en" TargetMode="External"/><Relationship Id="rId34" Type="http://schemas.openxmlformats.org/officeDocument/2006/relationships/hyperlink" Target="https://www.itu.int/net4/proposals/PP18/Detail/Index?idProposal=48905" TargetMode="External"/><Relationship Id="rId42" Type="http://schemas.openxmlformats.org/officeDocument/2006/relationships/hyperlink" Target="https://www.itu.int/md/S20-CL-INF-0008/en" TargetMode="External"/><Relationship Id="rId47" Type="http://schemas.openxmlformats.org/officeDocument/2006/relationships/hyperlink" Target="https://www.itu.int/md/S22-PP-C-0189/en" TargetMode="External"/><Relationship Id="rId50" Type="http://schemas.openxmlformats.org/officeDocument/2006/relationships/hyperlink" Target="https://www.itu.int/md/S23-CL-C-0084/en" TargetMode="External"/><Relationship Id="rId55" Type="http://schemas.openxmlformats.org/officeDocument/2006/relationships/hyperlink" Target="https://www.itu.int/md/S22-PP-C-0189/en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itu.int/md/S24-SG-CIR-001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6-SG-CIR-0048/en" TargetMode="External"/><Relationship Id="rId29" Type="http://schemas.openxmlformats.org/officeDocument/2006/relationships/hyperlink" Target="https://www.itu.int/md/S18-PP-C-0031/en" TargetMode="External"/><Relationship Id="rId11" Type="http://schemas.openxmlformats.org/officeDocument/2006/relationships/hyperlink" Target="http://www.itu.int/md/S14-PP-C-0175/en" TargetMode="External"/><Relationship Id="rId24" Type="http://schemas.openxmlformats.org/officeDocument/2006/relationships/hyperlink" Target="https://www.itu.int/md/S17-CL-170515-DL-0008/en" TargetMode="External"/><Relationship Id="rId32" Type="http://schemas.openxmlformats.org/officeDocument/2006/relationships/hyperlink" Target="https://www.itu.int/net4/proposals/PP18/Detail/Index?idProposal=48944" TargetMode="External"/><Relationship Id="rId37" Type="http://schemas.openxmlformats.org/officeDocument/2006/relationships/hyperlink" Target="https://www.itu.int/md/S18-PP-C-0173/en" TargetMode="External"/><Relationship Id="rId40" Type="http://schemas.openxmlformats.org/officeDocument/2006/relationships/hyperlink" Target="https://www.itu.int/md/S19-SG-CIR-0057/en" TargetMode="External"/><Relationship Id="rId45" Type="http://schemas.openxmlformats.org/officeDocument/2006/relationships/hyperlink" Target="https://www.itu.int/md/S22-PP-C-0040/en" TargetMode="External"/><Relationship Id="rId53" Type="http://schemas.openxmlformats.org/officeDocument/2006/relationships/hyperlink" Target="https://www.itu.int/md/S24-CL-INF-0013/en" TargetMode="External"/><Relationship Id="rId58" Type="http://schemas.openxmlformats.org/officeDocument/2006/relationships/hyperlink" Target="https://www.itu.int/md/S24-CL-INF-0013/en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s://www.itu.int/md/S17-CL-INF-0006/en" TargetMode="External"/><Relationship Id="rId14" Type="http://schemas.openxmlformats.org/officeDocument/2006/relationships/hyperlink" Target="https://www.itu.int/md/S16-CL-C-0004/en" TargetMode="External"/><Relationship Id="rId22" Type="http://schemas.openxmlformats.org/officeDocument/2006/relationships/hyperlink" Target="https://www.itu.int/md/S17-CL-C-0078/en" TargetMode="External"/><Relationship Id="rId27" Type="http://schemas.openxmlformats.org/officeDocument/2006/relationships/hyperlink" Target="https://www.itu.int/md/S18-CL-C-0050/en" TargetMode="External"/><Relationship Id="rId30" Type="http://schemas.openxmlformats.org/officeDocument/2006/relationships/hyperlink" Target="https://www.itu.int/net4/proposals/PP18/Detail/Index?idProposal=48659" TargetMode="External"/><Relationship Id="rId35" Type="http://schemas.openxmlformats.org/officeDocument/2006/relationships/hyperlink" Target="https://www.itu.int/md/S18-PP-181029-TD-0018/en" TargetMode="External"/><Relationship Id="rId43" Type="http://schemas.openxmlformats.org/officeDocument/2006/relationships/hyperlink" Target="https://www.itu.int/md/S21-CL-C-0004/en" TargetMode="External"/><Relationship Id="rId48" Type="http://schemas.openxmlformats.org/officeDocument/2006/relationships/hyperlink" Target="https://www.itu.int/md/S22-PP-C-0206/en" TargetMode="External"/><Relationship Id="rId56" Type="http://schemas.openxmlformats.org/officeDocument/2006/relationships/hyperlink" Target="https://www.itu.int/md/S23-CL-C-0107/en" TargetMode="External"/><Relationship Id="rId8" Type="http://schemas.openxmlformats.org/officeDocument/2006/relationships/hyperlink" Target="https://www.itu.int/net4/proposals/PP14/Main/GetDocument?idProposal=14954&amp;isSub=false&amp;codeLang=R" TargetMode="External"/><Relationship Id="rId51" Type="http://schemas.openxmlformats.org/officeDocument/2006/relationships/hyperlink" Target="https://www.itu.int/md/S23-CL-C-0107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15-CL-C-0004/en" TargetMode="External"/><Relationship Id="rId17" Type="http://schemas.openxmlformats.org/officeDocument/2006/relationships/hyperlink" Target="https://www.itu.int/md/S17-CLCWGFHRM7-C-0010/en" TargetMode="External"/><Relationship Id="rId25" Type="http://schemas.openxmlformats.org/officeDocument/2006/relationships/hyperlink" Target="https://www.itu.int/md/S17-CL-C-0130/en" TargetMode="External"/><Relationship Id="rId33" Type="http://schemas.openxmlformats.org/officeDocument/2006/relationships/hyperlink" Target="https://www.itu.int/net4/proposals/PP18/Detail/Index?idProposal=48559" TargetMode="External"/><Relationship Id="rId38" Type="http://schemas.openxmlformats.org/officeDocument/2006/relationships/hyperlink" Target="https://www.itu.int/md/S19-CL-C-0013/en" TargetMode="External"/><Relationship Id="rId46" Type="http://schemas.openxmlformats.org/officeDocument/2006/relationships/hyperlink" Target="https://www.itu.int/net4/proposals/PP22/Detail/Index?idProposal=55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itu.int/md/S17-CL-C-0004/en" TargetMode="External"/><Relationship Id="rId41" Type="http://schemas.openxmlformats.org/officeDocument/2006/relationships/hyperlink" Target="https://www.itu.int/md/S20-CL-C-0004/en" TargetMode="External"/><Relationship Id="rId54" Type="http://schemas.openxmlformats.org/officeDocument/2006/relationships/hyperlink" Target="https://www.itu.int/md/S22-PP-C-0206/en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6-CL-C-0120/en" TargetMode="External"/><Relationship Id="rId23" Type="http://schemas.openxmlformats.org/officeDocument/2006/relationships/hyperlink" Target="https://www.itu.int/md/S17-CL-C-0096/en" TargetMode="External"/><Relationship Id="rId28" Type="http://schemas.openxmlformats.org/officeDocument/2006/relationships/hyperlink" Target="https://www.itu.int/md/S18-CL-C-0109/en" TargetMode="External"/><Relationship Id="rId36" Type="http://schemas.openxmlformats.org/officeDocument/2006/relationships/hyperlink" Target="https://www.itu.int/md/S18-PP-C-0155/en" TargetMode="External"/><Relationship Id="rId49" Type="http://schemas.openxmlformats.org/officeDocument/2006/relationships/hyperlink" Target="https://www.itu.int/md/S23-CL-C-0004/en" TargetMode="External"/><Relationship Id="rId57" Type="http://schemas.openxmlformats.org/officeDocument/2006/relationships/hyperlink" Target="https://www.itu.int/md/S24-SG-CIR-0011/en" TargetMode="External"/><Relationship Id="rId10" Type="http://schemas.openxmlformats.org/officeDocument/2006/relationships/hyperlink" Target="http://www.itu.int/md/S14-PP-C-0161/en" TargetMode="External"/><Relationship Id="rId31" Type="http://schemas.openxmlformats.org/officeDocument/2006/relationships/hyperlink" Target="https://www.itu.int/net4/proposals/PP18/Detail/Index?idProposal=48675" TargetMode="External"/><Relationship Id="rId44" Type="http://schemas.openxmlformats.org/officeDocument/2006/relationships/hyperlink" Target="https://www.itu.int/md/S21-CL-C-0086/en" TargetMode="External"/><Relationship Id="rId52" Type="http://schemas.openxmlformats.org/officeDocument/2006/relationships/hyperlink" Target="https://www.itu.int/md/S24-SG-CIR-0011/en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4-PP-141020-TD-0066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</TotalTime>
  <Pages>11</Pages>
  <Words>3476</Words>
  <Characters>29863</Characters>
  <Application>Microsoft Office Word</Application>
  <DocSecurity>0</DocSecurity>
  <Lines>248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33273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Fedosova, Elena</cp:lastModifiedBy>
  <cp:revision>7</cp:revision>
  <cp:lastPrinted>2006-03-28T16:12:00Z</cp:lastPrinted>
  <dcterms:created xsi:type="dcterms:W3CDTF">2024-05-21T09:24:00Z</dcterms:created>
  <dcterms:modified xsi:type="dcterms:W3CDTF">2024-05-21T09:27:00Z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