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0043AC80" w14:textId="77777777" w:rsidTr="5C34826B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5C5F61D8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>
              <w:rPr>
                <w:b/>
              </w:rPr>
              <w:t xml:space="preserve">Agenda item: </w:t>
            </w:r>
            <w:r w:rsidR="00920479">
              <w:rPr>
                <w:b/>
              </w:rPr>
              <w:t>PL.2</w:t>
            </w:r>
          </w:p>
        </w:tc>
        <w:tc>
          <w:tcPr>
            <w:tcW w:w="5245" w:type="dxa"/>
          </w:tcPr>
          <w:p w14:paraId="291AB2A2" w14:textId="4D55635C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</w:t>
            </w:r>
            <w:r w:rsidR="00E23618">
              <w:rPr>
                <w:b/>
              </w:rPr>
              <w:t>4</w:t>
            </w:r>
            <w:r>
              <w:rPr>
                <w:b/>
              </w:rPr>
              <w:t>/</w:t>
            </w:r>
            <w:r w:rsidR="00920479">
              <w:rPr>
                <w:b/>
              </w:rPr>
              <w:t>5</w:t>
            </w:r>
            <w:r>
              <w:rPr>
                <w:b/>
              </w:rPr>
              <w:t>-E</w:t>
            </w:r>
          </w:p>
        </w:tc>
      </w:tr>
      <w:tr w:rsidR="00AD3606" w:rsidRPr="00813E5E" w14:paraId="789B45BA" w14:textId="77777777" w:rsidTr="5C34826B">
        <w:trPr>
          <w:cantSplit/>
        </w:trPr>
        <w:tc>
          <w:tcPr>
            <w:tcW w:w="3969" w:type="dxa"/>
            <w:vMerge/>
          </w:tcPr>
          <w:p w14:paraId="3F3D4E17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5FC3A0C2" w:rsidR="00AD3606" w:rsidRPr="00E85629" w:rsidRDefault="00C41AE8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9 April</w:t>
            </w:r>
            <w:r w:rsidR="00AD3606">
              <w:rPr>
                <w:b/>
              </w:rPr>
              <w:t xml:space="preserve"> 202</w:t>
            </w:r>
            <w:r w:rsidR="00E23618">
              <w:rPr>
                <w:b/>
              </w:rPr>
              <w:t>4</w:t>
            </w:r>
          </w:p>
        </w:tc>
      </w:tr>
      <w:tr w:rsidR="00AD3606" w:rsidRPr="00813E5E" w14:paraId="58A84C4A" w14:textId="77777777" w:rsidTr="5C34826B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12C5EF5F" w14:textId="77777777" w:rsidTr="5C34826B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5C34826B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77777777" w:rsidR="00AD3606" w:rsidRPr="006850BE" w:rsidRDefault="00AD3606" w:rsidP="006850BE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6850BE">
              <w:t>Report by the Secretary-General</w:t>
            </w:r>
          </w:p>
        </w:tc>
      </w:tr>
      <w:tr w:rsidR="00AD3606" w:rsidRPr="00813E5E" w14:paraId="2340750D" w14:textId="77777777" w:rsidTr="5C34826B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6F23E4AB" w:rsidR="00AD3606" w:rsidRPr="006850BE" w:rsidRDefault="00920479" w:rsidP="006850BE">
            <w:pPr>
              <w:pStyle w:val="Subtitle1"/>
              <w:framePr w:hSpace="0" w:wrap="auto" w:xAlign="left" w:yAlign="inline"/>
            </w:pPr>
            <w:bookmarkStart w:id="9" w:name="_Hlk160693145"/>
            <w:bookmarkStart w:id="10" w:name="dtitle1" w:colFirst="0" w:colLast="0"/>
            <w:bookmarkEnd w:id="8"/>
            <w:r w:rsidRPr="00920479">
              <w:t>PREPARATION FOR THE 2026 WORLD TELECOMMUNICATION/ICT POLICY FORUM (WTPF-26)</w:t>
            </w:r>
            <w:bookmarkEnd w:id="9"/>
          </w:p>
        </w:tc>
      </w:tr>
      <w:tr w:rsidR="00AD3606" w:rsidRPr="00813E5E" w14:paraId="1F564D2D" w14:textId="77777777" w:rsidTr="5C34826B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5F066CA6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3F838EB9" w:rsidR="00AD3606" w:rsidRPr="00813E5E" w:rsidRDefault="00920479" w:rsidP="00C41AE8">
            <w:pPr>
              <w:jc w:val="both"/>
            </w:pPr>
            <w:r w:rsidRPr="00920479">
              <w:t xml:space="preserve">Resolution 2 (Rev. Bucharest, 2022) of the Plenipotentiary Conference resolves to hold the world telecommunication/ICT policy forum (WTPF) preferably back-to-back with the World Summit on the Information Society (WSIS) forum, taking account of the need to ensure adequate preparation by Member States. This document provides some background information on </w:t>
            </w:r>
            <w:proofErr w:type="gramStart"/>
            <w:r w:rsidRPr="00920479">
              <w:t>WTPF</w:t>
            </w:r>
            <w:proofErr w:type="gramEnd"/>
            <w:r w:rsidRPr="00920479">
              <w:t xml:space="preserve"> and highlights instructions received from the Plenipotentiary Conference (Bucharest, 2022).</w:t>
            </w:r>
          </w:p>
          <w:p w14:paraId="5076D5C4" w14:textId="77777777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F16BAB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027F194C" w14:textId="77777777" w:rsidR="00920479" w:rsidRPr="00920479" w:rsidRDefault="00920479" w:rsidP="00920479">
            <w:r w:rsidRPr="00920479">
              <w:t>Resolution 2 (Rev. Bucharest, 2022) instructs the ITU Council to:</w:t>
            </w:r>
          </w:p>
          <w:p w14:paraId="60FA3AB2" w14:textId="17940470" w:rsidR="00920479" w:rsidRPr="00920479" w:rsidRDefault="00920479" w:rsidP="00920479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ab/>
            </w:r>
            <w:r w:rsidRPr="00920479">
              <w:rPr>
                <w:b/>
                <w:bCs/>
              </w:rPr>
              <w:t>decide</w:t>
            </w:r>
            <w:r w:rsidRPr="00920479">
              <w:t xml:space="preserve"> on the duration, date, venue, agenda and themes of any future </w:t>
            </w:r>
            <w:proofErr w:type="gramStart"/>
            <w:r w:rsidRPr="00920479">
              <w:t>WTPF;</w:t>
            </w:r>
            <w:proofErr w:type="gramEnd"/>
          </w:p>
          <w:p w14:paraId="7AAAA072" w14:textId="1F4A5FAB" w:rsidR="00920479" w:rsidRPr="00920479" w:rsidRDefault="00920479" w:rsidP="00920479">
            <w:pPr>
              <w:numPr>
                <w:ilvl w:val="0"/>
                <w:numId w:val="2"/>
              </w:numPr>
            </w:pPr>
            <w:r>
              <w:tab/>
            </w:r>
            <w:r w:rsidRPr="00920479">
              <w:rPr>
                <w:b/>
                <w:bCs/>
              </w:rPr>
              <w:t>adopt</w:t>
            </w:r>
            <w:r w:rsidRPr="00920479">
              <w:t xml:space="preserve"> a procedure for preparation of the report by the Secretary-General to WTPF.</w:t>
            </w:r>
          </w:p>
          <w:p w14:paraId="79F38DAD" w14:textId="7EDA27D3" w:rsidR="00AD3606" w:rsidRPr="00484009" w:rsidRDefault="00920479" w:rsidP="00920479">
            <w:r w:rsidRPr="00920479">
              <w:t xml:space="preserve">The Council is invited </w:t>
            </w:r>
            <w:r w:rsidRPr="00920479">
              <w:rPr>
                <w:b/>
                <w:bCs/>
              </w:rPr>
              <w:t>to provide guidance</w:t>
            </w:r>
            <w:r w:rsidRPr="00920479">
              <w:t xml:space="preserve"> on the above.</w:t>
            </w:r>
          </w:p>
          <w:p w14:paraId="0F8F1F03" w14:textId="64E4BB8E" w:rsid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Relevant link</w:t>
            </w:r>
            <w:r w:rsidR="00C41AE8">
              <w:rPr>
                <w:b/>
                <w:bCs/>
                <w:sz w:val="26"/>
                <w:szCs w:val="26"/>
              </w:rPr>
              <w:t>(s)</w:t>
            </w:r>
            <w:r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00A55EA1" w14:textId="2461C9CC" w:rsidR="00F16BAB" w:rsidRPr="00F16BAB" w:rsidRDefault="00920479" w:rsidP="00F16BAB">
            <w:r w:rsidRPr="00920479">
              <w:t>Advancing universal connectivity and sustainable digital transformation; convening platform.</w:t>
            </w:r>
          </w:p>
          <w:p w14:paraId="632C043A" w14:textId="35FC3417" w:rsid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5C34826B">
              <w:rPr>
                <w:b/>
                <w:bCs/>
                <w:sz w:val="26"/>
                <w:szCs w:val="26"/>
              </w:rPr>
              <w:t>Financial implications</w:t>
            </w:r>
          </w:p>
          <w:p w14:paraId="0F587BAF" w14:textId="45209CB7" w:rsidR="00AD3606" w:rsidRPr="00813E5E" w:rsidRDefault="56F3397E" w:rsidP="5C34826B">
            <w:pPr>
              <w:spacing w:before="160"/>
              <w:rPr>
                <w:rFonts w:eastAsia="Calibri" w:cs="Calibri"/>
                <w:color w:val="000000" w:themeColor="text1"/>
                <w:szCs w:val="24"/>
              </w:rPr>
            </w:pPr>
            <w:r>
              <w:t xml:space="preserve">As the preparatory work will start in 2024 </w:t>
            </w:r>
            <w:r w:rsidR="4C6DF70A">
              <w:t>and 2025, 80</w:t>
            </w:r>
            <w:r w:rsidR="00235098">
              <w:t> </w:t>
            </w:r>
            <w:r w:rsidR="4C6DF70A">
              <w:t>000</w:t>
            </w:r>
            <w:r w:rsidR="00235098">
              <w:t> </w:t>
            </w:r>
            <w:r w:rsidR="4C6DF70A">
              <w:t>CH</w:t>
            </w:r>
            <w:r w:rsidR="00235098">
              <w:t>F</w:t>
            </w:r>
            <w:r w:rsidR="4C6DF70A">
              <w:t xml:space="preserve"> </w:t>
            </w:r>
            <w:r w:rsidR="58F3797B">
              <w:t>w</w:t>
            </w:r>
            <w:r w:rsidR="662A85FC">
              <w:t xml:space="preserve">ill be </w:t>
            </w:r>
            <w:r w:rsidR="433FC107">
              <w:t xml:space="preserve">required for </w:t>
            </w:r>
            <w:r w:rsidR="662A85FC">
              <w:t>the</w:t>
            </w:r>
            <w:r w:rsidR="31522CD2">
              <w:t xml:space="preserve"> hiring</w:t>
            </w:r>
            <w:r w:rsidR="4D89741E">
              <w:t xml:space="preserve"> of </w:t>
            </w:r>
            <w:r w:rsidR="70850658">
              <w:t xml:space="preserve">an SSA as </w:t>
            </w:r>
            <w:r w:rsidR="00301D8F">
              <w:t>indicated</w:t>
            </w:r>
            <w:r w:rsidR="70850658">
              <w:t xml:space="preserve"> in Doc </w:t>
            </w:r>
            <w:hyperlink r:id="rId11" w:history="1">
              <w:r w:rsidR="70850658" w:rsidRPr="00235098">
                <w:rPr>
                  <w:rStyle w:val="Hyperlink"/>
                </w:rPr>
                <w:t>C24/19</w:t>
              </w:r>
            </w:hyperlink>
            <w:r w:rsidR="31522CD2">
              <w:t>.</w:t>
            </w:r>
            <w:r w:rsidR="012BFEAA">
              <w:t xml:space="preserve"> </w:t>
            </w:r>
          </w:p>
          <w:p w14:paraId="2AAB18B0" w14:textId="19ECD05A" w:rsidR="00AD3606" w:rsidRPr="00813E5E" w:rsidRDefault="00AD3606" w:rsidP="5C34826B">
            <w:pPr>
              <w:spacing w:before="160"/>
              <w:rPr>
                <w:caps/>
                <w:sz w:val="22"/>
                <w:szCs w:val="22"/>
              </w:rPr>
            </w:pPr>
            <w:r w:rsidRPr="5C34826B">
              <w:rPr>
                <w:sz w:val="22"/>
                <w:szCs w:val="22"/>
              </w:rPr>
              <w:t>__________________</w:t>
            </w:r>
          </w:p>
          <w:p w14:paraId="00DEE14C" w14:textId="6D6E1F7B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37D74B62">
              <w:rPr>
                <w:b/>
                <w:bCs/>
                <w:sz w:val="26"/>
                <w:szCs w:val="26"/>
              </w:rPr>
              <w:t>Reference</w:t>
            </w:r>
          </w:p>
          <w:p w14:paraId="0175CD6C" w14:textId="2AA340ED" w:rsidR="00AD3606" w:rsidRPr="00235098" w:rsidRDefault="00BD0666" w:rsidP="00F16BAB">
            <w:pPr>
              <w:spacing w:after="160"/>
              <w:rPr>
                <w:sz w:val="22"/>
                <w:szCs w:val="22"/>
              </w:rPr>
            </w:pPr>
            <w:hyperlink r:id="rId12" w:history="1">
              <w:r w:rsidR="00920479" w:rsidRPr="00235098">
                <w:rPr>
                  <w:rStyle w:val="Hyperlink"/>
                  <w:i/>
                  <w:iCs/>
                  <w:sz w:val="22"/>
                  <w:szCs w:val="22"/>
                </w:rPr>
                <w:t>Resolution 2</w:t>
              </w:r>
            </w:hyperlink>
            <w:r w:rsidR="00920479" w:rsidRPr="00235098">
              <w:rPr>
                <w:i/>
                <w:iCs/>
                <w:sz w:val="22"/>
                <w:szCs w:val="22"/>
              </w:rPr>
              <w:t xml:space="preserve"> (Rev. Bucharest, 2022) of the Plenipotentiary Conference; Document </w:t>
            </w:r>
            <w:hyperlink r:id="rId13" w:history="1">
              <w:r w:rsidR="00920479" w:rsidRPr="00235098">
                <w:rPr>
                  <w:rStyle w:val="Hyperlink"/>
                  <w:i/>
                  <w:iCs/>
                  <w:sz w:val="22"/>
                  <w:szCs w:val="22"/>
                </w:rPr>
                <w:t>PP-22/207</w:t>
              </w:r>
            </w:hyperlink>
            <w:r w:rsidR="00920479" w:rsidRPr="00235098">
              <w:rPr>
                <w:i/>
                <w:iCs/>
                <w:sz w:val="22"/>
                <w:szCs w:val="22"/>
              </w:rPr>
              <w:t xml:space="preserve"> of the Plenipotentiary Conference</w:t>
            </w:r>
          </w:p>
        </w:tc>
      </w:tr>
    </w:tbl>
    <w:p w14:paraId="4CDB8B60" w14:textId="2A4D9B15" w:rsidR="00E227F3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1" w:name="_Hlk133421428"/>
      <w:bookmarkEnd w:id="2"/>
      <w:bookmarkEnd w:id="10"/>
    </w:p>
    <w:bookmarkEnd w:id="3"/>
    <w:bookmarkEnd w:id="4"/>
    <w:p w14:paraId="1D7ED322" w14:textId="77777777" w:rsidR="0090147A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>
        <w:rPr>
          <w:lang w:val="es-ES"/>
        </w:rPr>
        <w:br w:type="page"/>
      </w:r>
    </w:p>
    <w:bookmarkEnd w:id="5"/>
    <w:bookmarkEnd w:id="11"/>
    <w:p w14:paraId="44DE40E1" w14:textId="56C45B37" w:rsidR="00920479" w:rsidRDefault="00920479" w:rsidP="009204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cs="Calibri"/>
          <w:szCs w:val="24"/>
          <w:lang w:eastAsia="zh-CN"/>
        </w:rPr>
      </w:pPr>
      <w:r>
        <w:lastRenderedPageBreak/>
        <w:t>1.</w:t>
      </w:r>
      <w:r>
        <w:tab/>
      </w:r>
      <w:hyperlink r:id="rId14" w:history="1">
        <w:r w:rsidRPr="00235098">
          <w:rPr>
            <w:rStyle w:val="Hyperlink"/>
          </w:rPr>
          <w:t>Resolution 2</w:t>
        </w:r>
      </w:hyperlink>
      <w:r w:rsidRPr="00BA5CBA">
        <w:t xml:space="preserve"> (Rev. </w:t>
      </w:r>
      <w:r>
        <w:t>Bucharest</w:t>
      </w:r>
      <w:r w:rsidRPr="00BA5CBA">
        <w:t xml:space="preserve">, </w:t>
      </w:r>
      <w:r>
        <w:t>202</w:t>
      </w:r>
      <w:r w:rsidRPr="004A7FDC">
        <w:rPr>
          <w:rFonts w:cs="Calibri"/>
          <w:szCs w:val="24"/>
          <w:lang w:eastAsia="zh-CN"/>
        </w:rPr>
        <w:t xml:space="preserve">2) resolves </w:t>
      </w:r>
      <w:r>
        <w:rPr>
          <w:rFonts w:cs="Calibri"/>
          <w:szCs w:val="24"/>
          <w:lang w:eastAsia="zh-CN"/>
        </w:rPr>
        <w:t xml:space="preserve">to hold </w:t>
      </w:r>
      <w:r w:rsidRPr="00920479">
        <w:t xml:space="preserve">the world telecommunication/ICT policy forum </w:t>
      </w:r>
      <w:r>
        <w:t>(</w:t>
      </w:r>
      <w:r>
        <w:rPr>
          <w:rFonts w:cs="Calibri"/>
          <w:szCs w:val="24"/>
          <w:lang w:eastAsia="zh-CN"/>
        </w:rPr>
        <w:t>WTPF) preferably back-</w:t>
      </w:r>
      <w:r w:rsidRPr="001E44D9">
        <w:rPr>
          <w:rFonts w:cs="Calibri"/>
          <w:szCs w:val="24"/>
          <w:lang w:eastAsia="zh-CN"/>
        </w:rPr>
        <w:t>to</w:t>
      </w:r>
      <w:r>
        <w:rPr>
          <w:rFonts w:cs="Calibri"/>
          <w:szCs w:val="24"/>
          <w:lang w:eastAsia="zh-CN"/>
        </w:rPr>
        <w:t>-</w:t>
      </w:r>
      <w:r w:rsidRPr="001E44D9">
        <w:rPr>
          <w:rFonts w:cs="Calibri"/>
          <w:szCs w:val="24"/>
          <w:lang w:eastAsia="zh-CN"/>
        </w:rPr>
        <w:t xml:space="preserve">back with the </w:t>
      </w:r>
      <w:r>
        <w:rPr>
          <w:rFonts w:cs="Calibri"/>
          <w:szCs w:val="24"/>
          <w:lang w:eastAsia="zh-CN"/>
        </w:rPr>
        <w:t>World Summit on the Information Society (WSIS) forum</w:t>
      </w:r>
      <w:r w:rsidRPr="001E44D9">
        <w:rPr>
          <w:rFonts w:cs="Calibri"/>
          <w:szCs w:val="24"/>
          <w:lang w:eastAsia="zh-CN"/>
        </w:rPr>
        <w:t>, taking account of the need to ensure adequate preparation by Member States.</w:t>
      </w:r>
    </w:p>
    <w:p w14:paraId="1D6BE07E" w14:textId="77777777" w:rsidR="00920479" w:rsidRPr="00CE2721" w:rsidRDefault="00920479" w:rsidP="009204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cs="Calibri"/>
          <w:szCs w:val="24"/>
          <w:lang w:eastAsia="zh-CN"/>
        </w:rPr>
      </w:pPr>
      <w:r>
        <w:rPr>
          <w:rFonts w:cs="Calibri"/>
          <w:szCs w:val="24"/>
          <w:lang w:eastAsia="zh-CN"/>
        </w:rPr>
        <w:t>2.</w:t>
      </w:r>
      <w:r>
        <w:rPr>
          <w:rFonts w:cs="Calibri"/>
          <w:szCs w:val="24"/>
          <w:lang w:eastAsia="zh-CN"/>
        </w:rPr>
        <w:tab/>
        <w:t xml:space="preserve">The Plenipotentiary Conference (Bucharest, 2022) </w:t>
      </w:r>
      <w:r w:rsidRPr="00600ACD">
        <w:rPr>
          <w:rFonts w:asciiTheme="minorHAnsi" w:hAnsiTheme="minorHAnsi"/>
          <w:szCs w:val="24"/>
          <w:lang w:val="en-CA"/>
        </w:rPr>
        <w:t>also instruct</w:t>
      </w:r>
      <w:r>
        <w:rPr>
          <w:rFonts w:asciiTheme="minorHAnsi" w:hAnsiTheme="minorHAnsi"/>
          <w:szCs w:val="24"/>
          <w:lang w:val="en-CA"/>
        </w:rPr>
        <w:t>ed</w:t>
      </w:r>
      <w:r w:rsidRPr="00600ACD">
        <w:rPr>
          <w:rFonts w:asciiTheme="minorHAnsi" w:hAnsiTheme="minorHAnsi"/>
          <w:szCs w:val="24"/>
          <w:lang w:val="en-CA"/>
        </w:rPr>
        <w:t xml:space="preserve"> the Council to schedule a WTPF in 2026</w:t>
      </w:r>
      <w:r>
        <w:rPr>
          <w:rFonts w:asciiTheme="minorHAnsi" w:hAnsiTheme="minorHAnsi"/>
          <w:szCs w:val="24"/>
          <w:lang w:val="en-CA"/>
        </w:rPr>
        <w:t>.</w:t>
      </w:r>
    </w:p>
    <w:p w14:paraId="4E8FF2B3" w14:textId="77777777" w:rsidR="00920479" w:rsidRDefault="00920479" w:rsidP="009204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3.</w:t>
      </w:r>
      <w:r>
        <w:rPr>
          <w:rFonts w:asciiTheme="minorHAnsi" w:hAnsiTheme="minorHAnsi"/>
          <w:szCs w:val="24"/>
          <w:lang w:val="en-CA"/>
        </w:rPr>
        <w:tab/>
      </w:r>
      <w:r w:rsidRPr="00CA0716">
        <w:rPr>
          <w:rFonts w:asciiTheme="minorHAnsi" w:hAnsiTheme="minorHAnsi"/>
          <w:szCs w:val="24"/>
          <w:lang w:val="en-CA"/>
        </w:rPr>
        <w:t xml:space="preserve">Resolution 2 (Rev. Bucharest, 2022) instructs </w:t>
      </w:r>
      <w:r>
        <w:rPr>
          <w:rFonts w:asciiTheme="minorHAnsi" w:hAnsiTheme="minorHAnsi"/>
          <w:szCs w:val="24"/>
          <w:lang w:val="en-CA"/>
        </w:rPr>
        <w:t xml:space="preserve">the </w:t>
      </w:r>
      <w:r w:rsidRPr="00CA0716">
        <w:rPr>
          <w:rFonts w:asciiTheme="minorHAnsi" w:hAnsiTheme="minorHAnsi"/>
          <w:szCs w:val="24"/>
          <w:lang w:val="en-CA"/>
        </w:rPr>
        <w:t>Council to:</w:t>
      </w:r>
    </w:p>
    <w:p w14:paraId="035EAE53" w14:textId="73C6449B" w:rsidR="00920479" w:rsidRPr="00CA0716" w:rsidRDefault="00920479" w:rsidP="6A6E653A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714" w:hanging="357"/>
        <w:jc w:val="both"/>
        <w:rPr>
          <w:rFonts w:asciiTheme="minorHAnsi" w:hAnsiTheme="minorHAnsi"/>
          <w:lang w:val="en-CA"/>
        </w:rPr>
      </w:pPr>
      <w:r w:rsidRPr="1F9DB2FF">
        <w:rPr>
          <w:rFonts w:asciiTheme="minorHAnsi" w:hAnsiTheme="minorHAnsi"/>
          <w:lang w:val="en-CA"/>
        </w:rPr>
        <w:t xml:space="preserve">decide on the duration, date, venue, agenda and themes of any future </w:t>
      </w:r>
      <w:proofErr w:type="gramStart"/>
      <w:r w:rsidRPr="1F9DB2FF">
        <w:rPr>
          <w:rFonts w:asciiTheme="minorHAnsi" w:hAnsiTheme="minorHAnsi"/>
          <w:lang w:val="en-CA"/>
        </w:rPr>
        <w:t>WTPF;</w:t>
      </w:r>
      <w:proofErr w:type="gramEnd"/>
    </w:p>
    <w:p w14:paraId="62524BD7" w14:textId="77777777" w:rsidR="00920479" w:rsidRPr="00CA0716" w:rsidRDefault="00920479" w:rsidP="00920479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714" w:hanging="357"/>
        <w:contextualSpacing w:val="0"/>
        <w:jc w:val="both"/>
      </w:pPr>
      <w:r w:rsidRPr="00CA0716">
        <w:rPr>
          <w:rFonts w:asciiTheme="minorHAnsi" w:hAnsiTheme="minorHAnsi"/>
          <w:szCs w:val="24"/>
          <w:lang w:val="en-CA"/>
        </w:rPr>
        <w:t xml:space="preserve">adopt a procedure for preparation of the report by the Secretary-General to </w:t>
      </w:r>
      <w:proofErr w:type="gramStart"/>
      <w:r w:rsidRPr="00CA0716">
        <w:rPr>
          <w:rFonts w:asciiTheme="minorHAnsi" w:hAnsiTheme="minorHAnsi"/>
          <w:szCs w:val="24"/>
          <w:lang w:val="en-CA"/>
        </w:rPr>
        <w:t>WTPF</w:t>
      </w:r>
      <w:r>
        <w:rPr>
          <w:rFonts w:asciiTheme="minorHAnsi" w:hAnsiTheme="minorHAnsi"/>
          <w:szCs w:val="24"/>
          <w:lang w:val="en-CA"/>
        </w:rPr>
        <w:t>;</w:t>
      </w:r>
      <w:proofErr w:type="gramEnd"/>
    </w:p>
    <w:p w14:paraId="0A345EF6" w14:textId="77777777" w:rsidR="00920479" w:rsidRDefault="00920479" w:rsidP="00920479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ind w:left="714" w:hanging="357"/>
        <w:contextualSpacing w:val="0"/>
        <w:jc w:val="both"/>
        <w:textAlignment w:val="auto"/>
      </w:pPr>
      <w:r w:rsidRPr="00CA0716">
        <w:t xml:space="preserve">that the procedure referred to in </w:t>
      </w:r>
      <w:r w:rsidRPr="004A7FDC">
        <w:rPr>
          <w:i/>
          <w:iCs/>
        </w:rPr>
        <w:t xml:space="preserve">instructs the ITU Council </w:t>
      </w:r>
      <w:r w:rsidRPr="00CA0716">
        <w:t>2 should include, as</w:t>
      </w:r>
      <w:r>
        <w:t xml:space="preserve"> </w:t>
      </w:r>
      <w:r w:rsidRPr="00CA0716">
        <w:t>appropriate, participation open to all Member States and Sector Members, and online public</w:t>
      </w:r>
      <w:r>
        <w:t xml:space="preserve"> </w:t>
      </w:r>
      <w:r w:rsidRPr="00CA0716">
        <w:t xml:space="preserve">consultations open to all interested stakeholders, </w:t>
      </w:r>
      <w:proofErr w:type="gramStart"/>
      <w:r w:rsidRPr="00CA0716">
        <w:t>taking into account</w:t>
      </w:r>
      <w:proofErr w:type="gramEnd"/>
      <w:r w:rsidRPr="00CA0716">
        <w:t xml:space="preserve"> the past practices followed</w:t>
      </w:r>
      <w:r>
        <w:t xml:space="preserve"> </w:t>
      </w:r>
      <w:r w:rsidRPr="00CA0716">
        <w:t>and experience acquired by ITU, including in respect of the preparatory process, in the holding</w:t>
      </w:r>
      <w:r>
        <w:t xml:space="preserve"> </w:t>
      </w:r>
      <w:r w:rsidRPr="00CA0716">
        <w:t>of previous WTPFs</w:t>
      </w:r>
      <w:r>
        <w:t>.</w:t>
      </w:r>
    </w:p>
    <w:p w14:paraId="162BAD68" w14:textId="5DAE1C7E" w:rsidR="00920479" w:rsidRDefault="00920479" w:rsidP="25B4EC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cs="Calibri"/>
          <w:lang w:eastAsia="zh-CN"/>
        </w:rPr>
      </w:pPr>
      <w:r>
        <w:t>4.</w:t>
      </w:r>
      <w:r>
        <w:tab/>
        <w:t xml:space="preserve">Document C23/13 on the Preparations for the 2026 </w:t>
      </w:r>
      <w:r w:rsidRPr="25B4ECD4">
        <w:rPr>
          <w:rFonts w:cs="Calibri"/>
          <w:lang w:eastAsia="zh-CN"/>
        </w:rPr>
        <w:t xml:space="preserve">world telecommunication/ICT policy forum (WTPF) was </w:t>
      </w:r>
      <w:r w:rsidRPr="25B4ECD4">
        <w:rPr>
          <w:rFonts w:cs="Calibri"/>
          <w:b/>
          <w:bCs/>
          <w:lang w:eastAsia="zh-CN"/>
        </w:rPr>
        <w:t>noted</w:t>
      </w:r>
      <w:r w:rsidRPr="25B4ECD4">
        <w:rPr>
          <w:rFonts w:cs="Calibri"/>
          <w:lang w:eastAsia="zh-CN"/>
        </w:rPr>
        <w:t xml:space="preserve"> by Council-23, with councillors stating that final decision on the proposals could be taken at Council-24.</w:t>
      </w:r>
      <w:r w:rsidR="4A6E1096" w:rsidRPr="25B4ECD4">
        <w:rPr>
          <w:rFonts w:cs="Calibri"/>
          <w:lang w:eastAsia="zh-CN"/>
        </w:rPr>
        <w:t xml:space="preserve"> </w:t>
      </w:r>
    </w:p>
    <w:p w14:paraId="24A81E70" w14:textId="0D8DDF15" w:rsidR="00920479" w:rsidRPr="00CE7AB6" w:rsidRDefault="00920479" w:rsidP="009204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>5.</w:t>
      </w:r>
      <w:r>
        <w:tab/>
        <w:t xml:space="preserve">Council-23 appointed </w:t>
      </w:r>
      <w:r w:rsidRPr="00783727">
        <w:t>Mr David Bedard (Canada)</w:t>
      </w:r>
      <w:r>
        <w:t xml:space="preserve"> as the chair of the </w:t>
      </w:r>
      <w:r w:rsidRPr="004979FB">
        <w:t>informal group of experts</w:t>
      </w:r>
      <w:r>
        <w:t xml:space="preserve"> (IEG)</w:t>
      </w:r>
      <w:r w:rsidRPr="003F7475">
        <w:t xml:space="preserve"> to advise the Secretary-General on further elaboration of the </w:t>
      </w:r>
      <w:r>
        <w:t xml:space="preserve">Secretary-General’s </w:t>
      </w:r>
      <w:r w:rsidRPr="003F7475">
        <w:t xml:space="preserve">report </w:t>
      </w:r>
      <w:r>
        <w:t xml:space="preserve">to WTPF </w:t>
      </w:r>
      <w:r w:rsidRPr="003F7475">
        <w:t>and of draft opinions associated with it</w:t>
      </w:r>
      <w:r>
        <w:t>.</w:t>
      </w:r>
    </w:p>
    <w:p w14:paraId="60A4763E" w14:textId="77777777" w:rsidR="00920479" w:rsidRPr="00142438" w:rsidRDefault="00920479" w:rsidP="009204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 xml:space="preserve">6. </w:t>
      </w:r>
      <w:r w:rsidRPr="00142438">
        <w:t>The proposed timeline for the preparation for WTPF-202</w:t>
      </w:r>
      <w:r>
        <w:t>6</w:t>
      </w:r>
      <w:r w:rsidRPr="00142438">
        <w:t xml:space="preserve"> is as follows: </w:t>
      </w:r>
    </w:p>
    <w:p w14:paraId="20591446" w14:textId="77777777" w:rsidR="00920479" w:rsidRDefault="00920479" w:rsidP="00044B1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240"/>
        <w:textAlignment w:val="auto"/>
        <w:rPr>
          <w:rFonts w:cs="Calibri"/>
          <w:szCs w:val="24"/>
          <w:lang w:eastAsia="zh-CN"/>
        </w:rPr>
      </w:pPr>
    </w:p>
    <w:tbl>
      <w:tblPr>
        <w:tblW w:w="92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5860"/>
      </w:tblGrid>
      <w:tr w:rsidR="00920479" w:rsidRPr="00A05B99" w14:paraId="64A8CFE0" w14:textId="77777777" w:rsidTr="00BD0666">
        <w:trPr>
          <w:jc w:val="center"/>
        </w:trPr>
        <w:tc>
          <w:tcPr>
            <w:tcW w:w="3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B7C8D" w14:textId="77777777" w:rsidR="00920479" w:rsidRPr="00A05B99" w:rsidRDefault="00920479" w:rsidP="00BD06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</w:pPr>
            <w:r w:rsidRPr="00A05B99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Timeline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5ECC2" w14:textId="77777777" w:rsidR="00920479" w:rsidRPr="00A05B99" w:rsidRDefault="00920479" w:rsidP="00BD06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</w:pPr>
          </w:p>
        </w:tc>
      </w:tr>
      <w:tr w:rsidR="00920479" w:rsidRPr="00A05B99" w14:paraId="5366A222" w14:textId="77777777" w:rsidTr="00920479">
        <w:trPr>
          <w:trHeight w:val="710"/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BB8E4" w14:textId="77777777" w:rsidR="00920479" w:rsidRPr="00A05B99" w:rsidRDefault="00920479" w:rsidP="0092047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 xml:space="preserve">September </w:t>
            </w:r>
            <w:r w:rsidRPr="00A05B99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20</w:t>
            </w:r>
            <w:r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24</w:t>
            </w:r>
            <w:r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br/>
            </w:r>
            <w:r w:rsidRPr="00A05B99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(</w:t>
            </w:r>
            <w:r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 xml:space="preserve">as part of </w:t>
            </w:r>
            <w:r w:rsidRPr="00A05B99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CWG-Cluster)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C79C" w14:textId="77777777" w:rsidR="00920479" w:rsidRPr="00A05B99" w:rsidRDefault="00920479" w:rsidP="0092047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</w:pPr>
            <w:r w:rsidRPr="00A05B99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 xml:space="preserve">First meeting of the </w:t>
            </w:r>
            <w:r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IEG (2 days)</w:t>
            </w:r>
          </w:p>
        </w:tc>
      </w:tr>
      <w:tr w:rsidR="00920479" w:rsidRPr="00A05B99" w14:paraId="17ECB2CF" w14:textId="77777777" w:rsidTr="00920479">
        <w:trPr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6D2F0" w14:textId="77777777" w:rsidR="00920479" w:rsidRPr="00A05B99" w:rsidRDefault="00920479" w:rsidP="0092047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 xml:space="preserve">February </w:t>
            </w:r>
            <w:r w:rsidRPr="00A05B99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20</w:t>
            </w:r>
            <w:r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25</w:t>
            </w:r>
          </w:p>
          <w:p w14:paraId="3AB6F9D5" w14:textId="77777777" w:rsidR="00920479" w:rsidRPr="00A05B99" w:rsidRDefault="00920479" w:rsidP="0092047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</w:pPr>
            <w:r w:rsidRPr="00A05B99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(</w:t>
            </w:r>
            <w:r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 xml:space="preserve">as part of </w:t>
            </w:r>
            <w:r w:rsidRPr="00A05B99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CWG-Cluster)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B4682" w14:textId="77777777" w:rsidR="00920479" w:rsidRPr="00A05B99" w:rsidRDefault="00920479" w:rsidP="0092047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</w:pPr>
            <w:r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Second</w:t>
            </w:r>
            <w:r w:rsidRPr="0049424C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 xml:space="preserve"> meeting of the IEG</w:t>
            </w:r>
            <w:r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 xml:space="preserve"> </w:t>
            </w:r>
            <w:r w:rsidRPr="0049424C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(2 days)</w:t>
            </w:r>
          </w:p>
        </w:tc>
      </w:tr>
      <w:tr w:rsidR="00920479" w:rsidRPr="00A05B99" w14:paraId="0D8556EF" w14:textId="77777777" w:rsidTr="00920479">
        <w:trPr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470E9" w14:textId="77777777" w:rsidR="00920479" w:rsidRPr="00A05B99" w:rsidRDefault="00920479" w:rsidP="0092047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 xml:space="preserve">September </w:t>
            </w:r>
            <w:r w:rsidRPr="00A05B99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20</w:t>
            </w:r>
            <w:r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25</w:t>
            </w:r>
            <w:r w:rsidRPr="00A05B99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br/>
            </w:r>
            <w:r w:rsidRPr="00A05B99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(</w:t>
            </w:r>
            <w:r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 xml:space="preserve">as part of </w:t>
            </w:r>
            <w:r w:rsidRPr="00A05B99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CWG-Cluster)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C7FF2" w14:textId="77777777" w:rsidR="00920479" w:rsidRPr="00A05B99" w:rsidRDefault="00920479" w:rsidP="0092047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djustRightInd/>
              <w:spacing w:before="60" w:after="60"/>
              <w:textAlignment w:val="auto"/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</w:pPr>
            <w:r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Third</w:t>
            </w:r>
            <w:r w:rsidRPr="0049424C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 xml:space="preserve"> meeting of the IEG</w:t>
            </w:r>
            <w:r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 xml:space="preserve"> </w:t>
            </w:r>
            <w:r w:rsidRPr="0049424C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(</w:t>
            </w:r>
            <w:r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3</w:t>
            </w:r>
            <w:r w:rsidRPr="0049424C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 xml:space="preserve"> days)</w:t>
            </w:r>
          </w:p>
        </w:tc>
      </w:tr>
      <w:tr w:rsidR="00920479" w:rsidRPr="00A05B99" w14:paraId="01C4D87E" w14:textId="77777777" w:rsidTr="00920479">
        <w:trPr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4D781" w14:textId="77777777" w:rsidR="00920479" w:rsidRPr="00A05B99" w:rsidRDefault="00920479" w:rsidP="0092047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 xml:space="preserve">February </w:t>
            </w:r>
            <w:r w:rsidRPr="00A05B99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20</w:t>
            </w:r>
            <w:r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26</w:t>
            </w:r>
            <w:r w:rsidRPr="00A05B99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 xml:space="preserve"> </w:t>
            </w:r>
          </w:p>
          <w:p w14:paraId="6AAC510B" w14:textId="77777777" w:rsidR="00920479" w:rsidRPr="00A05B99" w:rsidRDefault="00920479" w:rsidP="0092047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</w:pPr>
            <w:r w:rsidRPr="00A05B99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(</w:t>
            </w:r>
            <w:r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 xml:space="preserve">as part of </w:t>
            </w:r>
            <w:r w:rsidRPr="00A05B99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CWG-Cluster)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E0363" w14:textId="77777777" w:rsidR="00920479" w:rsidRPr="00A05B99" w:rsidRDefault="00920479" w:rsidP="0092047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djustRightInd/>
              <w:spacing w:before="60" w:after="60"/>
              <w:textAlignment w:val="auto"/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</w:pPr>
            <w:r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Fourth</w:t>
            </w:r>
            <w:r w:rsidRPr="0049424C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 xml:space="preserve"> meeting of the IEG</w:t>
            </w:r>
            <w:r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 xml:space="preserve"> </w:t>
            </w:r>
            <w:r w:rsidRPr="0049424C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(</w:t>
            </w:r>
            <w:r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3</w:t>
            </w:r>
            <w:r w:rsidRPr="0049424C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 xml:space="preserve"> days)</w:t>
            </w:r>
          </w:p>
        </w:tc>
      </w:tr>
      <w:tr w:rsidR="00920479" w:rsidRPr="00A05B99" w14:paraId="16C07E73" w14:textId="77777777" w:rsidTr="00920479">
        <w:trPr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2000F" w14:textId="26D3265F" w:rsidR="00920479" w:rsidRPr="00A05B99" w:rsidRDefault="00920479" w:rsidP="0092047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 xml:space="preserve">Mid-2026 </w:t>
            </w:r>
            <w:r w:rsidRPr="00CC1E04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(</w:t>
            </w:r>
            <w:r w:rsidRPr="00C6065B">
              <w:rPr>
                <w:rFonts w:cs="Calibri"/>
                <w:b/>
                <w:bCs/>
                <w:i/>
                <w:iCs/>
                <w:szCs w:val="24"/>
                <w:lang w:eastAsia="zh-CN"/>
              </w:rPr>
              <w:t>preferably back-to-back</w:t>
            </w:r>
            <w:r w:rsidRPr="00C6065B">
              <w:rPr>
                <w:rFonts w:cs="Calibri"/>
                <w:b/>
                <w:bCs/>
                <w:szCs w:val="24"/>
                <w:lang w:eastAsia="zh-CN"/>
              </w:rPr>
              <w:t xml:space="preserve"> with </w:t>
            </w:r>
            <w:r w:rsidRPr="00CC1E04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>WSIS Forum 2026)</w:t>
            </w:r>
            <w:r w:rsidRPr="00A05B99">
              <w:rPr>
                <w:rFonts w:asciiTheme="minorHAnsi" w:eastAsiaTheme="minorEastAsia" w:hAnsiTheme="minorHAnsi" w:cstheme="minorHAnsi"/>
                <w:b/>
                <w:bCs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938B1" w14:textId="77777777" w:rsidR="00920479" w:rsidRPr="00A05B99" w:rsidRDefault="00920479" w:rsidP="0092047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djustRightInd/>
              <w:spacing w:before="60" w:after="60"/>
              <w:textAlignment w:val="auto"/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</w:pPr>
            <w:r w:rsidRPr="00A05B99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Proposed dates for WTPF</w:t>
            </w:r>
            <w:r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-26</w:t>
            </w:r>
          </w:p>
        </w:tc>
      </w:tr>
    </w:tbl>
    <w:p w14:paraId="257674B4" w14:textId="62294C54" w:rsidR="00A514A4" w:rsidRPr="0090147A" w:rsidRDefault="00920479" w:rsidP="009204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lang w:val="es-ES"/>
        </w:rPr>
      </w:pPr>
      <w:r>
        <w:rPr>
          <w:lang w:val="es-ES"/>
        </w:rPr>
        <w:t>_______________</w:t>
      </w:r>
    </w:p>
    <w:sectPr w:rsidR="00A514A4" w:rsidRPr="0090147A" w:rsidSect="008B012E">
      <w:footerReference w:type="default" r:id="rId15"/>
      <w:headerReference w:type="first" r:id="rId16"/>
      <w:footerReference w:type="first" r:id="rId1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75A6" w14:textId="77777777" w:rsidR="008B012E" w:rsidRDefault="008B012E">
      <w:r>
        <w:separator/>
      </w:r>
    </w:p>
  </w:endnote>
  <w:endnote w:type="continuationSeparator" w:id="0">
    <w:p w14:paraId="239DA6C2" w14:textId="77777777" w:rsidR="008B012E" w:rsidRDefault="008B012E">
      <w:r>
        <w:continuationSeparator/>
      </w:r>
    </w:p>
  </w:endnote>
  <w:endnote w:type="continuationNotice" w:id="1">
    <w:p w14:paraId="619DC18D" w14:textId="77777777" w:rsidR="008B012E" w:rsidRDefault="008B012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BD0666">
      <w:trPr>
        <w:jc w:val="center"/>
      </w:trPr>
      <w:tc>
        <w:tcPr>
          <w:tcW w:w="1803" w:type="dxa"/>
          <w:vAlign w:val="center"/>
        </w:tcPr>
        <w:p w14:paraId="727FD637" w14:textId="26B016F1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5B214710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</w:t>
          </w:r>
          <w:r w:rsidR="00920479">
            <w:rPr>
              <w:bCs/>
            </w:rPr>
            <w:t>5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BD0666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59D58705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920479">
            <w:rPr>
              <w:bCs/>
            </w:rPr>
            <w:t>5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5950" w14:textId="77777777" w:rsidR="008B012E" w:rsidRDefault="008B012E">
      <w:r>
        <w:t>____________________</w:t>
      </w:r>
    </w:p>
  </w:footnote>
  <w:footnote w:type="continuationSeparator" w:id="0">
    <w:p w14:paraId="5492B4AE" w14:textId="77777777" w:rsidR="008B012E" w:rsidRDefault="008B012E">
      <w:r>
        <w:continuationSeparator/>
      </w:r>
    </w:p>
  </w:footnote>
  <w:footnote w:type="continuationNotice" w:id="1">
    <w:p w14:paraId="430C5F08" w14:textId="77777777" w:rsidR="008B012E" w:rsidRDefault="008B012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D4BB9D4" w14:textId="77777777" w:rsidTr="00BD0666">
      <w:trPr>
        <w:trHeight w:val="1104"/>
        <w:jc w:val="center"/>
      </w:trPr>
      <w:tc>
        <w:tcPr>
          <w:tcW w:w="4390" w:type="dxa"/>
          <w:vAlign w:val="center"/>
        </w:tcPr>
        <w:p w14:paraId="3E21B143" w14:textId="41A3D2F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noProof/>
            </w:rPr>
            <w:drawing>
              <wp:inline distT="0" distB="0" distL="0" distR="0" wp14:anchorId="44E11463" wp14:editId="40423983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A3A2C" w14:textId="782E9795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25E43F9A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EBBF8F9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9AE2AE" id="Rectangle 5" o:spid="_x0000_s1026" style="position:absolute;margin-left:1.05pt;margin-top:50.8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1729F"/>
    <w:multiLevelType w:val="hybridMultilevel"/>
    <w:tmpl w:val="8EB0A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975796908">
    <w:abstractNumId w:val="2"/>
  </w:num>
  <w:num w:numId="3" w16cid:durableId="191379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4B18"/>
    <w:rsid w:val="0004698E"/>
    <w:rsid w:val="00063016"/>
    <w:rsid w:val="00066795"/>
    <w:rsid w:val="00076AF6"/>
    <w:rsid w:val="00085CF2"/>
    <w:rsid w:val="0009678F"/>
    <w:rsid w:val="000B1705"/>
    <w:rsid w:val="000D75B2"/>
    <w:rsid w:val="001121F5"/>
    <w:rsid w:val="00124328"/>
    <w:rsid w:val="001400DC"/>
    <w:rsid w:val="00140CE1"/>
    <w:rsid w:val="0017539C"/>
    <w:rsid w:val="00175AC2"/>
    <w:rsid w:val="0017609F"/>
    <w:rsid w:val="00192DDA"/>
    <w:rsid w:val="001A7D1D"/>
    <w:rsid w:val="001B51DD"/>
    <w:rsid w:val="001C628E"/>
    <w:rsid w:val="001E0F7B"/>
    <w:rsid w:val="002119FD"/>
    <w:rsid w:val="002130E0"/>
    <w:rsid w:val="00235098"/>
    <w:rsid w:val="00264425"/>
    <w:rsid w:val="00265875"/>
    <w:rsid w:val="0027303B"/>
    <w:rsid w:val="0028109B"/>
    <w:rsid w:val="002A123D"/>
    <w:rsid w:val="002A2188"/>
    <w:rsid w:val="002B1D02"/>
    <w:rsid w:val="002B1F58"/>
    <w:rsid w:val="002C1C7A"/>
    <w:rsid w:val="002C54E2"/>
    <w:rsid w:val="0030160F"/>
    <w:rsid w:val="00301D8F"/>
    <w:rsid w:val="00320223"/>
    <w:rsid w:val="00322D0D"/>
    <w:rsid w:val="00361465"/>
    <w:rsid w:val="003877F5"/>
    <w:rsid w:val="003942D4"/>
    <w:rsid w:val="003958A8"/>
    <w:rsid w:val="003C2533"/>
    <w:rsid w:val="003D5A7F"/>
    <w:rsid w:val="003D716C"/>
    <w:rsid w:val="004016E2"/>
    <w:rsid w:val="0040435A"/>
    <w:rsid w:val="00416A24"/>
    <w:rsid w:val="00431D9E"/>
    <w:rsid w:val="00433CE8"/>
    <w:rsid w:val="00434A5C"/>
    <w:rsid w:val="004517D6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16174"/>
    <w:rsid w:val="005243FF"/>
    <w:rsid w:val="00564FBC"/>
    <w:rsid w:val="005800BC"/>
    <w:rsid w:val="00582442"/>
    <w:rsid w:val="005C3EC1"/>
    <w:rsid w:val="005F3269"/>
    <w:rsid w:val="00623AE3"/>
    <w:rsid w:val="0064737F"/>
    <w:rsid w:val="006535F1"/>
    <w:rsid w:val="0065557D"/>
    <w:rsid w:val="00660D50"/>
    <w:rsid w:val="00662984"/>
    <w:rsid w:val="006716BB"/>
    <w:rsid w:val="00674DF2"/>
    <w:rsid w:val="006850BE"/>
    <w:rsid w:val="006B1859"/>
    <w:rsid w:val="006B6680"/>
    <w:rsid w:val="006B6DCC"/>
    <w:rsid w:val="00702DEF"/>
    <w:rsid w:val="00706861"/>
    <w:rsid w:val="00737F58"/>
    <w:rsid w:val="0075051B"/>
    <w:rsid w:val="00751FB1"/>
    <w:rsid w:val="00793188"/>
    <w:rsid w:val="00794D34"/>
    <w:rsid w:val="00813E5E"/>
    <w:rsid w:val="0083581B"/>
    <w:rsid w:val="00863874"/>
    <w:rsid w:val="00864AFF"/>
    <w:rsid w:val="00865925"/>
    <w:rsid w:val="008B012E"/>
    <w:rsid w:val="008B4A6A"/>
    <w:rsid w:val="008C2D09"/>
    <w:rsid w:val="008C7E27"/>
    <w:rsid w:val="008F7448"/>
    <w:rsid w:val="0090147A"/>
    <w:rsid w:val="009173EF"/>
    <w:rsid w:val="00920479"/>
    <w:rsid w:val="00927021"/>
    <w:rsid w:val="00932906"/>
    <w:rsid w:val="00961B0B"/>
    <w:rsid w:val="00962D33"/>
    <w:rsid w:val="00997F9C"/>
    <w:rsid w:val="009B38C3"/>
    <w:rsid w:val="009E17BD"/>
    <w:rsid w:val="009E485A"/>
    <w:rsid w:val="00A04CEC"/>
    <w:rsid w:val="00A27F92"/>
    <w:rsid w:val="00A32257"/>
    <w:rsid w:val="00A36D20"/>
    <w:rsid w:val="00A514A4"/>
    <w:rsid w:val="00A55622"/>
    <w:rsid w:val="00A83502"/>
    <w:rsid w:val="00AA7FE8"/>
    <w:rsid w:val="00AD15B3"/>
    <w:rsid w:val="00AD3606"/>
    <w:rsid w:val="00AD4A3D"/>
    <w:rsid w:val="00AF6E49"/>
    <w:rsid w:val="00B04A67"/>
    <w:rsid w:val="00B0583C"/>
    <w:rsid w:val="00B40A81"/>
    <w:rsid w:val="00B44910"/>
    <w:rsid w:val="00B608BC"/>
    <w:rsid w:val="00B72267"/>
    <w:rsid w:val="00B76EB6"/>
    <w:rsid w:val="00B7737B"/>
    <w:rsid w:val="00B824C8"/>
    <w:rsid w:val="00B84B9D"/>
    <w:rsid w:val="00BC251A"/>
    <w:rsid w:val="00BD032B"/>
    <w:rsid w:val="00BD0666"/>
    <w:rsid w:val="00BE2640"/>
    <w:rsid w:val="00BF43EE"/>
    <w:rsid w:val="00C01189"/>
    <w:rsid w:val="00C25A1E"/>
    <w:rsid w:val="00C374DE"/>
    <w:rsid w:val="00C41AE8"/>
    <w:rsid w:val="00C47AD4"/>
    <w:rsid w:val="00C52D81"/>
    <w:rsid w:val="00C55198"/>
    <w:rsid w:val="00CA6393"/>
    <w:rsid w:val="00CB18FF"/>
    <w:rsid w:val="00CD0C08"/>
    <w:rsid w:val="00CE03FB"/>
    <w:rsid w:val="00CE433C"/>
    <w:rsid w:val="00CE4B60"/>
    <w:rsid w:val="00CF0161"/>
    <w:rsid w:val="00CF33F3"/>
    <w:rsid w:val="00D06183"/>
    <w:rsid w:val="00D22C42"/>
    <w:rsid w:val="00D37812"/>
    <w:rsid w:val="00D65041"/>
    <w:rsid w:val="00D760B1"/>
    <w:rsid w:val="00DB1936"/>
    <w:rsid w:val="00DB384B"/>
    <w:rsid w:val="00DF0189"/>
    <w:rsid w:val="00E06FD5"/>
    <w:rsid w:val="00E10E80"/>
    <w:rsid w:val="00E124F0"/>
    <w:rsid w:val="00E227F3"/>
    <w:rsid w:val="00E23618"/>
    <w:rsid w:val="00E545C6"/>
    <w:rsid w:val="00E60F04"/>
    <w:rsid w:val="00E65B24"/>
    <w:rsid w:val="00E854E4"/>
    <w:rsid w:val="00E86DBF"/>
    <w:rsid w:val="00EA60C1"/>
    <w:rsid w:val="00EB0D6F"/>
    <w:rsid w:val="00EB2232"/>
    <w:rsid w:val="00EC5337"/>
    <w:rsid w:val="00EE49E8"/>
    <w:rsid w:val="00F16BAB"/>
    <w:rsid w:val="00F2150A"/>
    <w:rsid w:val="00F231D8"/>
    <w:rsid w:val="00F43FC9"/>
    <w:rsid w:val="00F44C00"/>
    <w:rsid w:val="00F45D2C"/>
    <w:rsid w:val="00F46C5F"/>
    <w:rsid w:val="00F632C0"/>
    <w:rsid w:val="00F74710"/>
    <w:rsid w:val="00F92C69"/>
    <w:rsid w:val="00F94A63"/>
    <w:rsid w:val="00FA1C28"/>
    <w:rsid w:val="00FB1279"/>
    <w:rsid w:val="00FB6B76"/>
    <w:rsid w:val="00FB7596"/>
    <w:rsid w:val="00FE4077"/>
    <w:rsid w:val="00FE500D"/>
    <w:rsid w:val="00FE77D2"/>
    <w:rsid w:val="012BFEAA"/>
    <w:rsid w:val="07F62B39"/>
    <w:rsid w:val="087F1732"/>
    <w:rsid w:val="13483A4E"/>
    <w:rsid w:val="19EA5529"/>
    <w:rsid w:val="1B8590A7"/>
    <w:rsid w:val="1B88916A"/>
    <w:rsid w:val="1EC03687"/>
    <w:rsid w:val="1F9DB2FF"/>
    <w:rsid w:val="2088E0DC"/>
    <w:rsid w:val="228E5DFC"/>
    <w:rsid w:val="23207375"/>
    <w:rsid w:val="25B4ECD4"/>
    <w:rsid w:val="286134AA"/>
    <w:rsid w:val="2B90BA54"/>
    <w:rsid w:val="2E4B31F9"/>
    <w:rsid w:val="3138511F"/>
    <w:rsid w:val="31522CD2"/>
    <w:rsid w:val="33EFAFAC"/>
    <w:rsid w:val="37D74B62"/>
    <w:rsid w:val="3C2092BC"/>
    <w:rsid w:val="3DDFE1FB"/>
    <w:rsid w:val="40DD071D"/>
    <w:rsid w:val="42E56886"/>
    <w:rsid w:val="433FC107"/>
    <w:rsid w:val="4761366A"/>
    <w:rsid w:val="47A561D3"/>
    <w:rsid w:val="4A6E1096"/>
    <w:rsid w:val="4C6DF70A"/>
    <w:rsid w:val="4D89741E"/>
    <w:rsid w:val="4EB70561"/>
    <w:rsid w:val="55D704EE"/>
    <w:rsid w:val="56120091"/>
    <w:rsid w:val="56F3397E"/>
    <w:rsid w:val="58F3797B"/>
    <w:rsid w:val="59CE9D87"/>
    <w:rsid w:val="5C34826B"/>
    <w:rsid w:val="653C9FEC"/>
    <w:rsid w:val="662A85FC"/>
    <w:rsid w:val="6A6E653A"/>
    <w:rsid w:val="6AAFDA87"/>
    <w:rsid w:val="6AB6E351"/>
    <w:rsid w:val="6D61F14B"/>
    <w:rsid w:val="70850658"/>
    <w:rsid w:val="788458EF"/>
    <w:rsid w:val="7B80342C"/>
    <w:rsid w:val="7E07C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7574BBF2-36A8-415D-B6FB-CDC9EF19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9204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0479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rsid w:val="003D716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D716C"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3D716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08BC"/>
    <w:rPr>
      <w:rFonts w:ascii="Calibri" w:hAnsi="Calibri"/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B608B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2-PP-C-0207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-2023/RES-002-E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CL-C-0019/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council/Documents/basic-texts-2023/RES-002-E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6" ma:contentTypeDescription="Create a new document." ma:contentTypeScope="" ma:versionID="5c30e77df36f4996b63fd4603273e0c6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e4f51fc0db1f41dee884358016014d31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4FB09-EEDB-4C0A-9CFF-EB7E676E0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9049D-0BF8-4173-8AF7-2387B2238CE9}">
  <ds:schemaRefs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085b46e1-7f22-4e81-9ba5-912dc5a5fd9a"/>
    <ds:schemaRef ds:uri="http://purl.org/dc/elements/1.1/"/>
    <ds:schemaRef ds:uri="http://schemas.microsoft.com/office/2006/documentManagement/types"/>
    <ds:schemaRef ds:uri="http://purl.org/dc/dcmitype/"/>
    <ds:schemaRef ds:uri="98b04e1e-0540-4930-9623-702d547a0a33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EF96F8-2FCC-42E8-B3DB-4666267CE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5</TotalTime>
  <Pages>2</Pages>
  <Words>496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for the 2026 World Telecommunication/ICT Policy Forum (WTPF-26)</vt:lpstr>
    </vt:vector>
  </TitlesOfParts>
  <Manager>General Secretariat - Pool</Manager>
  <Company>International Telecommunication Union (ITU)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for the 2026 World Telecommunication/ICT Policy Forum (WTPF-26)</dc:title>
  <dc:subject>Council 2024</dc:subject>
  <dc:creator>author</dc:creator>
  <cp:keywords>C2024, C24, Council-24</cp:keywords>
  <dc:description/>
  <cp:lastModifiedBy>Brouard, Ricarda</cp:lastModifiedBy>
  <cp:revision>3</cp:revision>
  <cp:lastPrinted>2000-07-18T04:30:00Z</cp:lastPrinted>
  <dcterms:created xsi:type="dcterms:W3CDTF">2024-04-09T18:54:00Z</dcterms:created>
  <dcterms:modified xsi:type="dcterms:W3CDTF">2024-04-09T18:59:00Z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0x010100927A014BF6FE3A4AB656F5985E3C82C4</vt:lpwstr>
  </property>
</Properties>
</file>