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27731" w14:paraId="1E1F013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A2953E4" w14:textId="7A43BD35" w:rsidR="00796BD3" w:rsidRPr="00727731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27731">
              <w:rPr>
                <w:b/>
                <w:lang w:val="ru-RU"/>
              </w:rPr>
              <w:t>Пункт повестки дня:</w:t>
            </w:r>
            <w:r w:rsidR="00D42F17" w:rsidRPr="00727731">
              <w:rPr>
                <w:b/>
                <w:lang w:val="ru-RU"/>
              </w:rPr>
              <w:t xml:space="preserve"> ADM </w:t>
            </w:r>
            <w:r w:rsidR="00F32556" w:rsidRPr="00727731">
              <w:rPr>
                <w:b/>
                <w:lang w:val="ru-RU"/>
              </w:rPr>
              <w:t>1</w:t>
            </w:r>
          </w:p>
        </w:tc>
        <w:tc>
          <w:tcPr>
            <w:tcW w:w="5245" w:type="dxa"/>
          </w:tcPr>
          <w:p w14:paraId="2E842227" w14:textId="523BF92C" w:rsidR="00796BD3" w:rsidRPr="0072773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27731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727731">
              <w:rPr>
                <w:b/>
                <w:lang w:val="ru-RU"/>
              </w:rPr>
              <w:t>C2</w:t>
            </w:r>
            <w:r w:rsidR="00660449" w:rsidRPr="00727731">
              <w:rPr>
                <w:b/>
                <w:lang w:val="ru-RU"/>
              </w:rPr>
              <w:t>4</w:t>
            </w:r>
            <w:proofErr w:type="spellEnd"/>
            <w:r w:rsidR="00796BD3" w:rsidRPr="00727731">
              <w:rPr>
                <w:b/>
                <w:lang w:val="ru-RU"/>
              </w:rPr>
              <w:t>/</w:t>
            </w:r>
            <w:r w:rsidR="00492313" w:rsidRPr="00727731">
              <w:rPr>
                <w:b/>
                <w:lang w:val="ru-RU"/>
              </w:rPr>
              <w:t>9</w:t>
            </w:r>
            <w:r w:rsidR="00796BD3" w:rsidRPr="00727731">
              <w:rPr>
                <w:b/>
                <w:lang w:val="ru-RU"/>
              </w:rPr>
              <w:t>-R</w:t>
            </w:r>
          </w:p>
        </w:tc>
      </w:tr>
      <w:tr w:rsidR="00796BD3" w:rsidRPr="00727731" w14:paraId="50E2EA71" w14:textId="77777777" w:rsidTr="00E31DCE">
        <w:trPr>
          <w:cantSplit/>
        </w:trPr>
        <w:tc>
          <w:tcPr>
            <w:tcW w:w="3969" w:type="dxa"/>
            <w:vMerge/>
          </w:tcPr>
          <w:p w14:paraId="267E8D06" w14:textId="77777777" w:rsidR="00796BD3" w:rsidRPr="0072773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FF4E430" w14:textId="0D42753E" w:rsidR="00796BD3" w:rsidRPr="00727731" w:rsidRDefault="00432DEF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27731">
              <w:rPr>
                <w:b/>
                <w:lang w:val="ru-RU"/>
              </w:rPr>
              <w:t>6 мая</w:t>
            </w:r>
            <w:r w:rsidR="00796BD3" w:rsidRPr="00727731">
              <w:rPr>
                <w:b/>
                <w:lang w:val="ru-RU"/>
              </w:rPr>
              <w:t xml:space="preserve"> 202</w:t>
            </w:r>
            <w:r w:rsidR="00660449" w:rsidRPr="00727731">
              <w:rPr>
                <w:b/>
                <w:lang w:val="ru-RU"/>
              </w:rPr>
              <w:t>4</w:t>
            </w:r>
            <w:r w:rsidR="00D42F17" w:rsidRPr="00727731">
              <w:rPr>
                <w:b/>
                <w:lang w:val="ru-RU"/>
              </w:rPr>
              <w:t xml:space="preserve"> года</w:t>
            </w:r>
          </w:p>
        </w:tc>
      </w:tr>
      <w:tr w:rsidR="00796BD3" w:rsidRPr="00727731" w14:paraId="6FFABE3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C48C532" w14:textId="77777777" w:rsidR="00796BD3" w:rsidRPr="0072773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C1E853" w14:textId="77777777" w:rsidR="00796BD3" w:rsidRPr="0072773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2773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27731" w14:paraId="0CA4A6F6" w14:textId="77777777" w:rsidTr="00E31DCE">
        <w:trPr>
          <w:cantSplit/>
          <w:trHeight w:val="23"/>
        </w:trPr>
        <w:tc>
          <w:tcPr>
            <w:tcW w:w="3969" w:type="dxa"/>
          </w:tcPr>
          <w:p w14:paraId="015F82B9" w14:textId="77777777" w:rsidR="00796BD3" w:rsidRPr="0072773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8269EBD" w14:textId="77777777" w:rsidR="00796BD3" w:rsidRPr="00727731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727731" w14:paraId="2B82CBB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3A5D255" w14:textId="77777777" w:rsidR="00796BD3" w:rsidRPr="00727731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727731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727731" w14:paraId="43C303F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751EA29" w14:textId="77777777" w:rsidR="00F32556" w:rsidRPr="00727731" w:rsidRDefault="00F32556" w:rsidP="00F32556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27731">
              <w:rPr>
                <w:rFonts w:cstheme="minorHAnsi"/>
                <w:sz w:val="32"/>
                <w:szCs w:val="32"/>
                <w:lang w:val="ru-RU"/>
              </w:rPr>
              <w:t>ЕЖЕГОДНЫЙ АНАЛИЗ ДОХОДОВ И РАСХОДОВ ПРИ ИСПОЛНЕНИИ БЮДЖЕТА НА 2024 ГОД</w:t>
            </w:r>
          </w:p>
          <w:p w14:paraId="53CEE8BA" w14:textId="258C5A61" w:rsidR="00796BD3" w:rsidRPr="00727731" w:rsidRDefault="00F32556" w:rsidP="00F32556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r w:rsidRPr="00727731">
              <w:rPr>
                <w:rFonts w:cstheme="minorHAnsi"/>
                <w:sz w:val="32"/>
                <w:szCs w:val="32"/>
                <w:lang w:val="ru-RU"/>
              </w:rPr>
              <w:t>ПРЕДВАРИТЕЛЬНЫЕ РЕЗУЛЬТАТЫ ОСУЩЕСТВЛЕНИЯ МЕР ПО ПОВЫШЕНИЮ ЭФФЕКТИВНОСТИ, ПЕРЕЧИСЛЕННЫХ В ПРИЛОЖЕНИИ 2 К РЕШЕНИЮ 5</w:t>
            </w:r>
          </w:p>
        </w:tc>
      </w:tr>
      <w:tr w:rsidR="00796BD3" w:rsidRPr="00727731" w14:paraId="5E3B6CC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B7BA66C" w14:textId="505B5674" w:rsidR="00796BD3" w:rsidRPr="0072773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27731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E00FC9D" w14:textId="69F956B8" w:rsidR="00F32556" w:rsidRPr="00727731" w:rsidRDefault="00F32556" w:rsidP="00F32556">
            <w:pPr>
              <w:rPr>
                <w:lang w:val="ru-RU"/>
              </w:rPr>
            </w:pPr>
            <w:r w:rsidRPr="00727731">
              <w:rPr>
                <w:lang w:val="ru-RU"/>
              </w:rPr>
              <w:t>В настоящем документе представлены основные элементы исполнения бюджета на 2024 год в соответствии с п. 73 Конвенции МСЭ, в котором устанавливается, что Совет проводит ежегодный анализ доходов и расходов.</w:t>
            </w:r>
          </w:p>
          <w:p w14:paraId="41AC3D99" w14:textId="36E80E25" w:rsidR="00796BD3" w:rsidRPr="00727731" w:rsidRDefault="00F32556" w:rsidP="00F32556">
            <w:pPr>
              <w:rPr>
                <w:szCs w:val="22"/>
                <w:lang w:val="ru-RU"/>
              </w:rPr>
            </w:pPr>
            <w:r w:rsidRPr="00727731">
              <w:rPr>
                <w:lang w:val="ru-RU"/>
              </w:rPr>
              <w:t>В документе также представлены предварительные результаты осуществления мер по повышению эффективности, которые описаны в Приложении 2 к Решению 5 (Пересм. Дубай, 2018 г.), в 2023 году и мер, описанных в Приложении 2 к Решению 5 (Пересм. Бухарест, 2022 г.), в 2024 году.</w:t>
            </w:r>
          </w:p>
          <w:p w14:paraId="07C3F18C" w14:textId="77777777" w:rsidR="00796BD3" w:rsidRPr="0072773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27731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3164EF8" w14:textId="1427AA87" w:rsidR="00796BD3" w:rsidRPr="00727731" w:rsidRDefault="00F32556" w:rsidP="00E31DCE">
            <w:pPr>
              <w:rPr>
                <w:lang w:val="ru-RU"/>
              </w:rPr>
            </w:pPr>
            <w:r w:rsidRPr="00727731">
              <w:rPr>
                <w:lang w:val="ru-RU"/>
              </w:rPr>
              <w:t xml:space="preserve">Совету предлагается </w:t>
            </w:r>
            <w:r w:rsidRPr="00727731">
              <w:rPr>
                <w:b/>
                <w:bCs/>
                <w:lang w:val="ru-RU"/>
              </w:rPr>
              <w:t>принять к сведению</w:t>
            </w:r>
            <w:r w:rsidRPr="00727731">
              <w:rPr>
                <w:lang w:val="ru-RU"/>
              </w:rPr>
              <w:t xml:space="preserve"> настоящий документ.</w:t>
            </w:r>
          </w:p>
          <w:p w14:paraId="59269F19" w14:textId="77777777" w:rsidR="00492313" w:rsidRPr="00727731" w:rsidRDefault="00492313" w:rsidP="0049231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27731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9B271E0" w14:textId="78754E2C" w:rsidR="00492313" w:rsidRPr="00727731" w:rsidRDefault="00F32556" w:rsidP="00492313">
            <w:pPr>
              <w:spacing w:before="100"/>
              <w:rPr>
                <w:lang w:val="ru-RU"/>
              </w:rPr>
            </w:pPr>
            <w:r w:rsidRPr="00727731">
              <w:rPr>
                <w:lang w:val="ru-RU"/>
              </w:rPr>
              <w:t>В бюджете Союза предусматривается финансирование двух целей и пяти тематических приоритетов МСЭ.</w:t>
            </w:r>
          </w:p>
          <w:p w14:paraId="0DC77884" w14:textId="77777777" w:rsidR="00492313" w:rsidRPr="00727731" w:rsidRDefault="00492313" w:rsidP="0049231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27731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FC53A72" w14:textId="77777777" w:rsidR="00F32556" w:rsidRPr="00727731" w:rsidRDefault="00F32556" w:rsidP="00F32556">
            <w:pPr>
              <w:spacing w:before="160"/>
              <w:jc w:val="both"/>
              <w:rPr>
                <w:szCs w:val="24"/>
                <w:lang w:val="ru-RU"/>
              </w:rPr>
            </w:pPr>
            <w:r w:rsidRPr="00727731">
              <w:rPr>
                <w:lang w:val="ru-RU"/>
              </w:rPr>
              <w:t>Руководство МСЭ примет все необходимые меры для обеспечения надлежащего и оптимального исполнения бюджета на 2024 год.</w:t>
            </w:r>
          </w:p>
          <w:p w14:paraId="5C600DB1" w14:textId="6391C79B" w:rsidR="00F32556" w:rsidRPr="00727731" w:rsidRDefault="00F32556" w:rsidP="00F32556">
            <w:pPr>
              <w:spacing w:before="160"/>
              <w:rPr>
                <w:caps/>
                <w:lang w:val="ru-RU"/>
              </w:rPr>
            </w:pPr>
            <w:r w:rsidRPr="00727731">
              <w:rPr>
                <w:lang w:val="ru-RU"/>
              </w:rPr>
              <w:t>_________________</w:t>
            </w:r>
          </w:p>
          <w:p w14:paraId="004A803B" w14:textId="77777777" w:rsidR="00796BD3" w:rsidRPr="0072773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27731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5260284" w14:textId="683D99B8" w:rsidR="00796BD3" w:rsidRPr="00727731" w:rsidRDefault="00633299" w:rsidP="00E31DCE">
            <w:pPr>
              <w:spacing w:after="160"/>
              <w:rPr>
                <w:lang w:val="ru-RU"/>
              </w:rPr>
            </w:pPr>
            <w:hyperlink r:id="rId8" w:history="1">
              <w:r w:rsidR="00F32556" w:rsidRPr="00727731">
                <w:rPr>
                  <w:rStyle w:val="Hyperlink"/>
                  <w:i/>
                  <w:iCs/>
                  <w:lang w:val="ru-RU"/>
                </w:rPr>
                <w:t>Решение 5 (Пересм. Дубай, 2018 г.)</w:t>
              </w:r>
            </w:hyperlink>
            <w:r w:rsidR="00F32556" w:rsidRPr="00727731">
              <w:rPr>
                <w:i/>
                <w:iCs/>
                <w:lang w:val="ru-RU"/>
              </w:rPr>
              <w:t xml:space="preserve"> и </w:t>
            </w:r>
            <w:hyperlink r:id="rId9" w:history="1">
              <w:r w:rsidR="00F32556" w:rsidRPr="00727731">
                <w:rPr>
                  <w:rStyle w:val="Hyperlink"/>
                  <w:i/>
                  <w:iCs/>
                  <w:lang w:val="ru-RU"/>
                </w:rPr>
                <w:t>Решение 5 (Пересм. Бухарест, 2022 г.)</w:t>
              </w:r>
            </w:hyperlink>
            <w:r w:rsidR="00F32556" w:rsidRPr="00727731">
              <w:rPr>
                <w:i/>
                <w:iCs/>
                <w:lang w:val="ru-RU"/>
              </w:rPr>
              <w:t xml:space="preserve"> Полномочной конференции;</w:t>
            </w:r>
            <w:r w:rsidR="00F32556" w:rsidRPr="00727731">
              <w:rPr>
                <w:lang w:val="ru-RU"/>
              </w:rPr>
              <w:t xml:space="preserve"> </w:t>
            </w:r>
            <w:hyperlink r:id="rId10" w:history="1">
              <w:r w:rsidR="00F32556" w:rsidRPr="00727731">
                <w:rPr>
                  <w:rStyle w:val="Hyperlink"/>
                  <w:i/>
                  <w:iCs/>
                  <w:lang w:val="ru-RU"/>
                </w:rPr>
                <w:t>Резолюция 1417 Совета</w:t>
              </w:r>
            </w:hyperlink>
            <w:r w:rsidR="00F32556" w:rsidRPr="00727731">
              <w:rPr>
                <w:i/>
                <w:iCs/>
                <w:lang w:val="ru-RU"/>
              </w:rPr>
              <w:t xml:space="preserve"> (Двухгодичный бюджет Международного союза электросвязи на 2024–2025 гг.)</w:t>
            </w:r>
          </w:p>
        </w:tc>
      </w:tr>
      <w:bookmarkEnd w:id="2"/>
      <w:bookmarkEnd w:id="6"/>
    </w:tbl>
    <w:p w14:paraId="72B97EF9" w14:textId="77777777" w:rsidR="00476DD9" w:rsidRPr="00727731" w:rsidRDefault="00476DD9" w:rsidP="00160B42">
      <w:pPr>
        <w:spacing w:before="600"/>
        <w:jc w:val="center"/>
        <w:rPr>
          <w:lang w:val="ru-RU"/>
        </w:rPr>
      </w:pPr>
    </w:p>
    <w:p w14:paraId="7AEEAF09" w14:textId="775EC23E" w:rsidR="00F32556" w:rsidRPr="00727731" w:rsidRDefault="00F325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27731">
        <w:rPr>
          <w:lang w:val="ru-RU"/>
        </w:rPr>
        <w:br w:type="page"/>
      </w:r>
    </w:p>
    <w:p w14:paraId="6FAFFD22" w14:textId="5838564C" w:rsidR="00F32556" w:rsidRPr="00727731" w:rsidRDefault="00F32556" w:rsidP="00F32556">
      <w:pPr>
        <w:pStyle w:val="Heading1"/>
        <w:rPr>
          <w:szCs w:val="26"/>
          <w:lang w:val="ru-RU"/>
        </w:rPr>
      </w:pPr>
      <w:r w:rsidRPr="00727731">
        <w:rPr>
          <w:lang w:val="ru-RU"/>
        </w:rPr>
        <w:lastRenderedPageBreak/>
        <w:t>1</w:t>
      </w:r>
      <w:r w:rsidRPr="00727731">
        <w:rPr>
          <w:lang w:val="ru-RU"/>
        </w:rPr>
        <w:tab/>
        <w:t>Базовая информация</w:t>
      </w:r>
    </w:p>
    <w:p w14:paraId="4D8EFA23" w14:textId="77777777" w:rsidR="00F32556" w:rsidRPr="00727731" w:rsidRDefault="00F32556" w:rsidP="00F32556">
      <w:pPr>
        <w:rPr>
          <w:lang w:val="ru-RU"/>
        </w:rPr>
      </w:pPr>
      <w:r w:rsidRPr="00727731">
        <w:rPr>
          <w:lang w:val="ru-RU"/>
        </w:rPr>
        <w:t>1.1</w:t>
      </w:r>
      <w:r w:rsidRPr="00727731">
        <w:rPr>
          <w:lang w:val="ru-RU"/>
        </w:rPr>
        <w:tab/>
        <w:t>В настоящем документе представлены основные элементы исполнения бюджета на 2024 год в соответствии с п. 73 Конвенции МСЭ, в котором устанавливается, что Совет проводит ежегодный анализ доходов и расходов.</w:t>
      </w:r>
    </w:p>
    <w:p w14:paraId="011EE311" w14:textId="4A263A8B" w:rsidR="00F32556" w:rsidRPr="00727731" w:rsidRDefault="00F32556" w:rsidP="00F32556">
      <w:pPr>
        <w:rPr>
          <w:lang w:val="ru-RU"/>
        </w:rPr>
      </w:pPr>
      <w:r w:rsidRPr="00727731">
        <w:rPr>
          <w:lang w:val="ru-RU"/>
        </w:rPr>
        <w:t>1.2</w:t>
      </w:r>
      <w:r w:rsidRPr="00727731">
        <w:rPr>
          <w:lang w:val="ru-RU"/>
        </w:rPr>
        <w:tab/>
        <w:t>В нем также содержится описание предварительных результатов осуществления мер по повышению эффективности, перечисленных в Приложении 2 к Решению 5, в 2023 и 2024 годах.</w:t>
      </w:r>
    </w:p>
    <w:p w14:paraId="18F9A831" w14:textId="77777777" w:rsidR="00F32556" w:rsidRPr="00727731" w:rsidRDefault="00F32556" w:rsidP="00F32556">
      <w:pPr>
        <w:rPr>
          <w:lang w:val="ru-RU"/>
        </w:rPr>
      </w:pPr>
      <w:r w:rsidRPr="00727731">
        <w:rPr>
          <w:lang w:val="ru-RU"/>
        </w:rPr>
        <w:t xml:space="preserve">В соответствии с пп. 1 и 2 раздела </w:t>
      </w:r>
      <w:r w:rsidRPr="00727731">
        <w:rPr>
          <w:i/>
          <w:iCs/>
          <w:lang w:val="ru-RU"/>
        </w:rPr>
        <w:t>поручает Генеральному секретарю и Директорам Бюро</w:t>
      </w:r>
      <w:r w:rsidRPr="00727731">
        <w:rPr>
          <w:lang w:val="ru-RU"/>
        </w:rPr>
        <w:t xml:space="preserve"> Решения 5 (Пересм. Бухарест, 2022 г.):</w:t>
      </w:r>
    </w:p>
    <w:p w14:paraId="3CB62F4D" w14:textId="37A0CC06" w:rsidR="00F32556" w:rsidRPr="00727731" w:rsidRDefault="00F32556" w:rsidP="00F32556">
      <w:pPr>
        <w:rPr>
          <w:i/>
          <w:iCs/>
          <w:lang w:val="ru-RU"/>
        </w:rPr>
      </w:pPr>
      <w:r w:rsidRPr="00727731">
        <w:rPr>
          <w:lang w:val="ru-RU"/>
        </w:rPr>
        <w:t>"</w:t>
      </w:r>
      <w:r w:rsidRPr="00727731">
        <w:rPr>
          <w:i/>
          <w:iCs/>
          <w:lang w:val="ru-RU"/>
        </w:rPr>
        <w:t>1</w:t>
      </w:r>
      <w:r w:rsidRPr="00727731">
        <w:rPr>
          <w:lang w:val="ru-RU"/>
        </w:rPr>
        <w:tab/>
      </w:r>
      <w:r w:rsidRPr="00727731">
        <w:rPr>
          <w:i/>
          <w:iCs/>
          <w:lang w:val="ru-RU"/>
        </w:rPr>
        <w:t>ежегодно представлять Совету отчет об исполнении бюджета МСЭ за предыдущий год и об ожидаемом исполнении бюджета МСЭ за текущий год с подробным изложением информации об экономии средств, достигнутой при исполнении по каждой статье, содержащейся в Приложении 2 к настоящему Решению;</w:t>
      </w:r>
    </w:p>
    <w:p w14:paraId="34417799" w14:textId="77777777" w:rsidR="00F32556" w:rsidRPr="00727731" w:rsidRDefault="00F32556" w:rsidP="00F32556">
      <w:pPr>
        <w:rPr>
          <w:i/>
          <w:iCs/>
          <w:lang w:val="ru-RU"/>
        </w:rPr>
      </w:pPr>
      <w:r w:rsidRPr="00727731">
        <w:rPr>
          <w:i/>
          <w:iCs/>
          <w:lang w:val="ru-RU"/>
        </w:rPr>
        <w:t>2</w:t>
      </w:r>
      <w:r w:rsidRPr="00727731">
        <w:rPr>
          <w:lang w:val="ru-RU"/>
        </w:rPr>
        <w:tab/>
      </w:r>
      <w:r w:rsidRPr="00727731">
        <w:rPr>
          <w:i/>
          <w:iCs/>
          <w:lang w:val="ru-RU"/>
        </w:rPr>
        <w:t>предпринимать необходимые усилия для обеспечения сокращения расходов благодаря культуре эффективности и экономичности, а также включать фактически достигнутую экономию в рамках общих утвержденных бюджетов в вышеупомянутый отчет Совету;</w:t>
      </w:r>
      <w:r w:rsidRPr="00727731">
        <w:rPr>
          <w:lang w:val="ru-RU"/>
        </w:rPr>
        <w:t>"</w:t>
      </w:r>
    </w:p>
    <w:p w14:paraId="4E9609D7" w14:textId="279E2A59" w:rsidR="00F32556" w:rsidRPr="00727731" w:rsidRDefault="00F32556" w:rsidP="00F32556">
      <w:pPr>
        <w:pStyle w:val="Heading1"/>
        <w:rPr>
          <w:szCs w:val="26"/>
          <w:lang w:val="ru-RU"/>
        </w:rPr>
      </w:pPr>
      <w:r w:rsidRPr="00727731">
        <w:rPr>
          <w:lang w:val="ru-RU"/>
        </w:rPr>
        <w:t>2</w:t>
      </w:r>
      <w:r w:rsidRPr="00727731">
        <w:rPr>
          <w:lang w:val="ru-RU"/>
        </w:rPr>
        <w:tab/>
        <w:t>Прогноз исполнения бюджета на 2024 год</w:t>
      </w:r>
    </w:p>
    <w:p w14:paraId="6D044E1A" w14:textId="4F3C7AB1" w:rsidR="00F32556" w:rsidRPr="00727731" w:rsidRDefault="00F32556" w:rsidP="00F32556">
      <w:pPr>
        <w:rPr>
          <w:rFonts w:asciiTheme="minorHAnsi" w:hAnsiTheme="minorHAnsi" w:cstheme="minorHAnsi"/>
          <w:lang w:val="ru-RU"/>
        </w:rPr>
      </w:pPr>
      <w:r w:rsidRPr="00727731">
        <w:rPr>
          <w:lang w:val="ru-RU"/>
        </w:rPr>
        <w:t>2.1</w:t>
      </w:r>
      <w:r w:rsidRPr="00727731">
        <w:rPr>
          <w:lang w:val="ru-RU"/>
        </w:rPr>
        <w:tab/>
        <w:t>Совет утвердил бюджет Союза на 2024–2025 годы на своей очередной сессии 2023</w:t>
      </w:r>
      <w:r w:rsidR="00432DEF" w:rsidRPr="00727731">
        <w:rPr>
          <w:lang w:val="ru-RU"/>
        </w:rPr>
        <w:t> </w:t>
      </w:r>
      <w:r w:rsidRPr="00727731">
        <w:rPr>
          <w:lang w:val="ru-RU"/>
        </w:rPr>
        <w:t>года в Резолюции 1417. Обновленный двухгодичный бюджет на 2024 год составляет 164</w:t>
      </w:r>
      <w:r w:rsidR="00432DEF" w:rsidRPr="00727731">
        <w:rPr>
          <w:lang w:val="ru-RU"/>
        </w:rPr>
        <w:t> </w:t>
      </w:r>
      <w:r w:rsidRPr="00727731">
        <w:rPr>
          <w:lang w:val="ru-RU"/>
        </w:rPr>
        <w:t>933 тыс. швейцарских франков на основании единицы ежегодных взносов Государств-Членов в размере 318 тыс. швейцарских франков, что соответствует нулевому номинальному росту с 2006 года.</w:t>
      </w:r>
    </w:p>
    <w:p w14:paraId="593522D8" w14:textId="35F3E0CF" w:rsidR="00F32556" w:rsidRPr="00727731" w:rsidRDefault="00F32556" w:rsidP="00F32556">
      <w:pPr>
        <w:rPr>
          <w:rFonts w:asciiTheme="minorHAnsi" w:hAnsiTheme="minorHAnsi" w:cstheme="minorHAnsi"/>
          <w:lang w:val="ru-RU"/>
        </w:rPr>
      </w:pPr>
      <w:r w:rsidRPr="00727731">
        <w:rPr>
          <w:lang w:val="ru-RU"/>
        </w:rPr>
        <w:t>2.2</w:t>
      </w:r>
      <w:r w:rsidRPr="00727731">
        <w:rPr>
          <w:lang w:val="ru-RU"/>
        </w:rPr>
        <w:tab/>
        <w:t xml:space="preserve">В настоящее время известны два ключевых фактора, которые повлияют на исполнение бюджета 2024 года и составляют в общей сложности 6,7 </w:t>
      </w:r>
      <w:proofErr w:type="gramStart"/>
      <w:r w:rsidRPr="00727731">
        <w:rPr>
          <w:lang w:val="ru-RU"/>
        </w:rPr>
        <w:t>млн.</w:t>
      </w:r>
      <w:proofErr w:type="gramEnd"/>
      <w:r w:rsidRPr="00727731">
        <w:rPr>
          <w:lang w:val="ru-RU"/>
        </w:rPr>
        <w:t xml:space="preserve"> швейцарских франков, или 4,1</w:t>
      </w:r>
      <w:r w:rsidR="00432DEF" w:rsidRPr="00727731">
        <w:rPr>
          <w:lang w:val="ru-RU"/>
        </w:rPr>
        <w:t> </w:t>
      </w:r>
      <w:r w:rsidRPr="00727731">
        <w:rPr>
          <w:lang w:val="ru-RU"/>
        </w:rPr>
        <w:t>процента от бюджета 2024 года:</w:t>
      </w:r>
    </w:p>
    <w:p w14:paraId="6686ABC8" w14:textId="7602713C" w:rsidR="00F32556" w:rsidRPr="00727731" w:rsidRDefault="00F32556" w:rsidP="00F32556">
      <w:pPr>
        <w:pStyle w:val="enumlev1"/>
        <w:rPr>
          <w:rFonts w:asciiTheme="minorHAnsi" w:eastAsiaTheme="minorEastAsia" w:hAnsiTheme="minorHAnsi" w:cstheme="minorBidi"/>
          <w:color w:val="000000" w:themeColor="text1"/>
          <w:lang w:val="ru-RU"/>
        </w:rPr>
      </w:pPr>
      <w:r w:rsidRPr="00727731">
        <w:rPr>
          <w:lang w:val="ru-RU"/>
        </w:rPr>
        <w:t>•</w:t>
      </w:r>
      <w:r w:rsidRPr="00727731">
        <w:rPr>
          <w:lang w:val="ru-RU"/>
        </w:rPr>
        <w:tab/>
        <w:t xml:space="preserve">Сокращение доходов по линии возмещения затрат от обработки заявок на регистрацию спутниковых сетей на сумму 4 </w:t>
      </w:r>
      <w:proofErr w:type="gramStart"/>
      <w:r w:rsidRPr="00727731">
        <w:rPr>
          <w:lang w:val="ru-RU"/>
        </w:rPr>
        <w:t>млн.</w:t>
      </w:r>
      <w:proofErr w:type="gramEnd"/>
      <w:r w:rsidRPr="00727731">
        <w:rPr>
          <w:lang w:val="ru-RU"/>
        </w:rPr>
        <w:t xml:space="preserve"> швейцарских франков. Этот внутренний дефицит доходов может быть полностью или частично компенсирован в будущие периоды, когда каталог цен, установленный в Решении 482, будет пересмотрен для отражения фактических затрат на обработку заявок на космические системы. Вместе с тем, поскольку Группа экспертов по Решению 482 еще не завершила свою работу, не ожидается, что скорректированные цены вступят в силу в 2024 году.</w:t>
      </w:r>
    </w:p>
    <w:p w14:paraId="57790666" w14:textId="7A8BAB5E" w:rsidR="00F32556" w:rsidRPr="00727731" w:rsidRDefault="00F32556" w:rsidP="00F32556">
      <w:pPr>
        <w:pStyle w:val="enumlev1"/>
        <w:rPr>
          <w:rFonts w:asciiTheme="minorHAnsi" w:eastAsiaTheme="minorHAnsi" w:hAnsiTheme="minorHAnsi" w:cstheme="minorHAnsi"/>
          <w:szCs w:val="24"/>
          <w:lang w:val="ru-RU"/>
        </w:rPr>
      </w:pPr>
      <w:r w:rsidRPr="00727731">
        <w:rPr>
          <w:lang w:val="ru-RU"/>
        </w:rPr>
        <w:t>•</w:t>
      </w:r>
      <w:r w:rsidRPr="00727731">
        <w:rPr>
          <w:lang w:val="ru-RU"/>
        </w:rPr>
        <w:tab/>
        <w:t xml:space="preserve">Увеличение окладов сотрудников как категории общего обслуживания, так и категории специалистов, включая пенсионные выплаты сотрудникам категории специалистов, оценивается в 2,7 </w:t>
      </w:r>
      <w:proofErr w:type="gramStart"/>
      <w:r w:rsidRPr="00727731">
        <w:rPr>
          <w:lang w:val="ru-RU"/>
        </w:rPr>
        <w:t>млн.</w:t>
      </w:r>
      <w:proofErr w:type="gramEnd"/>
      <w:r w:rsidRPr="00727731">
        <w:rPr>
          <w:lang w:val="ru-RU"/>
        </w:rPr>
        <w:t xml:space="preserve"> швейцарских франков на 2024 год.</w:t>
      </w:r>
    </w:p>
    <w:p w14:paraId="58F762BA" w14:textId="735F9677" w:rsidR="00F32556" w:rsidRPr="00727731" w:rsidRDefault="00F32556" w:rsidP="00F32556">
      <w:pPr>
        <w:rPr>
          <w:rFonts w:cstheme="minorBidi"/>
          <w:lang w:val="ru-RU"/>
        </w:rPr>
      </w:pPr>
      <w:r w:rsidRPr="00727731">
        <w:rPr>
          <w:lang w:val="ru-RU"/>
        </w:rPr>
        <w:t>2.3</w:t>
      </w:r>
      <w:r w:rsidRPr="00727731">
        <w:rPr>
          <w:lang w:val="ru-RU"/>
        </w:rPr>
        <w:tab/>
        <w:t xml:space="preserve">По состоянию на 22 марта 2024 года, несмотря на два вышеупомянутых ключевых фактора, ожидается, что по итогу 2024 года исполнение бюджета будет </w:t>
      </w:r>
      <w:r w:rsidRPr="00727731">
        <w:rPr>
          <w:b/>
          <w:bCs/>
          <w:lang w:val="ru-RU"/>
        </w:rPr>
        <w:t>сбалансировано</w:t>
      </w:r>
      <w:r w:rsidRPr="00727731">
        <w:rPr>
          <w:lang w:val="ru-RU"/>
        </w:rPr>
        <w:t xml:space="preserve">. Ожидается, что дополнительная сумма в размере 700 тыс. швейцарских франков, помимо уже включенных в бюджет, будет выплачена в Фонд эксплуатации зданий (см. Таблицу 2) для обеспечения достаточных средств для эксплуатации зданий МСЭ, в особенности поскольку содержание здания "Варембе" не было включено в бюджет на 2024–2025 годы. Такое сбалансированное исполнение в основном связано с более высокими прогнозируемыми доходами по линии возмещения затрат на публикации, увеличением поступлений по процентным ставкам в отношении денежных средств и их эквивалентов, экономией </w:t>
      </w:r>
      <w:r w:rsidRPr="00727731">
        <w:rPr>
          <w:lang w:val="ru-RU"/>
        </w:rPr>
        <w:lastRenderedPageBreak/>
        <w:t xml:space="preserve">оперативных расходов и задержками при заполнении должностей. Более подробная информация приведена в Таблицах </w:t>
      </w:r>
      <w:proofErr w:type="gramStart"/>
      <w:r w:rsidRPr="00727731">
        <w:rPr>
          <w:lang w:val="ru-RU"/>
        </w:rPr>
        <w:t>1</w:t>
      </w:r>
      <w:r w:rsidR="006953D2" w:rsidRPr="00727731">
        <w:rPr>
          <w:lang w:val="ru-RU"/>
        </w:rPr>
        <w:t>−</w:t>
      </w:r>
      <w:r w:rsidRPr="00727731">
        <w:rPr>
          <w:lang w:val="ru-RU"/>
        </w:rPr>
        <w:t>3</w:t>
      </w:r>
      <w:proofErr w:type="gramEnd"/>
      <w:r w:rsidRPr="00727731">
        <w:rPr>
          <w:lang w:val="ru-RU"/>
        </w:rPr>
        <w:t xml:space="preserve">. </w:t>
      </w:r>
    </w:p>
    <w:p w14:paraId="200D93A8" w14:textId="77777777" w:rsidR="00F32556" w:rsidRPr="00727731" w:rsidRDefault="00F32556" w:rsidP="00F32556">
      <w:pPr>
        <w:pStyle w:val="TableNo"/>
        <w:rPr>
          <w:lang w:val="ru-RU"/>
        </w:rPr>
      </w:pPr>
      <w:r w:rsidRPr="00727731">
        <w:rPr>
          <w:lang w:val="ru-RU"/>
        </w:rPr>
        <w:t>ТАБЛИЦА 1</w:t>
      </w:r>
    </w:p>
    <w:p w14:paraId="080926DB" w14:textId="442D08E3" w:rsidR="00A62CB6" w:rsidRPr="00727731" w:rsidRDefault="00A62CB6" w:rsidP="00A62CB6">
      <w:pPr>
        <w:pStyle w:val="Tabletitle"/>
        <w:spacing w:after="60"/>
        <w:ind w:right="2410"/>
        <w:jc w:val="right"/>
        <w:rPr>
          <w:b w:val="0"/>
          <w:bCs/>
          <w:sz w:val="20"/>
          <w:lang w:val="ru-RU"/>
        </w:rPr>
      </w:pPr>
      <w:r w:rsidRPr="00727731">
        <w:rPr>
          <w:b w:val="0"/>
          <w:bCs/>
          <w:sz w:val="20"/>
          <w:lang w:val="ru-RU"/>
        </w:rPr>
        <w:t>тыс. шв. фр.</w:t>
      </w:r>
    </w:p>
    <w:tbl>
      <w:tblPr>
        <w:tblW w:w="623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343"/>
        <w:gridCol w:w="1492"/>
      </w:tblGrid>
      <w:tr w:rsidR="00795853" w:rsidRPr="00727731" w14:paraId="44422AD8" w14:textId="77777777" w:rsidTr="00084323">
        <w:trPr>
          <w:trHeight w:val="769"/>
          <w:jc w:val="center"/>
        </w:trPr>
        <w:tc>
          <w:tcPr>
            <w:tcW w:w="3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4472C4"/>
            <w:noWrap/>
            <w:vAlign w:val="center"/>
            <w:hideMark/>
          </w:tcPr>
          <w:p w14:paraId="15BAA205" w14:textId="0E7D616E" w:rsidR="00795853" w:rsidRPr="00727731" w:rsidRDefault="00795853" w:rsidP="00432DEF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4472C4"/>
            <w:vAlign w:val="center"/>
            <w:hideMark/>
          </w:tcPr>
          <w:p w14:paraId="33E65A41" w14:textId="0E898B37" w:rsidR="00795853" w:rsidRPr="00727731" w:rsidRDefault="00795853" w:rsidP="00795853">
            <w:pPr>
              <w:pStyle w:val="Tablehead"/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Бюджет</w:t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br/>
              <w:t>2024 г.</w:t>
            </w:r>
          </w:p>
        </w:tc>
        <w:tc>
          <w:tcPr>
            <w:tcW w:w="149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vAlign w:val="center"/>
            <w:hideMark/>
          </w:tcPr>
          <w:p w14:paraId="2721518C" w14:textId="0707D471" w:rsidR="00795853" w:rsidRPr="00727731" w:rsidRDefault="00795853" w:rsidP="00795853">
            <w:pPr>
              <w:pStyle w:val="Tablehead"/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Всего</w:t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br/>
            </w:r>
            <w:r w:rsidR="00030BCB"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на к</w:t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онец 2024 г.</w:t>
            </w:r>
          </w:p>
        </w:tc>
      </w:tr>
      <w:tr w:rsidR="00432DEF" w:rsidRPr="00727731" w14:paraId="23E000D0" w14:textId="77777777" w:rsidTr="00084323">
        <w:trPr>
          <w:jc w:val="center"/>
        </w:trPr>
        <w:tc>
          <w:tcPr>
            <w:tcW w:w="3397" w:type="dxa"/>
            <w:tcBorders>
              <w:top w:val="single" w:sz="4" w:space="0" w:color="0070C0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6521" w14:textId="50FE8D2B" w:rsidR="00432DEF" w:rsidRPr="00727731" w:rsidRDefault="00A62CB6" w:rsidP="00432DEF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Расходы</w:t>
            </w:r>
          </w:p>
        </w:tc>
        <w:tc>
          <w:tcPr>
            <w:tcW w:w="1343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5DA8" w14:textId="77777777" w:rsidR="00432DEF" w:rsidRPr="00727731" w:rsidRDefault="00432DEF" w:rsidP="00A62CB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164 933</w:t>
            </w:r>
          </w:p>
        </w:tc>
        <w:tc>
          <w:tcPr>
            <w:tcW w:w="1492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D87C" w14:textId="77777777" w:rsidR="00432DEF" w:rsidRPr="00727731" w:rsidRDefault="00432DEF" w:rsidP="00A62CB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162 183</w:t>
            </w:r>
          </w:p>
        </w:tc>
      </w:tr>
      <w:tr w:rsidR="00432DEF" w:rsidRPr="00727731" w14:paraId="0E9488E7" w14:textId="77777777" w:rsidTr="00A62CB6">
        <w:trPr>
          <w:jc w:val="center"/>
        </w:trPr>
        <w:tc>
          <w:tcPr>
            <w:tcW w:w="3397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F777" w14:textId="7C541AB7" w:rsidR="00432DEF" w:rsidRPr="00727731" w:rsidRDefault="00A62CB6" w:rsidP="00432DEF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Доходы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6A26" w14:textId="77777777" w:rsidR="00432DEF" w:rsidRPr="00727731" w:rsidRDefault="00432DEF" w:rsidP="00A62CB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164 933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E615" w14:textId="77777777" w:rsidR="00432DEF" w:rsidRPr="00727731" w:rsidRDefault="00432DEF" w:rsidP="00A62CB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162 183</w:t>
            </w:r>
          </w:p>
        </w:tc>
      </w:tr>
      <w:tr w:rsidR="00432DEF" w:rsidRPr="00727731" w14:paraId="6333C428" w14:textId="77777777" w:rsidTr="00A62CB6">
        <w:trPr>
          <w:jc w:val="center"/>
        </w:trPr>
        <w:tc>
          <w:tcPr>
            <w:tcW w:w="3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4472C4"/>
            <w:noWrap/>
            <w:vAlign w:val="center"/>
            <w:hideMark/>
          </w:tcPr>
          <w:p w14:paraId="7354AE27" w14:textId="0BF8FDA1" w:rsidR="00432DEF" w:rsidRPr="00727731" w:rsidRDefault="00A62CB6" w:rsidP="00432DEF">
            <w:pPr>
              <w:pStyle w:val="Tabletex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Ожидаемый результат за 2024 г.</w:t>
            </w:r>
          </w:p>
        </w:tc>
        <w:tc>
          <w:tcPr>
            <w:tcW w:w="134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4472C4"/>
            <w:noWrap/>
            <w:vAlign w:val="center"/>
            <w:hideMark/>
          </w:tcPr>
          <w:p w14:paraId="12A9FCC4" w14:textId="77777777" w:rsidR="00432DEF" w:rsidRPr="00727731" w:rsidRDefault="00432DEF" w:rsidP="00A62CB6">
            <w:pPr>
              <w:pStyle w:val="Tabletext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14:paraId="1E52A294" w14:textId="77777777" w:rsidR="00432DEF" w:rsidRPr="00727731" w:rsidRDefault="00432DEF" w:rsidP="00A62CB6">
            <w:pPr>
              <w:pStyle w:val="Tabletext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0</w:t>
            </w:r>
          </w:p>
        </w:tc>
      </w:tr>
    </w:tbl>
    <w:p w14:paraId="497238BE" w14:textId="77777777" w:rsidR="00F32556" w:rsidRPr="00727731" w:rsidRDefault="00F32556" w:rsidP="00A62CB6">
      <w:pPr>
        <w:spacing w:before="240"/>
        <w:rPr>
          <w:rFonts w:asciiTheme="minorHAnsi" w:hAnsiTheme="minorHAnsi" w:cstheme="minorHAnsi"/>
          <w:lang w:val="ru-RU"/>
        </w:rPr>
      </w:pPr>
      <w:r w:rsidRPr="00727731">
        <w:rPr>
          <w:lang w:val="ru-RU"/>
        </w:rPr>
        <w:t>В Таблице 2 и на Диаграмме 1 представлены расходы в разбивке по Секторам:</w:t>
      </w:r>
    </w:p>
    <w:p w14:paraId="3DF7A35F" w14:textId="77777777" w:rsidR="00F32556" w:rsidRPr="00727731" w:rsidRDefault="00F32556" w:rsidP="00F32556">
      <w:pPr>
        <w:pStyle w:val="TableNo"/>
        <w:rPr>
          <w:rFonts w:asciiTheme="minorHAnsi" w:hAnsiTheme="minorHAnsi" w:cstheme="minorBidi"/>
          <w:lang w:val="ru-RU"/>
        </w:rPr>
      </w:pPr>
      <w:r w:rsidRPr="00727731">
        <w:rPr>
          <w:lang w:val="ru-RU"/>
        </w:rPr>
        <w:t>ТАБЛИЦА 2</w:t>
      </w:r>
    </w:p>
    <w:p w14:paraId="06D18157" w14:textId="77777777" w:rsidR="00E261C7" w:rsidRPr="00727731" w:rsidRDefault="00E261C7" w:rsidP="00E261C7">
      <w:pPr>
        <w:pStyle w:val="Tabletitle"/>
        <w:spacing w:after="60"/>
        <w:ind w:right="2410"/>
        <w:jc w:val="right"/>
        <w:rPr>
          <w:b w:val="0"/>
          <w:bCs/>
          <w:sz w:val="20"/>
          <w:lang w:val="ru-RU"/>
        </w:rPr>
      </w:pPr>
      <w:r w:rsidRPr="00727731">
        <w:rPr>
          <w:b w:val="0"/>
          <w:bCs/>
          <w:sz w:val="20"/>
          <w:lang w:val="ru-RU"/>
        </w:rPr>
        <w:t>тыс. шв. фр.</w:t>
      </w:r>
    </w:p>
    <w:tbl>
      <w:tblPr>
        <w:tblW w:w="9066" w:type="dxa"/>
        <w:tblLayout w:type="fixed"/>
        <w:tblLook w:val="04A0" w:firstRow="1" w:lastRow="0" w:firstColumn="1" w:lastColumn="0" w:noHBand="0" w:noVBand="1"/>
      </w:tblPr>
      <w:tblGrid>
        <w:gridCol w:w="3256"/>
        <w:gridCol w:w="968"/>
        <w:gridCol w:w="968"/>
        <w:gridCol w:w="969"/>
        <w:gridCol w:w="968"/>
        <w:gridCol w:w="968"/>
        <w:gridCol w:w="969"/>
      </w:tblGrid>
      <w:tr w:rsidR="00E261C7" w:rsidRPr="00727731" w14:paraId="58444530" w14:textId="77777777" w:rsidTr="00084323">
        <w:trPr>
          <w:trHeight w:val="759"/>
        </w:trPr>
        <w:tc>
          <w:tcPr>
            <w:tcW w:w="3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4472C4"/>
            <w:noWrap/>
            <w:vAlign w:val="center"/>
          </w:tcPr>
          <w:p w14:paraId="6AAE3B16" w14:textId="77777777" w:rsidR="00E261C7" w:rsidRPr="00727731" w:rsidRDefault="00E261C7" w:rsidP="00E261C7">
            <w:pPr>
              <w:pStyle w:val="Tablehead"/>
              <w:ind w:left="-57" w:right="-57"/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4472C4"/>
            <w:vAlign w:val="center"/>
          </w:tcPr>
          <w:p w14:paraId="391DA65D" w14:textId="4304903A" w:rsidR="00E261C7" w:rsidRPr="00727731" w:rsidRDefault="00E261C7" w:rsidP="00E261C7">
            <w:pPr>
              <w:pStyle w:val="Tablehead"/>
              <w:ind w:left="-57" w:right="-57"/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Бюджет</w:t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br/>
              <w:t>2024 г.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77C2A"/>
            <w:vAlign w:val="center"/>
          </w:tcPr>
          <w:p w14:paraId="418422CA" w14:textId="2E59F7F4" w:rsidR="00E261C7" w:rsidRPr="00727731" w:rsidRDefault="00E261C7" w:rsidP="00E261C7">
            <w:pPr>
              <w:pStyle w:val="Tablehead"/>
              <w:ind w:left="-57" w:right="-57"/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</w:pPr>
            <w:proofErr w:type="spellStart"/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Обяза-тельства</w:t>
            </w:r>
            <w:proofErr w:type="spellEnd"/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br/>
              <w:t>22.03.24 г.</w:t>
            </w:r>
          </w:p>
        </w:tc>
        <w:tc>
          <w:tcPr>
            <w:tcW w:w="9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A4A4A4"/>
            <w:vAlign w:val="center"/>
          </w:tcPr>
          <w:p w14:paraId="05377388" w14:textId="211DD4C4" w:rsidR="00E261C7" w:rsidRPr="00727731" w:rsidRDefault="00E261C7" w:rsidP="00E261C7">
            <w:pPr>
              <w:pStyle w:val="Tablehead"/>
              <w:ind w:left="-57" w:right="-57"/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Факти</w:t>
            </w:r>
            <w:proofErr w:type="spellEnd"/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-чески</w:t>
            </w:r>
            <w:proofErr w:type="gramEnd"/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br/>
              <w:t>22.03.24 г.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8C200"/>
            <w:vAlign w:val="center"/>
          </w:tcPr>
          <w:p w14:paraId="3B57DB35" w14:textId="09FAA689" w:rsidR="00E261C7" w:rsidRPr="00727731" w:rsidRDefault="00E261C7" w:rsidP="00E261C7">
            <w:pPr>
              <w:pStyle w:val="Tablehead"/>
              <w:ind w:left="-57" w:right="-57"/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 xml:space="preserve">Прогноз </w:t>
            </w:r>
            <w:r w:rsidR="00795853"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br/>
            </w:r>
            <w:r w:rsidR="00D42B24"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на</w:t>
            </w:r>
            <w:r w:rsidR="00795853"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 xml:space="preserve"> к</w:t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он</w:t>
            </w:r>
            <w:r w:rsidR="00D42B24"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е</w:t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 xml:space="preserve">ц </w:t>
            </w:r>
            <w:r w:rsidR="00795853"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br/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vAlign w:val="center"/>
          </w:tcPr>
          <w:p w14:paraId="34815FF0" w14:textId="59AB4E9E" w:rsidR="00E261C7" w:rsidRPr="00727731" w:rsidRDefault="00E261C7" w:rsidP="00E261C7">
            <w:pPr>
              <w:pStyle w:val="Tablehead"/>
              <w:ind w:left="-57" w:right="-57"/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Всего</w:t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br/>
            </w:r>
            <w:r w:rsidR="00030BCB"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на к</w:t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онец 2024 г.</w:t>
            </w:r>
          </w:p>
        </w:tc>
        <w:tc>
          <w:tcPr>
            <w:tcW w:w="9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4472C4"/>
            <w:vAlign w:val="center"/>
          </w:tcPr>
          <w:p w14:paraId="624A524D" w14:textId="6F2C87C7" w:rsidR="00E261C7" w:rsidRPr="00727731" w:rsidRDefault="00E261C7" w:rsidP="00E261C7">
            <w:pPr>
              <w:pStyle w:val="Tablehead"/>
              <w:ind w:left="-57" w:right="-57"/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t>Разница</w:t>
            </w:r>
            <w:r w:rsidRPr="00727731">
              <w:rPr>
                <w:rFonts w:ascii="Calibri Light" w:hAnsi="Calibri Light" w:cs="Calibri Light"/>
                <w:bCs/>
                <w:color w:val="FFFFFF" w:themeColor="background1"/>
                <w:sz w:val="18"/>
                <w:szCs w:val="18"/>
                <w:lang w:val="ru-RU"/>
              </w:rPr>
              <w:br/>
              <w:t>2024 г.</w:t>
            </w:r>
          </w:p>
        </w:tc>
      </w:tr>
      <w:tr w:rsidR="00E261C7" w:rsidRPr="00727731" w14:paraId="30437C66" w14:textId="77777777" w:rsidTr="00084323">
        <w:tc>
          <w:tcPr>
            <w:tcW w:w="3256" w:type="dxa"/>
            <w:tcBorders>
              <w:top w:val="single" w:sz="4" w:space="0" w:color="0070C0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CD96" w14:textId="435CB454" w:rsidR="00E261C7" w:rsidRPr="00727731" w:rsidRDefault="00E261C7" w:rsidP="00E261C7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Генеральный секретариат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EC20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90 789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7265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43 483</w:t>
            </w:r>
          </w:p>
        </w:tc>
        <w:tc>
          <w:tcPr>
            <w:tcW w:w="969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86C0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18 378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4978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27 104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52A4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88 965</w:t>
            </w:r>
          </w:p>
        </w:tc>
        <w:tc>
          <w:tcPr>
            <w:tcW w:w="969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9753372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1 824</w:t>
            </w:r>
          </w:p>
        </w:tc>
      </w:tr>
      <w:tr w:rsidR="00E261C7" w:rsidRPr="00727731" w14:paraId="7D9996B9" w14:textId="77777777" w:rsidTr="00E261C7">
        <w:tc>
          <w:tcPr>
            <w:tcW w:w="325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22AF" w14:textId="5BF2E9BA" w:rsidR="00E261C7" w:rsidRPr="00727731" w:rsidRDefault="00E261C7" w:rsidP="00E261C7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Сектор радиосвязи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4DF1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bookmarkStart w:id="7" w:name="RANGE!B11:G14"/>
            <w:r w:rsidRPr="00727731">
              <w:rPr>
                <w:sz w:val="18"/>
                <w:szCs w:val="18"/>
                <w:lang w:val="ru-RU"/>
              </w:rPr>
              <w:t>30 222</w:t>
            </w:r>
            <w:bookmarkEnd w:id="7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0380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18 592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FD05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6 782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9983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4 011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F142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29 385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57C536F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837</w:t>
            </w:r>
          </w:p>
        </w:tc>
      </w:tr>
      <w:tr w:rsidR="00E261C7" w:rsidRPr="00727731" w14:paraId="1DF47E24" w14:textId="77777777" w:rsidTr="00E261C7">
        <w:tc>
          <w:tcPr>
            <w:tcW w:w="325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2967" w14:textId="6623D0E5" w:rsidR="00E261C7" w:rsidRPr="00727731" w:rsidRDefault="00E261C7" w:rsidP="00E261C7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Сектор стандартизации электросвязи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00FF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14 705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39C3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8 343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C2E3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3 037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382A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3 260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517E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14 640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A530506" w14:textId="77777777" w:rsidR="00E261C7" w:rsidRPr="00727731" w:rsidRDefault="00E261C7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65</w:t>
            </w:r>
          </w:p>
        </w:tc>
      </w:tr>
      <w:tr w:rsidR="00E261C7" w:rsidRPr="00727731" w14:paraId="48BAE9AB" w14:textId="77777777" w:rsidTr="00084323">
        <w:tc>
          <w:tcPr>
            <w:tcW w:w="3256" w:type="dxa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797DF14" w14:textId="654D77B4" w:rsidR="00432DEF" w:rsidRPr="00727731" w:rsidRDefault="00E261C7" w:rsidP="00432DEF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Сектор развития электросвязи</w:t>
            </w:r>
            <w:r w:rsidR="00432DEF" w:rsidRPr="00727731">
              <w:rPr>
                <w:rStyle w:val="FootnoteReference"/>
                <w:lang w:val="ru-RU"/>
              </w:rPr>
              <w:t>*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855DE5B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29 217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140059B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15 774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023B5CC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6 185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5020636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7 234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9B5264F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29 193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58BA161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24</w:t>
            </w:r>
          </w:p>
        </w:tc>
      </w:tr>
      <w:tr w:rsidR="00E261C7" w:rsidRPr="00727731" w14:paraId="36964AE8" w14:textId="77777777" w:rsidTr="00084323">
        <w:tc>
          <w:tcPr>
            <w:tcW w:w="3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4472C4"/>
            <w:noWrap/>
            <w:vAlign w:val="center"/>
            <w:hideMark/>
          </w:tcPr>
          <w:p w14:paraId="45A32062" w14:textId="0A2AD3EE" w:rsidR="00432DEF" w:rsidRPr="00727731" w:rsidRDefault="00E261C7" w:rsidP="00432DEF">
            <w:pPr>
              <w:pStyle w:val="Tabletex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ВСЕГО РАСХОДЫ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4472C4"/>
            <w:noWrap/>
            <w:vAlign w:val="center"/>
            <w:hideMark/>
          </w:tcPr>
          <w:p w14:paraId="1E1E3296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164 933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77C2A"/>
            <w:noWrap/>
            <w:vAlign w:val="center"/>
            <w:hideMark/>
          </w:tcPr>
          <w:p w14:paraId="078755F3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86 192</w:t>
            </w:r>
          </w:p>
        </w:tc>
        <w:tc>
          <w:tcPr>
            <w:tcW w:w="9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A4A4A4"/>
            <w:noWrap/>
            <w:vAlign w:val="center"/>
            <w:hideMark/>
          </w:tcPr>
          <w:p w14:paraId="6DF8FA41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34 382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8C200"/>
            <w:noWrap/>
            <w:vAlign w:val="center"/>
            <w:hideMark/>
          </w:tcPr>
          <w:p w14:paraId="03A58B8C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41 609</w:t>
            </w:r>
          </w:p>
        </w:tc>
        <w:tc>
          <w:tcPr>
            <w:tcW w:w="96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14:paraId="00E73E20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162 183</w:t>
            </w:r>
          </w:p>
        </w:tc>
        <w:tc>
          <w:tcPr>
            <w:tcW w:w="9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4472C4"/>
            <w:noWrap/>
            <w:vAlign w:val="center"/>
            <w:hideMark/>
          </w:tcPr>
          <w:p w14:paraId="4246F0F2" w14:textId="77777777" w:rsidR="00432DEF" w:rsidRPr="00727731" w:rsidRDefault="00432DEF" w:rsidP="00E261C7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2 750</w:t>
            </w:r>
          </w:p>
        </w:tc>
      </w:tr>
    </w:tbl>
    <w:p w14:paraId="48919739" w14:textId="77777777" w:rsidR="00F32556" w:rsidRPr="00727731" w:rsidRDefault="00F32556" w:rsidP="00322D68">
      <w:pPr>
        <w:pStyle w:val="FigureNo"/>
        <w:spacing w:before="480"/>
        <w:rPr>
          <w:rFonts w:asciiTheme="minorHAnsi" w:hAnsiTheme="minorHAnsi" w:cstheme="minorHAnsi"/>
          <w:lang w:val="ru-RU"/>
        </w:rPr>
      </w:pPr>
      <w:r w:rsidRPr="00727731">
        <w:rPr>
          <w:lang w:val="ru-RU"/>
        </w:rPr>
        <w:t>Диаграмма 1</w:t>
      </w:r>
    </w:p>
    <w:p w14:paraId="7072A825" w14:textId="5B3043BD" w:rsidR="00D42B24" w:rsidRPr="00727731" w:rsidRDefault="00D42B24" w:rsidP="00D42B24">
      <w:pPr>
        <w:pStyle w:val="Normalaftertitle"/>
        <w:rPr>
          <w:lang w:val="ru-RU"/>
        </w:rPr>
      </w:pPr>
      <w:r w:rsidRPr="00727731">
        <w:rPr>
          <w:lang w:val="ru-RU"/>
        </w:rPr>
        <w:drawing>
          <wp:inline distT="0" distB="0" distL="0" distR="0" wp14:anchorId="65A3964E" wp14:editId="520620D3">
            <wp:extent cx="5787390" cy="3171825"/>
            <wp:effectExtent l="0" t="0" r="3810" b="9525"/>
            <wp:docPr id="14789609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60CB0B9-257F-CC47-A9A9-816712BE4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4224FF" w14:textId="0F9211F9" w:rsidR="00322D68" w:rsidRPr="00727731" w:rsidRDefault="00322D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727731">
        <w:rPr>
          <w:lang w:val="ru-RU"/>
        </w:rPr>
        <w:br w:type="page"/>
      </w:r>
    </w:p>
    <w:p w14:paraId="1BE73319" w14:textId="7DF3A1AF" w:rsidR="00322D68" w:rsidRPr="00727731" w:rsidRDefault="00322D68" w:rsidP="00322D68">
      <w:pPr>
        <w:rPr>
          <w:rFonts w:asciiTheme="minorHAnsi" w:hAnsiTheme="minorHAnsi" w:cstheme="minorHAnsi"/>
          <w:lang w:val="ru-RU"/>
        </w:rPr>
      </w:pPr>
      <w:r w:rsidRPr="00727731">
        <w:rPr>
          <w:lang w:val="ru-RU"/>
        </w:rPr>
        <w:lastRenderedPageBreak/>
        <w:t xml:space="preserve">В Таблице 3 и </w:t>
      </w:r>
      <w:r w:rsidR="006953D2" w:rsidRPr="00727731">
        <w:rPr>
          <w:lang w:val="ru-RU"/>
        </w:rPr>
        <w:t>н</w:t>
      </w:r>
      <w:r w:rsidRPr="00727731">
        <w:rPr>
          <w:lang w:val="ru-RU"/>
        </w:rPr>
        <w:t xml:space="preserve">а Диаграмме 2 представлены доходы в разбивке по </w:t>
      </w:r>
      <w:r w:rsidR="001455D6" w:rsidRPr="00727731">
        <w:rPr>
          <w:lang w:val="ru-RU"/>
        </w:rPr>
        <w:t>источникам</w:t>
      </w:r>
      <w:r w:rsidRPr="00727731">
        <w:rPr>
          <w:lang w:val="ru-RU"/>
        </w:rPr>
        <w:t>:</w:t>
      </w:r>
    </w:p>
    <w:p w14:paraId="09F03533" w14:textId="77777777" w:rsidR="00322D68" w:rsidRPr="00727731" w:rsidRDefault="00322D68" w:rsidP="00322D68">
      <w:pPr>
        <w:pStyle w:val="TableNo"/>
        <w:rPr>
          <w:lang w:val="ru-RU"/>
        </w:rPr>
      </w:pPr>
      <w:r w:rsidRPr="00727731">
        <w:rPr>
          <w:lang w:val="ru-RU"/>
        </w:rPr>
        <w:t>ТАБЛИЦА 3</w:t>
      </w:r>
    </w:p>
    <w:p w14:paraId="06C730D6" w14:textId="51F2656D" w:rsidR="006953D2" w:rsidRPr="00727731" w:rsidRDefault="006953D2" w:rsidP="006953D2">
      <w:pPr>
        <w:pStyle w:val="Tabletitle"/>
        <w:spacing w:after="60"/>
        <w:ind w:right="1983"/>
        <w:jc w:val="right"/>
        <w:rPr>
          <w:b w:val="0"/>
          <w:bCs/>
          <w:sz w:val="20"/>
          <w:lang w:val="ru-RU"/>
        </w:rPr>
      </w:pPr>
      <w:r w:rsidRPr="00727731">
        <w:rPr>
          <w:b w:val="0"/>
          <w:bCs/>
          <w:sz w:val="20"/>
          <w:lang w:val="ru-RU"/>
        </w:rPr>
        <w:t>тыс. шв. фр.</w:t>
      </w:r>
    </w:p>
    <w:tbl>
      <w:tblPr>
        <w:tblW w:w="906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204"/>
        <w:gridCol w:w="1205"/>
        <w:gridCol w:w="1204"/>
        <w:gridCol w:w="1205"/>
      </w:tblGrid>
      <w:tr w:rsidR="00084323" w:rsidRPr="00727731" w14:paraId="020F90E1" w14:textId="77777777" w:rsidTr="006953D2">
        <w:tc>
          <w:tcPr>
            <w:tcW w:w="4248" w:type="dxa"/>
            <w:tcBorders>
              <w:bottom w:val="single" w:sz="4" w:space="0" w:color="0070C0"/>
            </w:tcBorders>
            <w:shd w:val="clear" w:color="000000" w:fill="386CC5"/>
            <w:noWrap/>
            <w:vAlign w:val="center"/>
            <w:hideMark/>
          </w:tcPr>
          <w:p w14:paraId="5B3B7075" w14:textId="374E1E2E" w:rsidR="00084323" w:rsidRPr="00727731" w:rsidRDefault="00084323" w:rsidP="00084323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204" w:type="dxa"/>
            <w:tcBorders>
              <w:bottom w:val="single" w:sz="4" w:space="0" w:color="0070C0"/>
            </w:tcBorders>
            <w:shd w:val="clear" w:color="000000" w:fill="386CC5"/>
            <w:vAlign w:val="center"/>
            <w:hideMark/>
          </w:tcPr>
          <w:p w14:paraId="12562275" w14:textId="2348EBD0" w:rsidR="00084323" w:rsidRPr="00727731" w:rsidRDefault="00084323" w:rsidP="00084323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color w:val="FFFFFF" w:themeColor="background1"/>
                <w:sz w:val="18"/>
                <w:szCs w:val="18"/>
                <w:lang w:val="ru-RU"/>
              </w:rPr>
              <w:t>Бюджет</w:t>
            </w:r>
            <w:r w:rsidRPr="00727731">
              <w:rPr>
                <w:color w:val="FFFFFF" w:themeColor="background1"/>
                <w:sz w:val="18"/>
                <w:szCs w:val="18"/>
                <w:lang w:val="ru-RU"/>
              </w:rPr>
              <w:br/>
              <w:t>2024 г.</w:t>
            </w:r>
          </w:p>
        </w:tc>
        <w:tc>
          <w:tcPr>
            <w:tcW w:w="1205" w:type="dxa"/>
            <w:tcBorders>
              <w:bottom w:val="single" w:sz="4" w:space="0" w:color="0070C0"/>
            </w:tcBorders>
            <w:shd w:val="clear" w:color="000000" w:fill="A4A4A4"/>
            <w:vAlign w:val="center"/>
            <w:hideMark/>
          </w:tcPr>
          <w:p w14:paraId="0D748FD7" w14:textId="27672A53" w:rsidR="00084323" w:rsidRPr="00727731" w:rsidRDefault="00084323" w:rsidP="00084323">
            <w:pPr>
              <w:pStyle w:val="Tablehead"/>
              <w:rPr>
                <w:rFonts w:ascii="Calibri Light" w:hAnsi="Calibri Light" w:cs="Calibri Light"/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rFonts w:ascii="Calibri Light" w:hAnsi="Calibri Light" w:cs="Calibri Light"/>
                <w:color w:val="FFFFFF" w:themeColor="background1"/>
                <w:sz w:val="18"/>
                <w:szCs w:val="18"/>
                <w:lang w:val="ru-RU"/>
              </w:rPr>
              <w:t>Фактически</w:t>
            </w:r>
            <w:r w:rsidRPr="00727731">
              <w:rPr>
                <w:rFonts w:ascii="Calibri Light" w:hAnsi="Calibri Light" w:cs="Calibri Light"/>
                <w:color w:val="FFFFFF" w:themeColor="background1"/>
                <w:sz w:val="18"/>
                <w:szCs w:val="18"/>
                <w:lang w:val="ru-RU"/>
              </w:rPr>
              <w:br/>
              <w:t>22.03.24 г.</w:t>
            </w:r>
          </w:p>
        </w:tc>
        <w:tc>
          <w:tcPr>
            <w:tcW w:w="1204" w:type="dxa"/>
            <w:tcBorders>
              <w:bottom w:val="single" w:sz="4" w:space="0" w:color="0070C0"/>
            </w:tcBorders>
            <w:shd w:val="clear" w:color="000000" w:fill="00B050"/>
            <w:vAlign w:val="center"/>
            <w:hideMark/>
          </w:tcPr>
          <w:p w14:paraId="4BBEDA76" w14:textId="5DBCAB25" w:rsidR="00084323" w:rsidRPr="00727731" w:rsidRDefault="00084323" w:rsidP="00084323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color w:val="FFFFFF" w:themeColor="background1"/>
                <w:sz w:val="18"/>
                <w:szCs w:val="18"/>
                <w:lang w:val="ru-RU"/>
              </w:rPr>
              <w:t xml:space="preserve">Прогноз </w:t>
            </w:r>
            <w:r w:rsidRPr="00727731">
              <w:rPr>
                <w:color w:val="FFFFFF" w:themeColor="background1"/>
                <w:sz w:val="18"/>
                <w:szCs w:val="18"/>
                <w:lang w:val="ru-RU"/>
              </w:rPr>
              <w:br/>
              <w:t>на конец 2024 г.</w:t>
            </w:r>
          </w:p>
        </w:tc>
        <w:tc>
          <w:tcPr>
            <w:tcW w:w="1205" w:type="dxa"/>
            <w:tcBorders>
              <w:bottom w:val="single" w:sz="4" w:space="0" w:color="0070C0"/>
            </w:tcBorders>
            <w:shd w:val="clear" w:color="000000" w:fill="386CC5"/>
            <w:vAlign w:val="center"/>
            <w:hideMark/>
          </w:tcPr>
          <w:p w14:paraId="73CFB2E9" w14:textId="6A3F788B" w:rsidR="00084323" w:rsidRPr="00727731" w:rsidRDefault="00084323" w:rsidP="00084323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27731">
              <w:rPr>
                <w:color w:val="FFFFFF" w:themeColor="background1"/>
                <w:sz w:val="18"/>
                <w:szCs w:val="18"/>
                <w:lang w:val="ru-RU"/>
              </w:rPr>
              <w:t>Разница</w:t>
            </w:r>
            <w:r w:rsidRPr="00727731">
              <w:rPr>
                <w:color w:val="FFFFFF" w:themeColor="background1"/>
                <w:sz w:val="18"/>
                <w:szCs w:val="18"/>
                <w:lang w:val="ru-RU"/>
              </w:rPr>
              <w:br/>
              <w:t>2024 г.</w:t>
            </w:r>
          </w:p>
        </w:tc>
      </w:tr>
      <w:tr w:rsidR="00084323" w:rsidRPr="00727731" w14:paraId="49F86BE7" w14:textId="77777777" w:rsidTr="006953D2">
        <w:tc>
          <w:tcPr>
            <w:tcW w:w="424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53DF" w14:textId="77777777" w:rsidR="00084323" w:rsidRPr="00727731" w:rsidRDefault="00084323" w:rsidP="00084323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Начисленные взносы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7BBC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129 574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074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129 824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DDC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129 574</w:t>
            </w:r>
          </w:p>
        </w:tc>
        <w:tc>
          <w:tcPr>
            <w:tcW w:w="1205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4B11D8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0</w:t>
            </w:r>
          </w:p>
        </w:tc>
      </w:tr>
      <w:tr w:rsidR="00084323" w:rsidRPr="00727731" w14:paraId="1C922AB4" w14:textId="77777777" w:rsidTr="006953D2">
        <w:tc>
          <w:tcPr>
            <w:tcW w:w="424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4DFD" w14:textId="77777777" w:rsidR="00084323" w:rsidRPr="00727731" w:rsidRDefault="00084323" w:rsidP="00084323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Возмещение затрат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D147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bookmarkStart w:id="8" w:name="RANGE!B10:E17"/>
            <w:r w:rsidRPr="00727731">
              <w:rPr>
                <w:sz w:val="18"/>
                <w:szCs w:val="18"/>
                <w:lang w:val="ru-RU"/>
              </w:rPr>
              <w:t>34 500</w:t>
            </w:r>
            <w:bookmarkEnd w:id="8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7FFD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4 810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5AA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31 650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90C2E9" w14:textId="0F56EED2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−2 850</w:t>
            </w:r>
          </w:p>
        </w:tc>
      </w:tr>
      <w:tr w:rsidR="00084323" w:rsidRPr="00727731" w14:paraId="21E5B995" w14:textId="77777777" w:rsidTr="006953D2">
        <w:tc>
          <w:tcPr>
            <w:tcW w:w="424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0EDD" w14:textId="77777777" w:rsidR="00084323" w:rsidRPr="00727731" w:rsidRDefault="00084323" w:rsidP="00084323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Доход в виде процентов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F51A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1 000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9E7F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1C85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1 700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75DE81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700</w:t>
            </w:r>
          </w:p>
        </w:tc>
      </w:tr>
      <w:tr w:rsidR="00084323" w:rsidRPr="00727731" w14:paraId="6091441B" w14:textId="77777777" w:rsidTr="006953D2">
        <w:tc>
          <w:tcPr>
            <w:tcW w:w="424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3DE2" w14:textId="77777777" w:rsidR="00084323" w:rsidRPr="00727731" w:rsidRDefault="00084323" w:rsidP="00084323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Прочие доходы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C148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400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D5DD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5441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541AB4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100</w:t>
            </w:r>
          </w:p>
        </w:tc>
      </w:tr>
      <w:tr w:rsidR="00084323" w:rsidRPr="00727731" w14:paraId="67B278B0" w14:textId="77777777" w:rsidTr="006953D2">
        <w:tc>
          <w:tcPr>
            <w:tcW w:w="42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E9C0C" w14:textId="77777777" w:rsidR="00084323" w:rsidRPr="00727731" w:rsidRDefault="00084323" w:rsidP="00084323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Выплаты в фонд ИКТ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42D7" w14:textId="5440E5DB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−1 000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FAB6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F254" w14:textId="2EFCF100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−1 000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CC7508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0</w:t>
            </w:r>
          </w:p>
        </w:tc>
      </w:tr>
      <w:tr w:rsidR="00084323" w:rsidRPr="00727731" w14:paraId="1DE2247F" w14:textId="77777777" w:rsidTr="006953D2">
        <w:tc>
          <w:tcPr>
            <w:tcW w:w="42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EE66" w14:textId="77777777" w:rsidR="00084323" w:rsidRPr="00727731" w:rsidRDefault="00084323" w:rsidP="00084323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Выплаты в фонд эксплуатации зданий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9F91" w14:textId="483DDBA8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−750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2F5B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79F1" w14:textId="6658CFB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−1 450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54021E" w14:textId="52E536DB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−700</w:t>
            </w:r>
          </w:p>
        </w:tc>
      </w:tr>
      <w:tr w:rsidR="00084323" w:rsidRPr="00727731" w14:paraId="7ECDBB32" w14:textId="77777777" w:rsidTr="006953D2">
        <w:tc>
          <w:tcPr>
            <w:tcW w:w="42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EFAF" w14:textId="77777777" w:rsidR="00084323" w:rsidRPr="00727731" w:rsidRDefault="00084323" w:rsidP="00084323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Снятие средств с Резервного счета/Зачисление средств на Резервный счет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D45A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604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8158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0887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604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8EEAAD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0</w:t>
            </w:r>
          </w:p>
        </w:tc>
      </w:tr>
      <w:tr w:rsidR="00084323" w:rsidRPr="00727731" w14:paraId="23A4E806" w14:textId="77777777" w:rsidTr="006953D2">
        <w:tc>
          <w:tcPr>
            <w:tcW w:w="4248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359370E4" w14:textId="77777777" w:rsidR="00084323" w:rsidRPr="00727731" w:rsidRDefault="00084323" w:rsidP="00084323">
            <w:pPr>
              <w:pStyle w:val="Tabletex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Зональное отделение в Нью-Дели – взнос Индии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9AE4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605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0247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5BE6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605</w:t>
            </w:r>
          </w:p>
        </w:tc>
        <w:tc>
          <w:tcPr>
            <w:tcW w:w="120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7975502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727731">
              <w:rPr>
                <w:sz w:val="18"/>
                <w:szCs w:val="18"/>
                <w:lang w:val="ru-RU"/>
              </w:rPr>
              <w:t>0</w:t>
            </w:r>
          </w:p>
        </w:tc>
      </w:tr>
      <w:tr w:rsidR="00084323" w:rsidRPr="00727731" w14:paraId="4E4B9461" w14:textId="77777777" w:rsidTr="00084323">
        <w:tc>
          <w:tcPr>
            <w:tcW w:w="4248" w:type="dxa"/>
            <w:shd w:val="clear" w:color="000000" w:fill="386CC5"/>
            <w:noWrap/>
            <w:vAlign w:val="center"/>
            <w:hideMark/>
          </w:tcPr>
          <w:p w14:paraId="0865EDCC" w14:textId="60D73E34" w:rsidR="00084323" w:rsidRPr="00727731" w:rsidRDefault="00084323" w:rsidP="00084323">
            <w:pPr>
              <w:pStyle w:val="Tabletex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204" w:type="dxa"/>
            <w:shd w:val="clear" w:color="000000" w:fill="386CC5"/>
            <w:noWrap/>
            <w:vAlign w:val="bottom"/>
            <w:hideMark/>
          </w:tcPr>
          <w:p w14:paraId="496066C1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164 933</w:t>
            </w:r>
          </w:p>
        </w:tc>
        <w:tc>
          <w:tcPr>
            <w:tcW w:w="1205" w:type="dxa"/>
            <w:shd w:val="clear" w:color="000000" w:fill="A4A4A4"/>
            <w:noWrap/>
            <w:vAlign w:val="bottom"/>
            <w:hideMark/>
          </w:tcPr>
          <w:p w14:paraId="1252C412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134 639</w:t>
            </w:r>
          </w:p>
        </w:tc>
        <w:tc>
          <w:tcPr>
            <w:tcW w:w="1204" w:type="dxa"/>
            <w:shd w:val="clear" w:color="000000" w:fill="00B050"/>
            <w:noWrap/>
            <w:vAlign w:val="bottom"/>
            <w:hideMark/>
          </w:tcPr>
          <w:p w14:paraId="0C38A4BC" w14:textId="77777777" w:rsidR="00084323" w:rsidRPr="00727731" w:rsidRDefault="00084323" w:rsidP="006953D2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162 183</w:t>
            </w:r>
          </w:p>
        </w:tc>
        <w:tc>
          <w:tcPr>
            <w:tcW w:w="1205" w:type="dxa"/>
            <w:shd w:val="clear" w:color="000000" w:fill="386CC5"/>
            <w:noWrap/>
            <w:vAlign w:val="bottom"/>
            <w:hideMark/>
          </w:tcPr>
          <w:p w14:paraId="74146AA1" w14:textId="4ADA6D80" w:rsidR="00084323" w:rsidRPr="00727731" w:rsidRDefault="00084323" w:rsidP="006953D2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b/>
                <w:bCs/>
                <w:color w:val="FFFFFF"/>
                <w:sz w:val="18"/>
                <w:szCs w:val="18"/>
                <w:lang w:val="ru-RU"/>
              </w:rPr>
              <w:t>−2 750</w:t>
            </w:r>
          </w:p>
        </w:tc>
      </w:tr>
    </w:tbl>
    <w:p w14:paraId="76FE84A7" w14:textId="77777777" w:rsidR="00322D68" w:rsidRPr="00727731" w:rsidRDefault="00322D68" w:rsidP="00322D68">
      <w:pPr>
        <w:pStyle w:val="FigureNo"/>
        <w:spacing w:before="480"/>
        <w:rPr>
          <w:lang w:val="ru-RU"/>
        </w:rPr>
      </w:pPr>
      <w:r w:rsidRPr="00727731">
        <w:rPr>
          <w:lang w:val="ru-RU"/>
        </w:rPr>
        <w:t>Диаграмма 2</w:t>
      </w:r>
    </w:p>
    <w:p w14:paraId="71C82DEF" w14:textId="075BE827" w:rsidR="00322D68" w:rsidRPr="00727731" w:rsidRDefault="00084323" w:rsidP="00322D68">
      <w:pPr>
        <w:pStyle w:val="Figuretitle"/>
        <w:rPr>
          <w:lang w:val="ru-RU"/>
        </w:rPr>
      </w:pPr>
      <w:r w:rsidRPr="00727731">
        <w:rPr>
          <w:lang w:val="ru-RU"/>
        </w:rPr>
        <w:drawing>
          <wp:inline distT="0" distB="0" distL="0" distR="0" wp14:anchorId="6BE5E300" wp14:editId="3A20BFE5">
            <wp:extent cx="5462660" cy="3281247"/>
            <wp:effectExtent l="0" t="0" r="5080" b="14605"/>
            <wp:docPr id="3406583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AEB99A2-63DB-E42C-3FEC-6CFB746EE1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4A3271" w14:textId="167DBBAC" w:rsidR="006953D2" w:rsidRPr="00727731" w:rsidRDefault="006953D2" w:rsidP="006953D2">
      <w:pPr>
        <w:rPr>
          <w:lang w:val="ru-RU"/>
        </w:rPr>
      </w:pPr>
      <w:r w:rsidRPr="00727731">
        <w:rPr>
          <w:lang w:val="ru-RU"/>
        </w:rPr>
        <w:br w:type="page"/>
      </w:r>
    </w:p>
    <w:p w14:paraId="1C61D694" w14:textId="6BEF2328" w:rsidR="006953D2" w:rsidRPr="00727731" w:rsidRDefault="006953D2" w:rsidP="000624F5">
      <w:pPr>
        <w:pStyle w:val="Heading1"/>
        <w:rPr>
          <w:szCs w:val="26"/>
          <w:lang w:val="ru-RU"/>
        </w:rPr>
      </w:pPr>
      <w:r w:rsidRPr="00727731">
        <w:rPr>
          <w:lang w:val="ru-RU"/>
        </w:rPr>
        <w:lastRenderedPageBreak/>
        <w:t>3</w:t>
      </w:r>
      <w:r w:rsidRPr="00727731">
        <w:rPr>
          <w:lang w:val="ru-RU"/>
        </w:rPr>
        <w:tab/>
        <w:t>Меры по повышению эффективности (Приложение 2 к Решению 5 Полномочной конференции)</w:t>
      </w:r>
    </w:p>
    <w:p w14:paraId="7071A947" w14:textId="29A212F6" w:rsidR="006953D2" w:rsidRPr="00727731" w:rsidRDefault="006953D2" w:rsidP="006953D2">
      <w:pPr>
        <w:rPr>
          <w:rFonts w:asciiTheme="minorHAnsi" w:hAnsiTheme="minorHAnsi" w:cstheme="minorHAnsi"/>
          <w:lang w:val="ru-RU"/>
        </w:rPr>
      </w:pPr>
      <w:r w:rsidRPr="00727731">
        <w:rPr>
          <w:lang w:val="ru-RU"/>
        </w:rPr>
        <w:t>3.1</w:t>
      </w:r>
      <w:r w:rsidRPr="00727731">
        <w:rPr>
          <w:lang w:val="ru-RU"/>
        </w:rPr>
        <w:tab/>
        <w:t>В Таблице 4 на стр. 6 и 7 представлены принятые меры и возможная экономия средств в рамках каждой из 27 мер по повышению эффективности, определенных в Приложении 2 к</w:t>
      </w:r>
      <w:r w:rsidR="000624F5" w:rsidRPr="00727731">
        <w:rPr>
          <w:lang w:val="ru-RU"/>
        </w:rPr>
        <w:t> </w:t>
      </w:r>
      <w:r w:rsidRPr="00727731">
        <w:rPr>
          <w:lang w:val="ru-RU"/>
        </w:rPr>
        <w:t xml:space="preserve">Решению 5 (Пересм. Дубай, 2018 г.), в 2023 году по состоянию на 22 марта 2024 года. </w:t>
      </w:r>
    </w:p>
    <w:p w14:paraId="53780DDD" w14:textId="77777777" w:rsidR="006953D2" w:rsidRPr="00727731" w:rsidRDefault="006953D2" w:rsidP="006953D2">
      <w:pPr>
        <w:rPr>
          <w:rFonts w:asciiTheme="minorHAnsi" w:hAnsiTheme="minorHAnsi" w:cstheme="minorHAnsi"/>
          <w:lang w:val="ru-RU"/>
        </w:rPr>
      </w:pPr>
      <w:r w:rsidRPr="00727731">
        <w:rPr>
          <w:lang w:val="ru-RU"/>
        </w:rPr>
        <w:t>3.2</w:t>
      </w:r>
      <w:r w:rsidRPr="00727731">
        <w:rPr>
          <w:lang w:val="ru-RU"/>
        </w:rPr>
        <w:tab/>
        <w:t>В Таблице 5 на стр. 8–10 представлены предполагаемые действия и возможная экономия в рамках каждой из 27 мер по повышению эффективности, определенных в Приложении 2 к Решению 5 (Пересм. Бухарест, 2022 г.), в 2024 году.</w:t>
      </w:r>
    </w:p>
    <w:p w14:paraId="3FB8C7E7" w14:textId="77777777" w:rsidR="006953D2" w:rsidRPr="00727731" w:rsidRDefault="006953D2" w:rsidP="006953D2">
      <w:pPr>
        <w:rPr>
          <w:rFonts w:asciiTheme="minorHAnsi" w:hAnsiTheme="minorHAnsi" w:cstheme="minorBidi"/>
          <w:lang w:val="ru-RU"/>
        </w:rPr>
      </w:pPr>
      <w:r w:rsidRPr="00727731">
        <w:rPr>
          <w:lang w:val="ru-RU"/>
        </w:rPr>
        <w:t>Генеральный секретарь, заместитель Генерального секретаря и Директора Бюро проанализируют эти меры по повышению эффективности, с тем чтобы получить более точные оценки экономии, достигнутой в ходе исполнения бюджета в 2024 году.</w:t>
      </w:r>
    </w:p>
    <w:p w14:paraId="4B8D3CBF" w14:textId="77777777" w:rsidR="000624F5" w:rsidRPr="00727731" w:rsidRDefault="000624F5" w:rsidP="000624F5">
      <w:pPr>
        <w:rPr>
          <w:lang w:val="ru-RU"/>
        </w:rPr>
      </w:pPr>
    </w:p>
    <w:p w14:paraId="4BA832B9" w14:textId="77777777" w:rsidR="000624F5" w:rsidRPr="00727731" w:rsidRDefault="000624F5" w:rsidP="000624F5">
      <w:pPr>
        <w:rPr>
          <w:lang w:val="ru-RU"/>
        </w:rPr>
        <w:sectPr w:rsidR="000624F5" w:rsidRPr="00727731" w:rsidSect="00903109">
          <w:footerReference w:type="default" r:id="rId13"/>
          <w:headerReference w:type="first" r:id="rId14"/>
          <w:footerReference w:type="first" r:id="rId15"/>
          <w:pgSz w:w="11907" w:h="16834" w:code="9"/>
          <w:pgMar w:top="1418" w:right="1418" w:bottom="1418" w:left="1418" w:header="720" w:footer="567" w:gutter="0"/>
          <w:paperSrc w:first="15" w:other="15"/>
          <w:cols w:space="720"/>
          <w:titlePg/>
        </w:sectPr>
      </w:pPr>
    </w:p>
    <w:p w14:paraId="5D71C6AB" w14:textId="77777777" w:rsidR="000624F5" w:rsidRPr="00727731" w:rsidRDefault="000624F5" w:rsidP="000624F5">
      <w:pPr>
        <w:overflowPunct/>
        <w:autoSpaceDE/>
        <w:autoSpaceDN/>
        <w:snapToGrid w:val="0"/>
        <w:spacing w:before="0" w:after="120"/>
        <w:jc w:val="both"/>
        <w:textAlignment w:val="auto"/>
        <w:rPr>
          <w:b/>
          <w:bCs/>
          <w:u w:val="single"/>
          <w:lang w:val="ru-RU"/>
        </w:rPr>
      </w:pPr>
      <w:r w:rsidRPr="00727731">
        <w:rPr>
          <w:b/>
          <w:bCs/>
          <w:u w:val="single"/>
          <w:lang w:val="ru-RU"/>
        </w:rPr>
        <w:lastRenderedPageBreak/>
        <w:t>2023 год – Приложение 2 к Решению 5 (Пересм. Дубай, 2018 г.)</w:t>
      </w:r>
    </w:p>
    <w:p w14:paraId="1C7F9AA6" w14:textId="06B604A3" w:rsidR="000624F5" w:rsidRPr="00727731" w:rsidRDefault="000624F5" w:rsidP="000624F5">
      <w:pPr>
        <w:pStyle w:val="TableNo"/>
        <w:rPr>
          <w:lang w:val="ru-RU"/>
        </w:rPr>
      </w:pPr>
      <w:r w:rsidRPr="00727731">
        <w:rPr>
          <w:lang w:val="ru-RU"/>
        </w:rPr>
        <w:t>ТАБЛИЦА 4</w:t>
      </w:r>
    </w:p>
    <w:tbl>
      <w:tblPr>
        <w:tblW w:w="14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4888"/>
        <w:gridCol w:w="142"/>
        <w:gridCol w:w="2977"/>
        <w:gridCol w:w="134"/>
        <w:gridCol w:w="2985"/>
        <w:gridCol w:w="141"/>
        <w:gridCol w:w="2665"/>
      </w:tblGrid>
      <w:tr w:rsidR="000624F5" w:rsidRPr="00727731" w14:paraId="526CF553" w14:textId="77777777" w:rsidTr="00CC14BA">
        <w:trPr>
          <w:tblHeader/>
        </w:trPr>
        <w:tc>
          <w:tcPr>
            <w:tcW w:w="5523" w:type="dxa"/>
            <w:gridSpan w:val="2"/>
            <w:tcBorders>
              <w:top w:val="single" w:sz="4" w:space="0" w:color="833C0C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833C0C"/>
            <w:noWrap/>
            <w:vAlign w:val="center"/>
            <w:hideMark/>
          </w:tcPr>
          <w:p w14:paraId="7B05D28C" w14:textId="7D50635D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Меры по повышению эффективности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3B2C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1C9D9A2" w14:textId="504E6BA6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Ответственные структуры/</w:t>
            </w:r>
            <w:r w:rsidRPr="00727731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br/>
              <w:t>заинтересованные стороны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DCBE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572409" w14:textId="30ABB903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Выполненные действия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6441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F28FC8A" w14:textId="246709F9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Экономия</w:t>
            </w:r>
          </w:p>
        </w:tc>
      </w:tr>
      <w:tr w:rsidR="000624F5" w:rsidRPr="00727731" w14:paraId="2E864A48" w14:textId="77777777" w:rsidTr="00CC14BA">
        <w:tc>
          <w:tcPr>
            <w:tcW w:w="635" w:type="dxa"/>
            <w:tcBorders>
              <w:top w:val="nil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CECE0"/>
            <w:noWrap/>
            <w:hideMark/>
          </w:tcPr>
          <w:p w14:paraId="390C5E06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2A7FE319" w14:textId="0F832C13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Выявление и устранение всех форм и случаев дублирования функций и деятельности всех структурных органов и мероприятий МСЭ. Координация, согласование деятельности и более тесное сотрудничество между Секторами, включая оптимизацию методов управления, материально-технического обеспечения, координации и поддержки со стороны Секретариата, а также централизацию финансовых и административных задач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0489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0B12B611" w14:textId="1F7C2313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Генеральный секретарь, другие избираемые должностные лица, руководство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69CA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00EA4C65" w14:textId="70F353A1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Все функции финансового контролера, за исключением одной, были сконцентрированы в Бюджетно-финансовом аналитическом отделе Департамента управления финансовыми ресурсами. Установлено тесное сотрудничество между Бюро для поддержки крупных мероприятий (АР, ВКР)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16248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79A448B5" w14:textId="34D919F4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Были сэкономлены четыре должности за счет централизации функций финансового контролера. Внутренние подразделения для поддержки АР и ВКР позволили сэкономить средства за счет сокращения набора временного вспомогательного персонала</w:t>
            </w:r>
          </w:p>
        </w:tc>
      </w:tr>
      <w:tr w:rsidR="000624F5" w:rsidRPr="00727731" w14:paraId="3B33DDE5" w14:textId="77777777" w:rsidTr="00CC14BA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CDFFC7"/>
            <w:noWrap/>
            <w:hideMark/>
          </w:tcPr>
          <w:p w14:paraId="70DC6FD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CDFFC7"/>
            <w:hideMark/>
          </w:tcPr>
          <w:p w14:paraId="53BA7F97" w14:textId="6801CC6E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Координация и согласование всех семинаров, семинаров-практикумов и межсекторальных видов деятельности Межсекторальной целевой группой по координации (ЦГ</w:t>
            </w: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noBreakHyphen/>
              <w:t>МСК) Секретариата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959A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DFFC7"/>
            <w:hideMark/>
          </w:tcPr>
          <w:p w14:paraId="6821154D" w14:textId="3F3EE7EF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Заместитель Генерального секретаря, заместители Директоров трех Бюро и руководитель Департамента по стратегическому планированию и связям с членами, директора региональных отделений, руководители департаментов Генерального секретариата, Координационный комитет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B1B7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DFFC7"/>
            <w:hideMark/>
          </w:tcPr>
          <w:p w14:paraId="6E988A2D" w14:textId="7FF3A452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Роль ЦГ-МСК заключается в укреплении координации и сотрудничества между тремя Бюро и Генеральным секретариатом (служебный приказ № 16/13)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9CF2A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DFFC7"/>
            <w:hideMark/>
          </w:tcPr>
          <w:p w14:paraId="468D70F9" w14:textId="25004215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На данном этапе данные отсутствуют. Более подробный анализ будет выполнен в будущем</w:t>
            </w:r>
          </w:p>
        </w:tc>
      </w:tr>
      <w:tr w:rsidR="000624F5" w:rsidRPr="00727731" w14:paraId="0DCDCC80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CECE0"/>
            <w:noWrap/>
            <w:hideMark/>
          </w:tcPr>
          <w:p w14:paraId="4FD46113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3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219CE94D" w14:textId="4D851C4F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Повышение эффективности работы системы регионального присутствия, в том числе региональных и зональных отделений в процессе реализации стратегических целей и тематических приоритетов МСЭ, в том числе при привлечении местных экспертов, местной сети контактов и ресурсов. Максимально возможная координация деятельности с региональными организациями при рациональном использовании имеющихся финансовых и людских ресурсов, в том числе, экономии путевых затрат и затрат, связанных с планированием и организацией мероприятий, проводимых за пределами Женевы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8D2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20267C75" w14:textId="7C720DB0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Директора региональных отделений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168DF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22A12115" w14:textId="5F93D3E2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EF607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13B12464" w14:textId="6D6E5418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На данном этапе данные отсутствуют. Более подробный анализ будет выполнен в будущем</w:t>
            </w:r>
          </w:p>
        </w:tc>
      </w:tr>
      <w:tr w:rsidR="00030BCB" w:rsidRPr="00727731" w14:paraId="3EB7493B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DFFC7"/>
            <w:noWrap/>
            <w:hideMark/>
          </w:tcPr>
          <w:p w14:paraId="60BAA2AE" w14:textId="53FAB5D6" w:rsidR="000624F5" w:rsidRPr="00727731" w:rsidRDefault="00FF42C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89CD7" wp14:editId="0F02164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85354</wp:posOffset>
                      </wp:positionV>
                      <wp:extent cx="190500" cy="1692000"/>
                      <wp:effectExtent l="0" t="0" r="19050" b="22860"/>
                      <wp:wrapNone/>
                      <wp:docPr id="4" name="Left Brac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92000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00D1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7" o:spid="_x0000_s1026" type="#_x0000_t87" style="position:absolute;margin-left:9.7pt;margin-top:6.7pt;width:15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" adj="203" strokecolor="#4579b8 [3044]" strokeweight="1.5pt"/>
                  </w:pict>
                </mc:Fallback>
              </mc:AlternateContent>
            </w: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auto" w:fill="CDFFC7"/>
            <w:hideMark/>
          </w:tcPr>
          <w:p w14:paraId="72FFD3DC" w14:textId="7912400C" w:rsidR="000624F5" w:rsidRPr="00727731" w:rsidRDefault="00C04691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Экономия за счет естественного снижения численности персонала, перестановки персонала, а 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важными, для достижения оптимальных уровней производительности, эффективности и действенности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9947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63582A75" w14:textId="7917EB56" w:rsidR="000624F5" w:rsidRPr="00727731" w:rsidRDefault="00C04691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Генеральный секретарь, другие избираемые должностные лица, руководители департаментов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B966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C7"/>
            <w:hideMark/>
          </w:tcPr>
          <w:p w14:paraId="6812514C" w14:textId="7641A6F8" w:rsidR="000624F5" w:rsidRPr="00727731" w:rsidRDefault="00C04691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 2023 году осуществление этих мер позволило поддержать 5</w:t>
            </w: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noBreakHyphen/>
              <w:t>процентный коэффициент вакантных должностей, повышение окладов и последствия программы добровольного ухода со службы после сокращения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5C93F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DFFC7"/>
            <w:hideMark/>
          </w:tcPr>
          <w:p w14:paraId="3BC63A4C" w14:textId="38FEB5DC" w:rsidR="000624F5" w:rsidRPr="00727731" w:rsidRDefault="00C04691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Экономия оценивается примерно в 10,2 </w:t>
            </w:r>
            <w:proofErr w:type="gramStart"/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млн.</w:t>
            </w:r>
            <w:proofErr w:type="gramEnd"/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шв. фр.</w:t>
            </w:r>
          </w:p>
        </w:tc>
      </w:tr>
      <w:tr w:rsidR="000624F5" w:rsidRPr="00727731" w14:paraId="1FBA1C5F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18812B30" w14:textId="21FF2352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5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2E62803E" w14:textId="350B1837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Придание первостепенного значения перестановке персонала для осуществления новых или дополнительных видов деятельности. К найму новых сотрудников следует прибегать в последнюю очередь, принимая во внимание гендерный баланс, географическое распределение и новые требования к навыкам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A005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9CF5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B453C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BEDA8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91E38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94288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0624F5" w:rsidRPr="00727731" w14:paraId="013065F9" w14:textId="77777777" w:rsidTr="00CC14BA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FCECE0"/>
            <w:noWrap/>
            <w:hideMark/>
          </w:tcPr>
          <w:p w14:paraId="41DF2E7F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6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FCECE0"/>
            <w:hideMark/>
          </w:tcPr>
          <w:p w14:paraId="2A078AA4" w14:textId="7EA711FD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К услугам консультантов следует прибегать только тогда, когда соответствующие навыки или опыт отсутствуют у имеющегося персонала, и после письменного подтверждения этого требования высшим руководством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7A82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098ED1A1" w14:textId="3EAD252C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BF77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4F1A17FD" w14:textId="3194BEDD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723FF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0DCCB45F" w14:textId="5042BE5D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</w:tr>
      <w:tr w:rsidR="000624F5" w:rsidRPr="00727731" w14:paraId="59115BD9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38C4C38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7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6F8E8D47" w14:textId="51EB75CE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Модернизация политики создания потенциала в интересах подготовки персонала, включая персонал региональных отделений,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C3A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79356018" w14:textId="0006862D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Генеральный секретарь, другие избираемые должностные лица, руководители департаментов</w:t>
            </w:r>
          </w:p>
        </w:tc>
        <w:tc>
          <w:tcPr>
            <w:tcW w:w="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B464E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169049F0" w14:textId="0C18063E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Общий объем ассигнований на профессиональную подготовку к 20 ноября 2023 года составил 549 тыс. шв. фр.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71495D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6D185212" w14:textId="57133E97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Экономия отражена в пп. 4 и 5</w:t>
            </w:r>
          </w:p>
        </w:tc>
      </w:tr>
      <w:tr w:rsidR="000624F5" w:rsidRPr="00727731" w14:paraId="487768BE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CECE0"/>
            <w:noWrap/>
            <w:hideMark/>
          </w:tcPr>
          <w:p w14:paraId="09FD6F79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8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5AAA2E0D" w14:textId="7CAEC625" w:rsidR="000624F5" w:rsidRPr="00727731" w:rsidRDefault="00C0469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Сокращение затрат Генерального секретариата и трех Секторов Союза, связанных с документацией, в том числе путем проведения безбумажных конференций и собраний всех уровней и форм, рекомендаций сотрудникам избегать распечатки электронных сообщений и документов, сокращения архивирования дополнительной бумажной документации, реализации инициатив, направленных на превращение МСЭ в полностью безбумажную организацию, и содействия внедрению инновационных решений на основе информационно-коммуникационных технологий/(ИКТ) как экономически целесообразных и наиболее устойчивых заменителей бумаги, без заметного снижения качества информационного обеспечения участников мероприятий и персонала МСЭ при выполнении им повседневных рабочих задач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24C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49BA44D3" w14:textId="5A7DF890" w:rsidR="000624F5" w:rsidRPr="00727731" w:rsidRDefault="00B32AA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EF3CF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3A0312FF" w14:textId="13C7BCDB" w:rsidR="000624F5" w:rsidRPr="00727731" w:rsidRDefault="00B32AA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Повышение производительности при переводе и при обработке текстов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FC81C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4C0A76AB" w14:textId="49CFE062" w:rsidR="000624F5" w:rsidRPr="00727731" w:rsidRDefault="00B32AA1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По состоянию на 20 марта 2024 года экономия составит приблизительно 2,25 </w:t>
            </w:r>
            <w:proofErr w:type="gramStart"/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млн.</w:t>
            </w:r>
            <w:proofErr w:type="gramEnd"/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 шв. фр.</w:t>
            </w:r>
          </w:p>
        </w:tc>
      </w:tr>
      <w:tr w:rsidR="000624F5" w:rsidRPr="00727731" w14:paraId="53034249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27FA2D12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439FE288" w14:textId="48B17A9A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Сведение к абсолютно необходимому минимуму печатания и распределения информационно-пропагандистских/</w:t>
            </w: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br/>
              <w:t>не приносящих дохода публикаций МСЭ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50D3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24A38B31" w14:textId="25B5EBED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F96CA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23E8A1DF" w14:textId="7A3BA68E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Эта мера реализована и уже отражена в оценке бюджета на 2023 год</w:t>
            </w: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69D5D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631FB8D9" w14:textId="5737B76C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Дополнительной экономии нет</w:t>
            </w:r>
          </w:p>
        </w:tc>
      </w:tr>
      <w:tr w:rsidR="000624F5" w:rsidRPr="00727731" w14:paraId="7EEB449F" w14:textId="77777777" w:rsidTr="00CC14BA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FCECE0"/>
            <w:noWrap/>
            <w:hideMark/>
          </w:tcPr>
          <w:p w14:paraId="3F12C21C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FCECE0"/>
            <w:hideMark/>
          </w:tcPr>
          <w:p w14:paraId="4DAD92F9" w14:textId="14771B3F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Принятие возможных мер для экономии затрат при обеспечении устного перевода и письменного перевода документов МСЭ, включая ограничение размера документов, и при подготовке публикаций для мероприятий всех уровней и форм без ущерба для достижения целей Резолюции 154 (Пересм. Дубай, 2018 г.), а также путем оптимизации использования ресурсов в лингвистических службах, в том числе путем применения альтернативных процедур письменного перевода при сохранении качества перевода и точности терминологии в области электросвязи/ИКТ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3C64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7FD58B4F" w14:textId="25FAC8C3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Членский состав, Сектора (включая Генеральный секретариат), 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E64BD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607B770E" w14:textId="29D28ECC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Эта мера последовательно реализуется. Что касается устного перевода, то в отношении собраний исследовательских комиссий применяется принцип "устный перевод по требованию". В служебном приказе № 22/10 установлены принципы эффективной подготовки документов для конференций и ассамблей МСЭ и Совета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5077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5D82D326" w14:textId="2902A2AE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Экономия за счет устного перевода составила приблизительно 766 тыс. шв. фр.</w:t>
            </w:r>
          </w:p>
        </w:tc>
      </w:tr>
      <w:tr w:rsidR="000624F5" w:rsidRPr="00727731" w14:paraId="670E132F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22B49694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05016756" w14:textId="72E52224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Повышение эффективности деятельности по программам Всемирной встречи на высшем уровне по вопросам информационного общества (ВВУИО) и деятельности, направленной на достижение Целей в области устойчивого развития, в соответствии с Финансовым планом и двухгодичным бюджетом и, в соответствующих случаях, на основе принципа возмещения затрат и добровольных взносов. Участие региональных и зональных отделений в сотрудничестве с другими учреждениями Организации Объединенных Наций в осуществляемой на региональном уровне деятельности по линии ВВУИО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113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122FC6C0" w14:textId="6E980D9A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Генеральный секретарь, директора региональных отделений, членский состав, спонсоры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5DB6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665FDE2A" w14:textId="55BA7869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Большая часть расходов финансируется за счет внебюджетных средств. В регулярном бюджете предусмотрено всего 50 тыс. шв. фр.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E34D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164EC5FC" w14:textId="184671BD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Экономии регулярного бюджета нет</w:t>
            </w:r>
          </w:p>
        </w:tc>
      </w:tr>
      <w:tr w:rsidR="000624F5" w:rsidRPr="00727731" w14:paraId="666BD271" w14:textId="77777777" w:rsidTr="00CC14BA">
        <w:tc>
          <w:tcPr>
            <w:tcW w:w="635" w:type="dxa"/>
            <w:tcBorders>
              <w:top w:val="nil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CECE0"/>
            <w:noWrap/>
            <w:hideMark/>
          </w:tcPr>
          <w:p w14:paraId="2202EC96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12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653AE94B" w14:textId="4134E09D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Оптимизация количества и продолжительности собраний и использование возможностей электросвязи/ИКТ для их проведения. Сокращение количества групп до необходимого минимума путем их реструктуризации и/или прекращения деятельности в случае отсутствия результатов работы и/или дублирования деятельности без рисков, </w:t>
            </w:r>
            <w:proofErr w:type="gramStart"/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 частности,</w:t>
            </w:r>
            <w:proofErr w:type="gramEnd"/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невыполнения стратегических и оперативных целей и задач Союза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C1EF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57609F93" w14:textId="16D3D8CA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Членский состав, Сектора (включая Генеральный секретариат), 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6BB9F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38E887D9" w14:textId="1A1E0F8C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Ведется последовательная реализация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05571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46CAA013" w14:textId="18A2FD6A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Экономия 55 тыс. шв. фр. за счет РГС</w:t>
            </w:r>
          </w:p>
        </w:tc>
      </w:tr>
      <w:tr w:rsidR="000624F5" w:rsidRPr="00727731" w14:paraId="2DBAD4DD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111FD98D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13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0DE9B0BF" w14:textId="7AF7C7E5" w:rsidR="000624F5" w:rsidRPr="00727731" w:rsidRDefault="001C6207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Регулярная оценка уровня 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3D8B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5DFBD323" w14:textId="3D626C7A" w:rsidR="000624F5" w:rsidRPr="00727731" w:rsidRDefault="001C6207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Членский состав, руководство МСЭ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FD729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464DF385" w14:textId="3634A642" w:rsidR="000624F5" w:rsidRPr="00727731" w:rsidRDefault="001C6207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 настоящее время оценка проводится ежегодно и доводится до сведения Совета в Документе 35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414ED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6123993E" w14:textId="1F4C3AB3" w:rsidR="000624F5" w:rsidRPr="00727731" w:rsidRDefault="001C6207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Оценка будет выполнена позже. Пока данных нет</w:t>
            </w:r>
          </w:p>
        </w:tc>
      </w:tr>
      <w:tr w:rsidR="000624F5" w:rsidRPr="00727731" w14:paraId="0774E04E" w14:textId="77777777" w:rsidTr="00CC14BA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FCECE0"/>
            <w:noWrap/>
            <w:hideMark/>
          </w:tcPr>
          <w:p w14:paraId="7384E6FE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FCECE0"/>
            <w:hideMark/>
          </w:tcPr>
          <w:p w14:paraId="4C9E8DC4" w14:textId="5BE06A2C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 отношении новых видов деятельности или тех видов деятельности, которые оказывают дополнительное воздействие на финансовые ресурсы, должна быть введена и производиться оценка "добавленной стоимости" в целях повышения эффективности и во избежание частичного совпадения и дублирования деятельности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7CD4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290ECF0C" w14:textId="00831C00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9C6E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35C0EAC1" w14:textId="5C5630C2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Пока не реализована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ACF98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64FAE01F" w14:textId="3AAE48B9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</w:tr>
      <w:tr w:rsidR="000624F5" w:rsidRPr="00727731" w14:paraId="28017C0E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29CDB80D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15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541A888A" w14:textId="694ABA45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Тщательный учет масштабов региональных инициатив, их местонахождения и 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Всемирной конференции по развитию электросвязи и Плана действий Буэнос-Айреса и финансируемой непосредственно как виды деятельности из бюджета Сектора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A5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06CF5ED5" w14:textId="33CA5B30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Членский состав, Директор БРЭ, директора региональных отделений,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5C694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2D4FF442" w14:textId="6C911576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 финансируется из регулярного бюджета. В настоящее время финансируется ФРИКТ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4F4E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76A1608A" w14:textId="22B5334C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</w:tr>
      <w:tr w:rsidR="000624F5" w:rsidRPr="00727731" w14:paraId="1273E678" w14:textId="77777777" w:rsidTr="00CC14BA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FCECE0"/>
            <w:noWrap/>
            <w:hideMark/>
          </w:tcPr>
          <w:p w14:paraId="5C00EA8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16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FCECE0"/>
            <w:hideMark/>
          </w:tcPr>
          <w:p w14:paraId="2A32BEF3" w14:textId="699D83B8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Уменьшение затрат, связанных со служебными командировками, путем разработки и применения критериев сокращения путевых затрат. В критериях следует учитывать и ставить целью максимально возможное сокращение командировок, путем приоритетного выделения персонала из региональных и зональных отделений, сокращения сроков пребывания в командировках, а также путем совместного представительства на собраниях, рационализации численности персонала, направляемого в командировки от различных департаментов/отделов Генерального секретариата и трех Бюро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2BB1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219D2714" w14:textId="48C2EA84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0F4D2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4AECEBDD" w14:textId="263A2CA6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 служебном приказе № 18/08 установлен порядок организации официальных поездок. При этом учитывается заблаговременная подготовка и ограничение на приобретение авиабилетов бизнес-класса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1536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5F887EC3" w14:textId="160542DA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Общая экономия оценивается в 671 тыс. шв. фр.</w:t>
            </w:r>
          </w:p>
        </w:tc>
      </w:tr>
      <w:tr w:rsidR="00030BCB" w:rsidRPr="00727731" w14:paraId="4F4B691D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035D4517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17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2C303F60" w14:textId="48706E25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Обращение к Государствам-Членам с призывом сократить до необходимого минимума число вопросов и время на их рассмотрение на всех конференциях, ассамблеях и других собраниях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0C4F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4D7102A6" w14:textId="04E63EC4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Членский состав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F6CE1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4A80ADA8" w14:textId="77FE4586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EF88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30FC04A8" w14:textId="3B06D876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</w:tr>
      <w:tr w:rsidR="000624F5" w:rsidRPr="00727731" w14:paraId="1A466EE5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CECE0"/>
            <w:noWrap/>
            <w:hideMark/>
          </w:tcPr>
          <w:p w14:paraId="1B0C4D56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18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41FFA0E0" w14:textId="624625B6" w:rsidR="000624F5" w:rsidRPr="00727731" w:rsidRDefault="001C6207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Продолжение выполнения Союзом комплексного плана укрепления стабильности и прогнозируемости финансовой базы Союза путем мобилизации ресурсов, а также, среди прочего, повышения эффективности управления внутренними корпоративными проектами, требующими значительных долгосрочных инвестиций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99E7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4BDBF54E" w14:textId="03441161" w:rsidR="000624F5" w:rsidRPr="00727731" w:rsidRDefault="001C6207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Членский состав,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88A0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55AC536A" w14:textId="04A712CA" w:rsidR="000624F5" w:rsidRPr="00727731" w:rsidRDefault="001C6207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Для доходов от возмещения затрат был выполнен анализ чувствительности, а для сведения к минимуму рисков и определения мер по их снижению в случае необходимости составляются ранние и регулярные прогнозы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FBEC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26B57496" w14:textId="09B1A3AA" w:rsidR="000624F5" w:rsidRPr="00727731" w:rsidRDefault="001C6207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</w:tr>
      <w:tr w:rsidR="000624F5" w:rsidRPr="00727731" w14:paraId="12D2C1A6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1B18F6D9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19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27C2AA64" w14:textId="48F8E9A8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Принятие Государствами-Членами, Членами Секторов и другими членами МСЭ всех возможных мер по урегулированию/ликвидации задолженностей перед Союзом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3B6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583CBE99" w14:textId="5AAA41B0" w:rsidR="000624F5" w:rsidRPr="00727731" w:rsidRDefault="00375A9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Руководство МСЭ, Департамент управления финансовыми ресурсами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8D99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2A6F24F5" w14:textId="09977F95" w:rsidR="000624F5" w:rsidRPr="00727731" w:rsidRDefault="00375A9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Регулярное взаимодействие с членами и Государствами-Членами, с тем чтобы предпринять усилия по погашению задолженностей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994F6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10045F90" w14:textId="72BC175E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Текущие процентные ставки, составляющие около 1,3 процента по депозитам в швейцарских франках и более 5 процентов по депозитам в долларах США, обеспечивают значительный процентный доход, который является частью доходов регулярного бюджета</w:t>
            </w:r>
          </w:p>
        </w:tc>
      </w:tr>
      <w:tr w:rsidR="000624F5" w:rsidRPr="00727731" w14:paraId="504F347D" w14:textId="77777777" w:rsidTr="00CC14BA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FCECE0"/>
            <w:noWrap/>
            <w:hideMark/>
          </w:tcPr>
          <w:p w14:paraId="3A5BC8D5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FCECE0"/>
            <w:hideMark/>
          </w:tcPr>
          <w:p w14:paraId="6E3470D0" w14:textId="4D06D70C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Оптимизация расходов, связанных с содержанием, текущим и капитальным ремонтом/реконструкцией зданий и сооружений МСЭ, обеспечением безопасности в соответствии со стандартами, применимыми в системе Организации Объединенных Наций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C8CE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539C80BE" w14:textId="3B9EC947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Отдел административно-хозяйственного управления и проекта строительства здания,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3E73E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4ECB16C8" w14:textId="6FE68EA2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5C7A7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0A393913" w14:textId="02387A8D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</w:tr>
      <w:tr w:rsidR="000624F5" w:rsidRPr="00727731" w14:paraId="4CE07745" w14:textId="77777777" w:rsidTr="001455D6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099D8E28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7C6359D6" w14:textId="28789CF0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Расширение использования виртуальных собраний и дистанционного участия в очных собраниях, с тем чтобы сокращать и/или исключать командировки для участия в собраниях, заседания которых проводятся в интерактивном онлайновом формате и, желательно, сопровождаются субтитрами, в необходимых случаях устным переводом, а также обеспечение дистанционного представления документов и вкладов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679F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14E6026D" w14:textId="272743D3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Департамент информационных служб, 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7C3E6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7A232026" w14:textId="142B4401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Для виртуальных собраний требуются значительные инвестиции в программное обеспечение, вспомогательный персонал и оборудование для Союза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4A97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6A5B5533" w14:textId="02599571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Достигнутая экономия выгодна в основном членам (участникам) и в основном связана с экономией расходов на поездки</w:t>
            </w:r>
          </w:p>
        </w:tc>
      </w:tr>
      <w:tr w:rsidR="001455D6" w:rsidRPr="00727731" w14:paraId="2CBA813B" w14:textId="77777777" w:rsidTr="001455D6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CECE0"/>
            <w:noWrap/>
            <w:hideMark/>
          </w:tcPr>
          <w:p w14:paraId="5A4C619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22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3F47C6CD" w14:textId="36484EED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Использование инновационных межсекторальных средств и методов работы, направленных на повышение эффективности деятельности Союза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auto" w:fill="auto"/>
            <w:noWrap/>
            <w:vAlign w:val="bottom"/>
            <w:hideMark/>
          </w:tcPr>
          <w:p w14:paraId="3FA2791E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570D5B26" w14:textId="7EE0E68F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single" w:sz="4" w:space="0" w:color="833C0C"/>
              <w:bottom w:val="nil"/>
              <w:right w:val="single" w:sz="4" w:space="0" w:color="833C0C"/>
            </w:tcBorders>
            <w:shd w:val="clear" w:color="auto" w:fill="auto"/>
            <w:noWrap/>
            <w:hideMark/>
          </w:tcPr>
          <w:p w14:paraId="366EA62F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4DEA29B2" w14:textId="27101A53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 настоящее время реализуется и будет реализовано множество инициатив, среди которых программа МСЭ "Проводники перемен"</w:t>
            </w:r>
          </w:p>
        </w:tc>
        <w:tc>
          <w:tcPr>
            <w:tcW w:w="141" w:type="dxa"/>
            <w:tcBorders>
              <w:top w:val="nil"/>
              <w:left w:val="single" w:sz="4" w:space="0" w:color="833C0C"/>
              <w:bottom w:val="nil"/>
              <w:right w:val="single" w:sz="4" w:space="0" w:color="833C0C"/>
            </w:tcBorders>
            <w:shd w:val="clear" w:color="auto" w:fill="auto"/>
            <w:noWrap/>
            <w:hideMark/>
          </w:tcPr>
          <w:p w14:paraId="2B4E7C97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7D0E680C" w14:textId="54C00D93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Конкретных результатов на данном этапе нет. Более подробный анализ будет выполнен в 2024 году</w:t>
            </w:r>
          </w:p>
        </w:tc>
      </w:tr>
      <w:tr w:rsidR="000624F5" w:rsidRPr="00727731" w14:paraId="20773222" w14:textId="77777777" w:rsidTr="001455D6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09FC8B6E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23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387DAA04" w14:textId="7C5A525E" w:rsidR="000624F5" w:rsidRPr="00727731" w:rsidRDefault="00A344B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Прекращение, в максимально возможной степени, практики связи по факсу и по обычной почте между Союзом и Государствами-Членами и замена ее современными методами электронной связи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37FD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65A0CB43" w14:textId="76ABE590" w:rsidR="000624F5" w:rsidRPr="00727731" w:rsidRDefault="00A344B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2A7D3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4F0D255D" w14:textId="0E852E1C" w:rsidR="000624F5" w:rsidRPr="00727731" w:rsidRDefault="00A344B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Использование факса в МСЭ незначительно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4736" w14:textId="77777777" w:rsidR="000624F5" w:rsidRPr="00727731" w:rsidRDefault="000624F5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503BC812" w14:textId="03CBA19A" w:rsidR="000624F5" w:rsidRPr="00727731" w:rsidRDefault="001C6207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</w:tr>
      <w:tr w:rsidR="000624F5" w:rsidRPr="00727731" w14:paraId="44366125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CECE0"/>
            <w:noWrap/>
            <w:hideMark/>
          </w:tcPr>
          <w:p w14:paraId="17CB02C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24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CECE0"/>
            <w:hideMark/>
          </w:tcPr>
          <w:p w14:paraId="6236E150" w14:textId="14089F02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Продолжение деятельности по упрощению, согласованию или исключению, в зависимости от случая, внутренних административных процессов с последующей оцифровкой и автоматизацией этих процессов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369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257FDBD2" w14:textId="21C3CE31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0D7B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47FF50F4" w14:textId="2E4824D8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В настоящее время реализуется и будет реализовано множество инициатив, среди которых программа МСЭ "Проводники перемен"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8E9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CE0"/>
            <w:hideMark/>
          </w:tcPr>
          <w:p w14:paraId="0A56EFB3" w14:textId="62DC064A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Конкретных результатов на данном этапе нет. Более подробный анализ будет выполнен в 2024 году</w:t>
            </w:r>
          </w:p>
        </w:tc>
      </w:tr>
      <w:tr w:rsidR="000624F5" w:rsidRPr="00727731" w14:paraId="38BFD950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7539AE57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25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40E24102" w14:textId="1ACAEECC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Рассмотрение возможности дальнейшего совместного использования некоторых общих услуг с другими организациями системы Организации Объединенных Наций и его применение в тех случаях, когда это выгодно Союзу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B7E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5B6EF785" w14:textId="56662BC5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Отдел закупок,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A9FC7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577075CD" w14:textId="537D76DA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Реализуется в настоящее время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41184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6A00B8D6" w14:textId="16CB4CCA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Данных пока нет. Выполняется анализ</w:t>
            </w:r>
          </w:p>
        </w:tc>
      </w:tr>
      <w:tr w:rsidR="000624F5" w:rsidRPr="00727731" w14:paraId="26786699" w14:textId="77777777" w:rsidTr="00CC14BA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FCECE0"/>
            <w:noWrap/>
            <w:hideMark/>
          </w:tcPr>
          <w:p w14:paraId="3300974C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26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FCECE0"/>
            <w:hideMark/>
          </w:tcPr>
          <w:p w14:paraId="38B91228" w14:textId="71D5B46A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Обращение к Государствам-Членам с просьбой, по возможности, при поддержке Секретариата включать в качестве приложения к их предложениям к конференциям МСЭ необходимую информацию, позволяющую Генеральному секретарю/Директорам Бюро определить предполагаемые финансовые последствия таких предложений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5050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53E7E75A" w14:textId="34B5BF3E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33CD1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4B60DE97" w14:textId="07F2A93C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Финансовые последствия решений всемирных конференций и ассамблей оцениваются и включаются в отчеты комитетов по бюджетному контролю последних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1754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CE0"/>
            <w:hideMark/>
          </w:tcPr>
          <w:p w14:paraId="0EB3E582" w14:textId="336DD70D" w:rsidR="000624F5" w:rsidRPr="00727731" w:rsidRDefault="001C6207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Нет данных</w:t>
            </w:r>
          </w:p>
        </w:tc>
      </w:tr>
      <w:tr w:rsidR="000624F5" w:rsidRPr="00727731" w14:paraId="0DEC6E5E" w14:textId="77777777" w:rsidTr="00CC14BA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CDFFC7"/>
            <w:noWrap/>
            <w:hideMark/>
          </w:tcPr>
          <w:p w14:paraId="7404C229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27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CDFFC7"/>
            <w:hideMark/>
          </w:tcPr>
          <w:p w14:paraId="7599A324" w14:textId="0D6E946D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Любые дополнительные меры, принятые Советом и руководством МСЭ, включая меры по повышению эффективности внутреннего аудита, институционализации функции оценки, оценки и минимизации риска мошенничества и других рисков, своевременному выполнению рекомендаций Внешнего аудитора, Независимого консультативного комитета по управлению и Объединенной инспекционной группы, осуществлению Стратегии в области информационных технологий и управления информацией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8CD9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096C228C" w14:textId="0690269D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Членский состав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13CD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10E26921" w14:textId="01E86C7B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Создание Подразделения по надзору было утверждено Советом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DFAB" w14:textId="77777777" w:rsidR="000624F5" w:rsidRPr="00727731" w:rsidRDefault="000624F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FC7"/>
            <w:hideMark/>
          </w:tcPr>
          <w:p w14:paraId="527C844D" w14:textId="44FBFC35" w:rsidR="000624F5" w:rsidRPr="00727731" w:rsidRDefault="00A344B5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Данных пока нет. Более подробный анализ будет выполнен в 2024 году</w:t>
            </w:r>
          </w:p>
        </w:tc>
      </w:tr>
    </w:tbl>
    <w:p w14:paraId="15307EB0" w14:textId="0078ED59" w:rsidR="000624F5" w:rsidRPr="00727731" w:rsidRDefault="000624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27731">
        <w:rPr>
          <w:lang w:val="ru-RU"/>
        </w:rPr>
        <w:br w:type="page"/>
      </w:r>
    </w:p>
    <w:p w14:paraId="407B3BDC" w14:textId="77777777" w:rsidR="002F36B3" w:rsidRPr="00727731" w:rsidRDefault="002F36B3" w:rsidP="002F36B3">
      <w:pPr>
        <w:overflowPunct/>
        <w:autoSpaceDE/>
        <w:autoSpaceDN/>
        <w:snapToGrid w:val="0"/>
        <w:spacing w:before="0" w:after="120"/>
        <w:jc w:val="both"/>
        <w:textAlignment w:val="auto"/>
        <w:rPr>
          <w:b/>
          <w:bCs/>
          <w:u w:val="single"/>
          <w:lang w:val="ru-RU"/>
        </w:rPr>
      </w:pPr>
      <w:r w:rsidRPr="00727731">
        <w:rPr>
          <w:b/>
          <w:bCs/>
          <w:u w:val="single"/>
          <w:lang w:val="ru-RU"/>
        </w:rPr>
        <w:lastRenderedPageBreak/>
        <w:t>2024 год – Приложение 2 к Решению 5 (Пересм. Бухарест, 2022 г.)</w:t>
      </w:r>
    </w:p>
    <w:p w14:paraId="5CE66E2B" w14:textId="4B63CBBD" w:rsidR="002F36B3" w:rsidRPr="00727731" w:rsidRDefault="002F36B3" w:rsidP="00030BCB">
      <w:pPr>
        <w:pStyle w:val="TableNo"/>
        <w:spacing w:before="240"/>
        <w:rPr>
          <w:lang w:val="ru-RU"/>
        </w:rPr>
      </w:pPr>
      <w:r w:rsidRPr="00727731">
        <w:rPr>
          <w:lang w:val="ru-RU"/>
        </w:rPr>
        <w:t>ТАБЛИЦА 5</w:t>
      </w:r>
    </w:p>
    <w:tbl>
      <w:tblPr>
        <w:tblW w:w="14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4890"/>
        <w:gridCol w:w="134"/>
        <w:gridCol w:w="2983"/>
        <w:gridCol w:w="134"/>
        <w:gridCol w:w="2963"/>
        <w:gridCol w:w="134"/>
        <w:gridCol w:w="2694"/>
      </w:tblGrid>
      <w:tr w:rsidR="00320D74" w:rsidRPr="00727731" w14:paraId="6FD8C45B" w14:textId="77777777" w:rsidTr="00EB2FDD">
        <w:trPr>
          <w:tblHeader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222B35"/>
            <w:noWrap/>
            <w:vAlign w:val="center"/>
            <w:hideMark/>
          </w:tcPr>
          <w:p w14:paraId="2D44C3E4" w14:textId="05FF5A6A" w:rsidR="00CC14BA" w:rsidRPr="00727731" w:rsidRDefault="00CC14BA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Меры по повышению эффективности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DDEA" w14:textId="77777777" w:rsidR="00CC14BA" w:rsidRPr="00727731" w:rsidRDefault="00CC14BA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3F4F"/>
            <w:noWrap/>
            <w:vAlign w:val="center"/>
            <w:hideMark/>
          </w:tcPr>
          <w:p w14:paraId="421D3CEA" w14:textId="151AFAC7" w:rsidR="00CC14BA" w:rsidRPr="00727731" w:rsidRDefault="00CC14BA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Ответственные структуры/</w:t>
            </w:r>
            <w:r w:rsidRPr="00727731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br/>
              <w:t>заинтересованные стороны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ADDA" w14:textId="77777777" w:rsidR="00CC14BA" w:rsidRPr="00727731" w:rsidRDefault="00CC14BA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9388406" w14:textId="45F908BB" w:rsidR="00CC14BA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Предлагаемые действия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AF85" w14:textId="77777777" w:rsidR="00CC14BA" w:rsidRPr="00727731" w:rsidRDefault="00CC14BA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BB37D40" w14:textId="500E1C9F" w:rsidR="00CC14BA" w:rsidRPr="00727731" w:rsidRDefault="00CC14BA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Экономия</w:t>
            </w:r>
          </w:p>
        </w:tc>
      </w:tr>
      <w:tr w:rsidR="0086437E" w:rsidRPr="00727731" w14:paraId="0D8A5DDB" w14:textId="77777777" w:rsidTr="00EB2FDD">
        <w:tc>
          <w:tcPr>
            <w:tcW w:w="635" w:type="dxa"/>
            <w:tcBorders>
              <w:top w:val="nil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69F1DB88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7E7FCFA3" w14:textId="4D4C824F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Регулярная оценка уровня достижения стратегических целей и реализации тематических приоритетов в целях повышения эффективности путем перераспределения бюджета, когда это необходимо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D9B40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49A39E" w14:textId="04A17C6D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Членский состав,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6B52C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312B7B" w14:textId="342CE193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 настоящее время оценка проводится на ежегодной основе, но в 2024 году оценка будет проводиться ежеквартально, и ее результаты будут представляться членам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E700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73B242" w14:textId="06B409D9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На данном этапе отсутствует</w:t>
            </w:r>
          </w:p>
        </w:tc>
      </w:tr>
      <w:tr w:rsidR="0086437E" w:rsidRPr="00727731" w14:paraId="32E3C25E" w14:textId="77777777" w:rsidTr="00EB2FDD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D6DCE4"/>
            <w:noWrap/>
            <w:hideMark/>
          </w:tcPr>
          <w:p w14:paraId="103F3FCD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D6DCE4"/>
            <w:hideMark/>
          </w:tcPr>
          <w:p w14:paraId="657F5983" w14:textId="6D10122C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Принятие Государствами-Членами, Членами Секторов и другими членами МСЭ всех возможных мер по урегулированию/</w:t>
            </w:r>
            <w:r w:rsidRPr="00727731">
              <w:rPr>
                <w:rFonts w:cs="Calibri"/>
                <w:sz w:val="18"/>
                <w:szCs w:val="18"/>
                <w:lang w:val="ru-RU"/>
              </w:rPr>
              <w:br/>
              <w:t>ликвидации задолженностей перед Союзом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9DFB6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67284340" w14:textId="12701438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Руководство МСЭ, Департамент управления финансовыми ресурсами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8CAF1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7C7E271C" w14:textId="0B89CE4B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Регулярное взаимодействие с членами и Государствами-Членами, с тем чтобы предпринять усилия по погашению задолженностей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F59C8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781403D4" w14:textId="094E8248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Текущие процентные ставки, составляющие около 1,3 процента по депозитам в швейцарских франках и более 5</w:t>
            </w:r>
            <w:r w:rsidR="0086437E"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 </w:t>
            </w: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процентов по депозитам в долларах США, обеспечивают значительный процентный доход, который является частью доходов регулярного бюджета</w:t>
            </w:r>
          </w:p>
        </w:tc>
      </w:tr>
      <w:tr w:rsidR="00320D74" w:rsidRPr="00727731" w14:paraId="480D6E9A" w14:textId="77777777" w:rsidTr="00EB2FDD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66A46EC8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3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4D3AD84E" w14:textId="3D202505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Выявление и устранение всех форм и случаев дублирования функций и деятельности всех структурных органов и мероприятий МСЭ. Координация, согласование деятельности и более тесное сотрудничество между Секторами, включая оптимизацию методов управления, материально-технического обеспечения, координации и поддержки со стороны Секретариата, а также централизацию финансовых и административных задач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90685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CC0285" w14:textId="1B538AD0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Генеральный секретарь, другие избираемые должностные лица, руководство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78DE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EE9A3E" w14:textId="651F35C9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Все функции финансового контролера, за исключением одной, были сконцентрированы в Бюджетно-финансовом аналитическом отделе Департамента управления финансовыми ресурсами. Установлено тесное сотрудничество между Бюро для поддержки крупных мероприятий (АР, ВКР)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FFBD7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8D2D3E" w14:textId="106FAED3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 FRMD были сэкономлены четыре должности за счет централизации функций финансового контролера. Внутренние откомандирования для поддержки ВАСЭ позволят сэкономить средства за счет сокращения набора временного вспомогательного персонала</w:t>
            </w:r>
          </w:p>
        </w:tc>
      </w:tr>
      <w:tr w:rsidR="00320D74" w:rsidRPr="00727731" w14:paraId="7200182A" w14:textId="77777777" w:rsidTr="00EB2FDD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D6DCE4"/>
            <w:noWrap/>
            <w:hideMark/>
          </w:tcPr>
          <w:p w14:paraId="4658E3EF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4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5B2D276E" w14:textId="38A7C225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Координация и согласование всех семинаров, семинаров-практикумов и межсекторальных видов деятельности Межсекторальной целевой группой по координации (ЦГ</w:t>
            </w:r>
            <w:r w:rsidR="00EB2FDD"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noBreakHyphen/>
            </w: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МСК) Секретариата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E9E78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92256EE" w14:textId="36B01D01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Заместитель Генерального секретаря, заместители Директоров трех Бюро и руководитель Департамента по стратегическому планированию и связям с членами, директора региональных отделений, руководители департаментов Генерального секретариата, Координационный комитет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DD3B0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15EB7A4" w14:textId="116AAB68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Роль ЦГ-МСК заключается в укреплении координации и сотрудничества между тремя Бюро и Генеральным секретариатом (служебный приказ № 16/13)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EAF8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FBDDE25" w14:textId="5E71B47A" w:rsidR="00560922" w:rsidRPr="00727731" w:rsidRDefault="00320D74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10" w:lineRule="exact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На данном этапе данных нет. Информация будет периодически представляться членам на протяжении 2024 года</w:t>
            </w:r>
          </w:p>
        </w:tc>
      </w:tr>
      <w:tr w:rsidR="00320D74" w:rsidRPr="00727731" w14:paraId="3ADF981A" w14:textId="77777777" w:rsidTr="00EB2FD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  <w:noWrap/>
            <w:hideMark/>
          </w:tcPr>
          <w:p w14:paraId="548503BA" w14:textId="12156DD8" w:rsidR="00560922" w:rsidRPr="00727731" w:rsidRDefault="00CC14BA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auto" w:fill="FFF2CC"/>
            <w:hideMark/>
          </w:tcPr>
          <w:p w14:paraId="0DECDB0D" w14:textId="0A552252" w:rsidR="00560922" w:rsidRPr="00727731" w:rsidRDefault="00EB2FDD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Повышение эффективности работы системы регионального присутствия, в том числе региональных и зональных отделений в процессе реализации стратегических целей и тематических приоритетов МСЭ, в том числе при привлечении местных экспертов, местной сети контактов и ресурсов. Максимально возможная координация деятельности с региональными и иными заинтересованными организациями при рациональном использовании имеющихся финансовых и людских ресурсов, в том числе, экономии путевых затрат и затрат, связанных с планированием и организацией мероприятий, проводимых за пределами Женевы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C4B74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0770CA" w14:textId="5F3351E2" w:rsidR="00560922" w:rsidRPr="00727731" w:rsidRDefault="00EB2FDD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Директора региональных отделений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D272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5C29D2" w14:textId="531BA095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D1EEE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58486F" w14:textId="55D34645" w:rsidR="00560922" w:rsidRPr="00727731" w:rsidRDefault="00EB2FDD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На данном этапе отсутствует. Информация будет периодически представляться членам на протяжении 2024 года</w:t>
            </w:r>
          </w:p>
        </w:tc>
      </w:tr>
      <w:tr w:rsidR="0086437E" w:rsidRPr="00727731" w14:paraId="30DFB484" w14:textId="77777777" w:rsidTr="00EB2FDD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D6DCE4"/>
            <w:noWrap/>
            <w:hideMark/>
          </w:tcPr>
          <w:p w14:paraId="2EDAE5C1" w14:textId="286788CA" w:rsidR="00560922" w:rsidRPr="00727731" w:rsidRDefault="00CC14BA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B0B1DD" wp14:editId="3156D0A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98054</wp:posOffset>
                      </wp:positionV>
                      <wp:extent cx="190500" cy="2052000"/>
                      <wp:effectExtent l="0" t="0" r="19050" b="24765"/>
                      <wp:wrapNone/>
                      <wp:docPr id="1923932605" name="Lef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52000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4AD27" id="Left Brace 7" o:spid="_x0000_s1026" type="#_x0000_t87" style="position:absolute;margin-left:10.3pt;margin-top:7.7pt;width:15pt;height:1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" adj="167" strokecolor="#4579b8 [3044]" strokeweight="1.5pt"/>
                  </w:pict>
                </mc:Fallback>
              </mc:AlternateContent>
            </w:r>
            <w:r w:rsidR="00560922"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6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D6DCE4"/>
            <w:hideMark/>
          </w:tcPr>
          <w:p w14:paraId="1EACDB75" w14:textId="15C6248E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Рациональное использование персонала и экономии за счет естественного снижения численности персонала, перестановки персонала, а 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 и не увеличивают риски снижения качества работы, для достижения оптимальных уровней производительности, эффективности и действенности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CFC6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0B0EC895" w14:textId="4D4CF9AD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Генеральный секретарь, другие избираемые должностные лица, руководители департаментов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1B3F3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7AD1577A" w14:textId="3C097D23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 2023 году осуществление этих мер позволило поддержать 5</w:t>
            </w:r>
            <w:r w:rsidR="004A1726" w:rsidRPr="00727731">
              <w:rPr>
                <w:rFonts w:cs="Calibri"/>
                <w:sz w:val="18"/>
                <w:szCs w:val="18"/>
                <w:lang w:val="ru-RU"/>
              </w:rPr>
              <w:noBreakHyphen/>
            </w:r>
            <w:r w:rsidRPr="00727731">
              <w:rPr>
                <w:rFonts w:cs="Calibri"/>
                <w:sz w:val="18"/>
                <w:szCs w:val="18"/>
                <w:lang w:val="ru-RU"/>
              </w:rPr>
              <w:t>процентный коэффициент вакантных должностей, повышение окладов и последствия программы добровольного ухода со службы после сокращения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5DA3B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7D61ED76" w14:textId="52BF598B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Прогнозируемая экономия в настоящее время оценивается примерно в 3 </w:t>
            </w:r>
            <w:proofErr w:type="gramStart"/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>млн.</w:t>
            </w:r>
            <w:proofErr w:type="gramEnd"/>
            <w:r w:rsidRPr="00727731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шв. фр. Она будет отчасти нивелирована за счет различных повышений выплат (сотрудникам категорий общего обслуживания и специалистов, а также пенсионных выплат)</w:t>
            </w:r>
          </w:p>
        </w:tc>
      </w:tr>
      <w:tr w:rsidR="0086437E" w:rsidRPr="00727731" w14:paraId="341608FB" w14:textId="77777777" w:rsidTr="00EB2FDD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111CEE1E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7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1DE7B74A" w14:textId="13A6EB58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Придание первостепенного значения перестановке персонала для осуществления новых или дополнительных видов деятельности. К найму новых сотрудников следует прибегать в последнюю очередь, принимая во внимание гендерный баланс, географическое распределение и новые требования к навыкам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42CF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62F07E" w14:textId="7CF1ED87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См. выше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DDD3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3ACF81" w14:textId="1CA2437A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См. выше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75843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41D85B" w14:textId="3413C78F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См. выше</w:t>
            </w:r>
          </w:p>
        </w:tc>
      </w:tr>
      <w:tr w:rsidR="0086437E" w:rsidRPr="00727731" w14:paraId="31186E31" w14:textId="77777777" w:rsidTr="00EB2FDD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D6DCE4"/>
            <w:noWrap/>
            <w:hideMark/>
          </w:tcPr>
          <w:p w14:paraId="4C634AA4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8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18335E08" w14:textId="051AA5A2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B1454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F378F91" w14:textId="0802ACE8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B783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E903F02" w14:textId="1DB80FE1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 xml:space="preserve">Сокращение ассигнований на консультантов на 25 процентов было реализовано в Финансовом плане на </w:t>
            </w:r>
            <w:proofErr w:type="gramStart"/>
            <w:r w:rsidRPr="00727731">
              <w:rPr>
                <w:rFonts w:cs="Calibri"/>
                <w:sz w:val="18"/>
                <w:szCs w:val="18"/>
                <w:lang w:val="ru-RU"/>
              </w:rPr>
              <w:t>2024−2027</w:t>
            </w:r>
            <w:proofErr w:type="gramEnd"/>
            <w:r w:rsidRPr="00727731">
              <w:rPr>
                <w:rFonts w:cs="Calibri"/>
                <w:sz w:val="18"/>
                <w:szCs w:val="18"/>
                <w:lang w:val="ru-RU"/>
              </w:rPr>
              <w:t xml:space="preserve"> гг. и, соответственно, в бюджете на 2024−2025 гг.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05D2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0C217D1" w14:textId="6E0117CE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 настоящее время прогнозируемая экономия оценивается примерно в 2 </w:t>
            </w:r>
            <w:proofErr w:type="gramStart"/>
            <w:r w:rsidRPr="00727731">
              <w:rPr>
                <w:rFonts w:cs="Calibri"/>
                <w:sz w:val="18"/>
                <w:szCs w:val="18"/>
                <w:lang w:val="ru-RU"/>
              </w:rPr>
              <w:t>млн.</w:t>
            </w:r>
            <w:proofErr w:type="gramEnd"/>
            <w:r w:rsidRPr="00727731">
              <w:rPr>
                <w:rFonts w:cs="Calibri"/>
                <w:sz w:val="18"/>
                <w:szCs w:val="18"/>
                <w:lang w:val="ru-RU"/>
              </w:rPr>
              <w:t> шв. фр. Эта оценка будет обновлена и представлена на сессии Совета 2024 года</w:t>
            </w:r>
          </w:p>
        </w:tc>
      </w:tr>
      <w:tr w:rsidR="0086437E" w:rsidRPr="00727731" w14:paraId="4312CD6A" w14:textId="77777777" w:rsidTr="00EB2FDD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1148094C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13997022" w14:textId="7BBAC115" w:rsidR="00560922" w:rsidRPr="00727731" w:rsidRDefault="00EB2FDD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Модернизация политики создания потенциала в интересах подготовки персонала, включая персонал региональных и зональных отделений,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F7713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37BDE6" w14:textId="03FAA802" w:rsidR="00560922" w:rsidRPr="00727731" w:rsidRDefault="00EB2FDD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Генеральный секретарь, другие избираемые должностные лица, руководители департаментов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D0646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666D5D" w14:textId="6DE41A19" w:rsidR="00560922" w:rsidRPr="00727731" w:rsidRDefault="00EB2FDD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Общий объем ассигнований на профессиональную подготовку в 2024 году составляет 860 тыс. шв. фр.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E82FD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742DED" w14:textId="7D51DD18" w:rsidR="00560922" w:rsidRPr="00727731" w:rsidRDefault="00EB2FDD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Экономия отражена в пп. 4 и 5</w:t>
            </w:r>
          </w:p>
        </w:tc>
      </w:tr>
      <w:tr w:rsidR="0086437E" w:rsidRPr="00727731" w14:paraId="10C3C691" w14:textId="77777777" w:rsidTr="00EB2FDD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D6DCE4"/>
            <w:noWrap/>
            <w:hideMark/>
          </w:tcPr>
          <w:p w14:paraId="435F4010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10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D6DCE4"/>
            <w:hideMark/>
          </w:tcPr>
          <w:p w14:paraId="38297683" w14:textId="3E5FCCD5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Сокращение затрат Генерального секретариата и трех Секторов Союза, связанных с документацией, в том числе путем проведения безбумажных конференций и собраний всех уровней и форм, рекомендаций сотрудникам избегать распечатки электронных сообщений и документов, сокращения архивирования дополнительной бумажной документации, реализации инициатив, направленных на превращение МСЭ в полностью безбумажную организацию, и содействия внедрению инновационных решений на основе информационно-коммуникационных технологий/(ИКТ) как экономически целесообразных и наиболее устойчивых заменителей бумаги, без заметного снижения качества информационного обеспечения участников мероприятий и персонала МСЭ при выполнении им повседневных рабочих задач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4B1F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04B29B57" w14:textId="05000022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DF920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744B1404" w14:textId="59B40A17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 xml:space="preserve">Повышение производительности при переводе и при обработке текстов. Сокращение постоянных расходов на обработку текстов. Финансовый план на </w:t>
            </w:r>
            <w:proofErr w:type="gramStart"/>
            <w:r w:rsidRPr="00727731">
              <w:rPr>
                <w:rFonts w:cs="Calibri"/>
                <w:sz w:val="18"/>
                <w:szCs w:val="18"/>
                <w:lang w:val="ru-RU"/>
              </w:rPr>
              <w:t>2024−2027</w:t>
            </w:r>
            <w:proofErr w:type="gramEnd"/>
            <w:r w:rsidRPr="00727731">
              <w:rPr>
                <w:rFonts w:cs="Calibri"/>
                <w:sz w:val="18"/>
                <w:szCs w:val="18"/>
                <w:lang w:val="ru-RU"/>
              </w:rPr>
              <w:t> годы предусматривает сокращение объема документации на 20 процентов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E405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1D779CB6" w14:textId="0361F8E0" w:rsidR="00560922" w:rsidRPr="00727731" w:rsidRDefault="00EB2FDD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 xml:space="preserve">Экономия оценивается примерно в 1,7 </w:t>
            </w:r>
            <w:proofErr w:type="gramStart"/>
            <w:r w:rsidRPr="00727731">
              <w:rPr>
                <w:rFonts w:cs="Calibri"/>
                <w:sz w:val="18"/>
                <w:szCs w:val="18"/>
                <w:lang w:val="ru-RU"/>
              </w:rPr>
              <w:t>млн.</w:t>
            </w:r>
            <w:proofErr w:type="gramEnd"/>
            <w:r w:rsidRPr="00727731">
              <w:rPr>
                <w:rFonts w:cs="Calibri"/>
                <w:sz w:val="18"/>
                <w:szCs w:val="18"/>
                <w:lang w:val="ru-RU"/>
              </w:rPr>
              <w:t xml:space="preserve"> шв. фр. Оценка будет уточнена в ходе исполнения бюджета на 2024 год</w:t>
            </w:r>
          </w:p>
        </w:tc>
      </w:tr>
      <w:tr w:rsidR="0086437E" w:rsidRPr="00727731" w14:paraId="5147E113" w14:textId="77777777" w:rsidTr="00B679A6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41A550FD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11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7E20C91B" w14:textId="09355727" w:rsidR="00560922" w:rsidRPr="00727731" w:rsidRDefault="004A172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Сведение к абсолютно необходимому минимуму печатания и распределения информационно-пропагандистских/</w:t>
            </w:r>
            <w:r w:rsidRPr="00727731">
              <w:rPr>
                <w:rFonts w:cs="Calibri"/>
                <w:sz w:val="18"/>
                <w:szCs w:val="18"/>
                <w:lang w:val="ru-RU"/>
              </w:rPr>
              <w:br/>
              <w:t>не приносящих дохода публикаций МСЭ, в том числе путем максимального использования возможностей веб-сайта МСЭ в соответствии с положениями Резолюции 154 (Пересм. Бухарест, 2022 г.) Полномочной конференции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10C9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20D227" w14:textId="0B6F54A4" w:rsidR="00560922" w:rsidRPr="00727731" w:rsidRDefault="004A172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E18F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1BF80C" w14:textId="051BD556" w:rsidR="00560922" w:rsidRPr="00727731" w:rsidRDefault="004A172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Эта мера реализована и уже отражена в оценке бюджета на 2024 год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7E10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512010" w14:textId="5B622DAA" w:rsidR="00560922" w:rsidRPr="00727731" w:rsidRDefault="004A172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Эта мера реализована и уже отражена в оценке бюджета на 2024 год</w:t>
            </w:r>
          </w:p>
        </w:tc>
      </w:tr>
      <w:tr w:rsidR="0086437E" w:rsidRPr="00727731" w14:paraId="193EE530" w14:textId="77777777" w:rsidTr="00B679A6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D6DCE4"/>
            <w:noWrap/>
            <w:hideMark/>
          </w:tcPr>
          <w:p w14:paraId="4A008CFD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122DAC44" w14:textId="1109D22B" w:rsidR="00560922" w:rsidRPr="00727731" w:rsidRDefault="00B679A6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Принятие возможных мер для экономии затрат при обеспечении устного перевода и письменного перевода документов МСЭ, включая ограничение размера документов, и при подготовке публикаций для мероприятий всех уровней и форм без ущерба для достижения целей Резолюции 154 (Пересм. Бухарест, 2022 г.), а также путем оптимизации использования ресурсов в лингвистических службах, в том числе путем применения альтернативных процедур письменного перевода при сохранении качества перевода и точности терминологии в области электросвязи/ИКТ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67049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C7E9A94" w14:textId="359EA535" w:rsidR="00560922" w:rsidRPr="00727731" w:rsidRDefault="00B679A6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Членский состав, Сектора (включая Генеральный секретариат), 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CF590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66547F6" w14:textId="0F8987B7" w:rsidR="00560922" w:rsidRPr="00727731" w:rsidRDefault="00B679A6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Эта мера последовательно реализуется. Что касается устного перевода, то в отношении собраний исследовательских комиссий применяется принцип "устный перевод по требованию". В служебном приказе № 22/10 установлены принципы эффективной подготовки документов для конференций и ассамблей МСЭ и Совета. Согласование стандартных расходов на устный перевод отражено в бюджете на 2024 год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6A07B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5C748C2" w14:textId="5A98B0B8" w:rsidR="00560922" w:rsidRPr="00727731" w:rsidRDefault="00B679A6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Экономия составит около 0,3 </w:t>
            </w:r>
            <w:proofErr w:type="gramStart"/>
            <w:r w:rsidRPr="00727731">
              <w:rPr>
                <w:rFonts w:cs="Calibri"/>
                <w:sz w:val="18"/>
                <w:szCs w:val="18"/>
                <w:lang w:val="ru-RU"/>
              </w:rPr>
              <w:t>млн.</w:t>
            </w:r>
            <w:proofErr w:type="gramEnd"/>
            <w:r w:rsidRPr="00727731">
              <w:rPr>
                <w:rFonts w:cs="Calibri"/>
                <w:sz w:val="18"/>
                <w:szCs w:val="18"/>
                <w:lang w:val="ru-RU"/>
              </w:rPr>
              <w:t xml:space="preserve"> шв. фр. Эта оценка будет уточнена в ходе исполнения бюджета на 2024 год</w:t>
            </w:r>
          </w:p>
        </w:tc>
      </w:tr>
      <w:tr w:rsidR="0086437E" w:rsidRPr="00727731" w14:paraId="0028F133" w14:textId="77777777" w:rsidTr="00030BCB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1CEB2A72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13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04C82040" w14:textId="46BF273D" w:rsidR="00560922" w:rsidRPr="00727731" w:rsidRDefault="00B679A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Повышение эффективности деятельности по программам Всемирной встречи на высшем уровне по вопросам информационного общества (ВВУИО) и деятельности, направленной на достижение Целей в области устойчивого развития, в соответствии с Финансовым планом и двухгодичным бюджетом и, в соответствующих случаях, на основе принципа возмещения затрат и добровольных взносов в соответствии с Финансовым регламентом и Финансовыми правилами МСЭ. Участие региональных и зональных отделений в сотрудничестве с другими учреждениями Организации Объединенных Наций в осуществляемой на региональном уровне деятельности по линии ВВУИО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D9A5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6F50BB" w14:textId="08E9AB4A" w:rsidR="00560922" w:rsidRPr="00727731" w:rsidRDefault="00B679A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Генеральный секретарь, директора региональных отделений, членский состав, спонсоры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DBD8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96B301" w14:textId="1634CB6D" w:rsidR="00560922" w:rsidRPr="00727731" w:rsidRDefault="00B679A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Большая часть расходов финансируется за счет внебюджетных средств. В регулярном бюджете на 2024 год на мероприятия ВВУИО предусмотрено всего 50 тыс. шв. фр.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DF66C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C34489" w14:textId="128EA9A6" w:rsidR="00560922" w:rsidRPr="00727731" w:rsidRDefault="00B679A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Нет данных</w:t>
            </w:r>
          </w:p>
        </w:tc>
      </w:tr>
      <w:tr w:rsidR="0086437E" w:rsidRPr="00727731" w14:paraId="42063032" w14:textId="77777777" w:rsidTr="00030BCB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D6DCE4"/>
            <w:noWrap/>
            <w:hideMark/>
          </w:tcPr>
          <w:p w14:paraId="3DB9D232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14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1CC1A980" w14:textId="2A209305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 xml:space="preserve">Оптимизация количества и продолжительности собраний и использование возможностей электросвязи/ИКТ для их проведения. Сокращение количества групп до необходимого минимума путем их реструктуризации и/или прекращения деятельности в случае отсутствия результатов работы и/или дублирования деятельности без рисков, </w:t>
            </w:r>
            <w:proofErr w:type="gramStart"/>
            <w:r w:rsidRPr="00727731">
              <w:rPr>
                <w:rFonts w:cs="Calibri"/>
                <w:sz w:val="18"/>
                <w:szCs w:val="18"/>
                <w:lang w:val="ru-RU"/>
              </w:rPr>
              <w:t>в частности,</w:t>
            </w:r>
            <w:proofErr w:type="gramEnd"/>
            <w:r w:rsidRPr="00727731">
              <w:rPr>
                <w:rFonts w:cs="Calibri"/>
                <w:sz w:val="18"/>
                <w:szCs w:val="18"/>
                <w:lang w:val="ru-RU"/>
              </w:rPr>
              <w:t xml:space="preserve"> невыполнения стратегических и оперативных целей и задач Союза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auto" w:fill="auto"/>
            <w:noWrap/>
            <w:hideMark/>
          </w:tcPr>
          <w:p w14:paraId="4C90537D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57DFC0E5" w14:textId="549EFC83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Членский состав, Сектора (включая Генеральный секретариат), 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top w:val="nil"/>
              <w:left w:val="single" w:sz="4" w:space="0" w:color="833C0C"/>
              <w:bottom w:val="nil"/>
              <w:right w:val="single" w:sz="4" w:space="0" w:color="833C0C"/>
            </w:tcBorders>
            <w:shd w:val="clear" w:color="auto" w:fill="auto"/>
            <w:noWrap/>
            <w:hideMark/>
          </w:tcPr>
          <w:p w14:paraId="3DF7ECE7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6B484058" w14:textId="4D341C5F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Ведется последовательная реализация</w:t>
            </w:r>
          </w:p>
        </w:tc>
        <w:tc>
          <w:tcPr>
            <w:tcW w:w="134" w:type="dxa"/>
            <w:tcBorders>
              <w:top w:val="nil"/>
              <w:left w:val="single" w:sz="4" w:space="0" w:color="833C0C"/>
              <w:bottom w:val="nil"/>
              <w:right w:val="single" w:sz="4" w:space="0" w:color="833C0C"/>
            </w:tcBorders>
            <w:shd w:val="clear" w:color="auto" w:fill="auto"/>
            <w:noWrap/>
            <w:hideMark/>
          </w:tcPr>
          <w:p w14:paraId="4DD9556C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25AEE7FA" w14:textId="6823ACCE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На данном этапе значимые данные отсутствуют. Более подробный анализ будет выполнен в будущем</w:t>
            </w:r>
          </w:p>
        </w:tc>
      </w:tr>
      <w:tr w:rsidR="0086437E" w:rsidRPr="00727731" w14:paraId="72DDD5BB" w14:textId="77777777" w:rsidTr="00030BCB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0273C7DB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15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2EC6E04C" w14:textId="2DAF0F23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 отношении новых видов деятельности или тех видов деятельности, которые оказывают дополнительное воздействие на финансовые ресурсы, должна быть введена и производиться оценка "добавленной стоимости" в целях повышения эффективности и во избежание частичного совпадения и дублирования деятельности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7EE2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EB6238" w14:textId="3C0C2B88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3C813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BF508E" w14:textId="0CF61FCB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Будет последовательно реализовываться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0E49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6AD0EC" w14:textId="04EFF5A1" w:rsidR="00560922" w:rsidRPr="00727731" w:rsidRDefault="00B679A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Нет данных</w:t>
            </w:r>
          </w:p>
        </w:tc>
      </w:tr>
      <w:tr w:rsidR="0086437E" w:rsidRPr="00727731" w14:paraId="4EA650BE" w14:textId="77777777" w:rsidTr="00C41C88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D6DCE4"/>
            <w:noWrap/>
            <w:hideMark/>
          </w:tcPr>
          <w:p w14:paraId="435D6BA2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16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71F6F3B3" w14:textId="2D22303C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Тщательный учет масштабов региональных инициатив, их местонахождения и 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Всемирной конференции по развитию электросвязи и Плана действий Сектора развития электросвязи МСЭ и финансируемой непосредственно как виды деятельности из бюджета Сектора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00FAB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995CD7D" w14:textId="2DC1E549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Членский состав, Директор БРЭ, директора региональных отделений,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9215C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A817E18" w14:textId="0DF168CD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Не финансируется из регулярного бюджета. В настоящее время финансируется ФРИКТ. В 2024 году будет осуществляться мобилизация ресурсов за счет добровольных взносов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36FD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C7D5157" w14:textId="158191CB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Последствий для регулярного бюджета нет</w:t>
            </w:r>
          </w:p>
        </w:tc>
      </w:tr>
      <w:tr w:rsidR="0086437E" w:rsidRPr="00727731" w14:paraId="09886D45" w14:textId="77777777" w:rsidTr="00030BCB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5D747691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17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57F587F1" w14:textId="2B65767C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Уменьшение затрат, связанных со служебными командировками, путем разработки и применения критериев сокращения путевых затрат. В критериях следует учитывать и ставить целью максимально возможное сокращение командировок, путем приоритетного выделения персонала из региональных и зональных отделений, сокращения сроков пребывания в командировках, а также путем совместного представительства на собраниях, рационализации численности персонала, направляемого в командировки от различных департаментов/отделов Генерального секретариата и трех Бюро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1EA4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3D373E" w14:textId="49F599F7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D322C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FA8F77" w14:textId="301AB993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 xml:space="preserve">В финансовом плане на </w:t>
            </w:r>
            <w:proofErr w:type="gramStart"/>
            <w:r w:rsidRPr="00727731">
              <w:rPr>
                <w:rFonts w:cs="Calibri"/>
                <w:sz w:val="18"/>
                <w:szCs w:val="18"/>
                <w:lang w:val="ru-RU"/>
              </w:rPr>
              <w:t>2024−2027</w:t>
            </w:r>
            <w:proofErr w:type="gramEnd"/>
            <w:r w:rsidRPr="00727731">
              <w:rPr>
                <w:rFonts w:cs="Calibri"/>
                <w:sz w:val="18"/>
                <w:szCs w:val="18"/>
                <w:lang w:val="ru-RU"/>
              </w:rPr>
              <w:t> годы, а также в бюджете на 2024−2025 годы было предусмотрено сокращение бюджета на 25 процентов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E74A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AE6C95" w14:textId="00506493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Предполагаемая экономия в размере около 700 тыс. шв. фр. в 2024 году</w:t>
            </w:r>
          </w:p>
        </w:tc>
      </w:tr>
      <w:tr w:rsidR="0086437E" w:rsidRPr="00727731" w14:paraId="3E1477B0" w14:textId="77777777" w:rsidTr="00030BCB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D6DCE4"/>
            <w:noWrap/>
            <w:hideMark/>
          </w:tcPr>
          <w:p w14:paraId="51D49B13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18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644E0BC8" w14:textId="5646B83C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Обращение к Государствам-Членам с призывом сократить до разумного количество поднимаемых вопросов, с тем чтобы сэкономить время на их рассмотрение на всех конференциях, ассамблеях и других собраниях, и более широко использовать межрегиональные обсуждения в рамках подготовительного процесса с целью большей согласованности позиций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auto" w:fill="auto"/>
            <w:noWrap/>
            <w:hideMark/>
          </w:tcPr>
          <w:p w14:paraId="2126D65E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69FA9E66" w14:textId="376998DA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Членский состав</w:t>
            </w:r>
          </w:p>
        </w:tc>
        <w:tc>
          <w:tcPr>
            <w:tcW w:w="134" w:type="dxa"/>
            <w:tcBorders>
              <w:top w:val="nil"/>
              <w:left w:val="single" w:sz="4" w:space="0" w:color="833C0C"/>
              <w:bottom w:val="nil"/>
              <w:right w:val="single" w:sz="4" w:space="0" w:color="833C0C"/>
            </w:tcBorders>
            <w:shd w:val="clear" w:color="auto" w:fill="auto"/>
            <w:noWrap/>
            <w:hideMark/>
          </w:tcPr>
          <w:p w14:paraId="4E9BAF7B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45A7E843" w14:textId="43ED62BD" w:rsidR="00560922" w:rsidRPr="00727731" w:rsidRDefault="00B679A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Нет данных</w:t>
            </w:r>
          </w:p>
        </w:tc>
        <w:tc>
          <w:tcPr>
            <w:tcW w:w="134" w:type="dxa"/>
            <w:tcBorders>
              <w:top w:val="nil"/>
              <w:left w:val="single" w:sz="4" w:space="0" w:color="833C0C"/>
              <w:bottom w:val="nil"/>
              <w:right w:val="single" w:sz="4" w:space="0" w:color="833C0C"/>
            </w:tcBorders>
            <w:shd w:val="clear" w:color="auto" w:fill="auto"/>
            <w:noWrap/>
            <w:hideMark/>
          </w:tcPr>
          <w:p w14:paraId="55861F5D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156E2880" w14:textId="710ED5A7" w:rsidR="00560922" w:rsidRPr="00727731" w:rsidRDefault="00B679A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Нет данных</w:t>
            </w:r>
          </w:p>
        </w:tc>
      </w:tr>
      <w:tr w:rsidR="0086437E" w:rsidRPr="00727731" w14:paraId="44B3303A" w14:textId="77777777" w:rsidTr="00030BCB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324075D4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19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6DF50627" w14:textId="586B91AC" w:rsidR="00560922" w:rsidRPr="00727731" w:rsidRDefault="00C41C88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Продолжение выполнения Союзом комплексного плана укрепления стабильности и прогнозируемости финансовой базы Союза путем мобилизации ресурсов, а также, среди прочего, повышения эффективности управления внутренними корпоративными проектами, требующими значительных долгосрочных инвестиций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F296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DC5E66" w14:textId="1C90D585" w:rsidR="00560922" w:rsidRPr="00727731" w:rsidRDefault="00C41C88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Членский состав,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5D47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ED27C4" w14:textId="2E464FD9" w:rsidR="00560922" w:rsidRPr="00727731" w:rsidRDefault="00C41C88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Для доходов от возмещения затрат был выполнен анализ чувствительности, а для сведения к минимуму рисков и определения мер по их снижению в случае необходимости составляются ранние и регулярные прогнозы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3BCE" w14:textId="77777777" w:rsidR="00560922" w:rsidRPr="00727731" w:rsidRDefault="00560922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D2311F" w14:textId="018E33F5" w:rsidR="00560922" w:rsidRPr="00727731" w:rsidRDefault="00C41C88" w:rsidP="00030B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Снижение рисков и повышение предсказуемости позволяют предвидеть и смягчать возможный дефицит бюджета за счет корректировки уровня расходов</w:t>
            </w:r>
          </w:p>
        </w:tc>
      </w:tr>
      <w:tr w:rsidR="0086437E" w:rsidRPr="00727731" w14:paraId="3612CC98" w14:textId="77777777" w:rsidTr="00EB2FDD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D6DCE4"/>
            <w:noWrap/>
            <w:hideMark/>
          </w:tcPr>
          <w:p w14:paraId="294E033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20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D6DCE4"/>
            <w:hideMark/>
          </w:tcPr>
          <w:p w14:paraId="30DE9FF6" w14:textId="4FD845FC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Оптимизация расходов, связанных с содержанием, текущим и капитальным ремонтом/реконструкцией зданий и сооружений МСЭ, обеспечением безопасности в соответствии со стандартами, применимыми в системе Организации Объединенных Наций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7CAD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38DAF0A9" w14:textId="24659697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Отдел административно-хозяйственного управления и проекта строительства здания,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F47E1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76855D53" w14:textId="0DBB9418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Оптимальное использование ресурсов в рамках проекта нового здания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A2A24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1F0FA3FC" w14:textId="2A674398" w:rsidR="00560922" w:rsidRPr="00727731" w:rsidRDefault="00B679A6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Нет данных</w:t>
            </w:r>
          </w:p>
        </w:tc>
      </w:tr>
      <w:tr w:rsidR="0086437E" w:rsidRPr="00727731" w14:paraId="2E4476D0" w14:textId="77777777" w:rsidTr="00EB2FDD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0A3FB917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21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49AC60FA" w14:textId="4A26CCDB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Расширение использования виртуальных собраний и дистанционного участия в очных собраниях, с тем чтобы сокращать и/или исключать командировки для участия в собраниях, заседания которых проводятся в интерактивном онлайновом формате и, желательно, сопровождаются субтитрами, в необходимых случаях устным переводом, а также обеспечение дистанционного представления документов и вкладов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2471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B00A26" w14:textId="458FA9A9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Департамент информационных служб, Департамент конференций и публикаций,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21A76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3E05B8" w14:textId="59480D3B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Для виртуальных собраний требуются значительные инвестиции в программное обеспечение, вспомогательный персонал и оборудование для Союза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E506B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0FD3FD" w14:textId="2EC940B2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Достигнутая экономия выгодна в основном членам (участникам) и в основном связана с экономией расходов на поездки</w:t>
            </w:r>
          </w:p>
        </w:tc>
      </w:tr>
      <w:tr w:rsidR="0086437E" w:rsidRPr="00727731" w14:paraId="19C005D6" w14:textId="77777777" w:rsidTr="00EB2FDD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D6DCE4"/>
            <w:noWrap/>
            <w:hideMark/>
          </w:tcPr>
          <w:p w14:paraId="20CA4FE0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D6DCE4"/>
            <w:hideMark/>
          </w:tcPr>
          <w:p w14:paraId="0C670DBC" w14:textId="33E19B2D" w:rsidR="00560922" w:rsidRPr="00727731" w:rsidRDefault="00C41C88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Использование инновационных межсекторальных средств и методов работы, направленных на повышение эффективности деятельности Союза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6921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0D9FE11D" w14:textId="5E78CD5B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BDE11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15D3056D" w14:textId="46D1555D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 настоящее время реализуется и будет реализовано множество инициатив, среди которых Программа МСЭ "Проводники перемен"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3D281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6B2F89A2" w14:textId="5AEC57B2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Пока нет данных. Оценка будет дана в ходе реализации программы</w:t>
            </w:r>
          </w:p>
        </w:tc>
      </w:tr>
      <w:tr w:rsidR="0086437E" w:rsidRPr="00727731" w14:paraId="4B0CBC5C" w14:textId="77777777" w:rsidTr="00030BCB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76ACB17D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23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5A2204F1" w14:textId="326E6FC9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Прекращение, в максимально возможной степени, практики связи по факсу и по обычной почте между Союзом и Государствами-Членами и замена ее современными методами электронной связи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6731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97B43F" w14:textId="086F7EA2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8883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83E933" w14:textId="65C12AFC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Использование факса в МСЭ незначительно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61AAD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8A2DD3" w14:textId="1AF7E789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Нет данных</w:t>
            </w:r>
          </w:p>
        </w:tc>
      </w:tr>
      <w:tr w:rsidR="0086437E" w:rsidRPr="00727731" w14:paraId="12BCC7B2" w14:textId="77777777" w:rsidTr="00030BCB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D6DCE4"/>
            <w:noWrap/>
            <w:hideMark/>
          </w:tcPr>
          <w:p w14:paraId="42A304E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24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D6DCE4"/>
            <w:hideMark/>
          </w:tcPr>
          <w:p w14:paraId="030069A4" w14:textId="16D35A5B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Продолжение деятельности по упрощению, согласованию или исключению, в зависимости от случая, внутренних административных процессов с последующей оцифровкой и автоматизацией этих процессов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69E2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FA7CA82" w14:textId="2B59442B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D20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756AA5E" w14:textId="26FC7D94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В настоящее время реализуется и будет реализовано множество инициатив, среди которых Программа МСЭ "Проводники перемен"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29EB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52049D2" w14:textId="54693CDF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Пока нет данных. Оценка будет дана в ходе реализации программы</w:t>
            </w:r>
          </w:p>
        </w:tc>
      </w:tr>
      <w:tr w:rsidR="0086437E" w:rsidRPr="00727731" w14:paraId="11B4BCB2" w14:textId="77777777" w:rsidTr="00030BCB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6F45B94C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60E29D4E" w14:textId="752EB35C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Рассмотрение возможности дальнейшего совместного использования некоторых общих услуг с другими организациями системы Организации Объединенных Наций и его применение в тех случаях, когда это выгодно Союзу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AD8C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43C980" w14:textId="4314393D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Отдел закупок, руководство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5EDDF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D34A97" w14:textId="703BBE0F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Реализуется в настоящее время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871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08E137" w14:textId="43D1EFF3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Оценка будет дана в ходе реализации программы и доведена до сведения Совета</w:t>
            </w:r>
          </w:p>
        </w:tc>
      </w:tr>
      <w:tr w:rsidR="0086437E" w:rsidRPr="00727731" w14:paraId="1AE8ADD7" w14:textId="77777777" w:rsidTr="00EB2FDD">
        <w:tc>
          <w:tcPr>
            <w:tcW w:w="635" w:type="dxa"/>
            <w:tcBorders>
              <w:top w:val="nil"/>
              <w:left w:val="single" w:sz="4" w:space="0" w:color="833C0C"/>
              <w:bottom w:val="nil"/>
              <w:right w:val="nil"/>
            </w:tcBorders>
            <w:shd w:val="clear" w:color="000000" w:fill="D6DCE4"/>
            <w:noWrap/>
            <w:hideMark/>
          </w:tcPr>
          <w:p w14:paraId="5DB7B79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26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833C0C"/>
            </w:tcBorders>
            <w:shd w:val="clear" w:color="000000" w:fill="D6DCE4"/>
            <w:hideMark/>
          </w:tcPr>
          <w:p w14:paraId="6C0B7EF6" w14:textId="39381EB8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Обращение к Государствам-Членам с просьбой, по возможности, при поддержке Секретариата включать в качестве приложения к их предложениям к конференциям МСЭ необходимую информацию, позволяющую Генеральному секретарю/Директорам Бюро определить предполагаемые финансовые последствия таких предложений для выполнения Статьи 34 "Финансовая ответственность конференций" Конвенции МСЭ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2926A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3387A77A" w14:textId="06DA9D65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CB48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48F392CD" w14:textId="75B8ED38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Финансовые последствия решений всемирных конференций и ассамблей оцениваются и включаются в отчеты комитетов по бюджетному контролю последних. Впоследствии они доводятся до сведения Совета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38FE0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hideMark/>
          </w:tcPr>
          <w:p w14:paraId="77C35033" w14:textId="31947B26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Определение приоритетов деятельности Союза и возможное выявление источников финансирования, которые могут потребоваться для работы в период после ВКР и ВАСЭ в 2024 году</w:t>
            </w:r>
          </w:p>
        </w:tc>
      </w:tr>
      <w:tr w:rsidR="0086437E" w:rsidRPr="00727731" w14:paraId="1BDF865B" w14:textId="77777777" w:rsidTr="00EB2FDD">
        <w:tc>
          <w:tcPr>
            <w:tcW w:w="635" w:type="dxa"/>
            <w:tcBorders>
              <w:top w:val="single" w:sz="4" w:space="0" w:color="auto"/>
              <w:left w:val="single" w:sz="4" w:space="0" w:color="833C0C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6B61C793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b/>
                <w:bCs/>
                <w:color w:val="833C0C"/>
                <w:sz w:val="18"/>
                <w:szCs w:val="18"/>
                <w:lang w:val="ru-RU"/>
              </w:rPr>
              <w:t>27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33C0C"/>
            </w:tcBorders>
            <w:shd w:val="clear" w:color="000000" w:fill="FFF2CC"/>
            <w:hideMark/>
          </w:tcPr>
          <w:p w14:paraId="213254A1" w14:textId="2F33EE84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Любые дополнительные меры, принятые Советом и руководством МСЭ, включая меры по повышению эффективности внутреннего аудита, институционализации функции оценки, оценки и минимизации риска мошенничества и других рисков, выполнению рекомендаций Внешнего аудитора, Внутреннего аудитора, Независимого консультативного комитета по управлению и Объединенной инспекционной группы Организации Объединенных Наций, направленных на осуществление Стратегического и Финансового планов Союза в установленные сроки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572A4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6BC25C" w14:textId="1DF3C4CC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Членский состав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0C39E2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15739C" w14:textId="02CF8F42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Совет одобрил создание подразделения по надзору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0FFB7" w14:textId="77777777" w:rsidR="00560922" w:rsidRPr="00727731" w:rsidRDefault="00560922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5ED35E" w14:textId="01E61894" w:rsidR="00560922" w:rsidRPr="00727731" w:rsidRDefault="00030BCB" w:rsidP="00030B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727731">
              <w:rPr>
                <w:rFonts w:cs="Calibri"/>
                <w:sz w:val="18"/>
                <w:szCs w:val="18"/>
                <w:lang w:val="ru-RU"/>
              </w:rPr>
              <w:t>Пока нет данных. Оценка будет дана в ходе реализации программы</w:t>
            </w:r>
          </w:p>
        </w:tc>
      </w:tr>
    </w:tbl>
    <w:p w14:paraId="28C9DD73" w14:textId="51490FC4" w:rsidR="00796BD3" w:rsidRPr="00727731" w:rsidRDefault="00492313" w:rsidP="00030BCB">
      <w:pPr>
        <w:spacing w:before="720"/>
        <w:jc w:val="center"/>
        <w:rPr>
          <w:lang w:val="ru-RU"/>
        </w:rPr>
      </w:pPr>
      <w:r w:rsidRPr="00727731">
        <w:rPr>
          <w:lang w:val="ru-RU"/>
        </w:rPr>
        <w:t>______________</w:t>
      </w:r>
    </w:p>
    <w:sectPr w:rsidR="00796BD3" w:rsidRPr="00727731" w:rsidSect="00030BCB">
      <w:footerReference w:type="default" r:id="rId16"/>
      <w:headerReference w:type="first" r:id="rId17"/>
      <w:footerReference w:type="first" r:id="rId18"/>
      <w:pgSz w:w="16834" w:h="11907" w:orient="landscape" w:code="9"/>
      <w:pgMar w:top="1418" w:right="1134" w:bottom="1418" w:left="1134" w:header="720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0D3B" w14:textId="77777777" w:rsidR="00903109" w:rsidRDefault="00903109">
      <w:r>
        <w:separator/>
      </w:r>
    </w:p>
  </w:endnote>
  <w:endnote w:type="continuationSeparator" w:id="0">
    <w:p w14:paraId="242F7A29" w14:textId="77777777" w:rsidR="00903109" w:rsidRDefault="009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92313" w:rsidRPr="00784011" w14:paraId="10E76132" w14:textId="77777777" w:rsidTr="00B11E3E">
      <w:trPr>
        <w:jc w:val="center"/>
      </w:trPr>
      <w:tc>
        <w:tcPr>
          <w:tcW w:w="1803" w:type="dxa"/>
          <w:vAlign w:val="center"/>
        </w:tcPr>
        <w:p w14:paraId="62055C8D" w14:textId="5CA9DBBD" w:rsidR="00492313" w:rsidRPr="00492313" w:rsidRDefault="00492313" w:rsidP="00492313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02BC67D1" w14:textId="785DDA23" w:rsidR="00492313" w:rsidRPr="00E06FD5" w:rsidRDefault="00492313" w:rsidP="0049231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934657"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-1654678217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="00934657" w:rsidRPr="00934657">
                <w:rPr>
                  <w:szCs w:val="18"/>
                </w:rPr>
                <w:fldChar w:fldCharType="begin"/>
              </w:r>
              <w:r w:rsidR="00934657" w:rsidRPr="00934657">
                <w:rPr>
                  <w:szCs w:val="18"/>
                </w:rPr>
                <w:instrText xml:space="preserve"> PAGE   \* MERGEFORMAT </w:instrText>
              </w:r>
              <w:r w:rsidR="00934657" w:rsidRPr="00934657">
                <w:rPr>
                  <w:szCs w:val="18"/>
                </w:rPr>
                <w:fldChar w:fldCharType="separate"/>
              </w:r>
              <w:r w:rsidR="00934657">
                <w:rPr>
                  <w:szCs w:val="18"/>
                </w:rPr>
                <w:t>1</w:t>
              </w:r>
              <w:r w:rsidR="00934657"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31213545" w14:textId="77777777" w:rsidR="00492313" w:rsidRDefault="00492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34657" w:rsidRPr="00784011" w14:paraId="0048C966" w14:textId="77777777" w:rsidTr="00B11E3E">
      <w:trPr>
        <w:jc w:val="center"/>
      </w:trPr>
      <w:tc>
        <w:tcPr>
          <w:tcW w:w="1803" w:type="dxa"/>
          <w:vAlign w:val="center"/>
        </w:tcPr>
        <w:p w14:paraId="60AEA135" w14:textId="061CA50B" w:rsidR="00934657" w:rsidRPr="00492313" w:rsidRDefault="004268C4" w:rsidP="00934657">
          <w:pPr>
            <w:pStyle w:val="Header"/>
            <w:jc w:val="left"/>
            <w:rPr>
              <w:noProof/>
              <w:lang w:val="ru-RU"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66B5FD9" w14:textId="1A4AEACE" w:rsidR="00934657" w:rsidRPr="00E06FD5" w:rsidRDefault="00934657" w:rsidP="00934657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-1912534863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Pr="00934657">
                <w:rPr>
                  <w:szCs w:val="18"/>
                </w:rPr>
                <w:fldChar w:fldCharType="begin"/>
              </w:r>
              <w:r w:rsidRPr="00934657">
                <w:rPr>
                  <w:szCs w:val="18"/>
                </w:rPr>
                <w:instrText xml:space="preserve"> PAGE   \* MERGEFORMAT </w:instrText>
              </w:r>
              <w:r w:rsidRPr="00934657">
                <w:rPr>
                  <w:szCs w:val="18"/>
                </w:rPr>
                <w:fldChar w:fldCharType="separate"/>
              </w:r>
              <w:r>
                <w:rPr>
                  <w:szCs w:val="18"/>
                </w:rPr>
                <w:t>1</w:t>
              </w:r>
              <w:r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13C25093" w14:textId="77777777" w:rsidR="00934657" w:rsidRPr="00934657" w:rsidRDefault="00934657" w:rsidP="00672F8A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1"/>
      <w:gridCol w:w="8261"/>
    </w:tblGrid>
    <w:tr w:rsidR="000624F5" w:rsidRPr="00784011" w14:paraId="51CCD87A" w14:textId="77777777" w:rsidTr="000624F5">
      <w:trPr>
        <w:jc w:val="center"/>
      </w:trPr>
      <w:tc>
        <w:tcPr>
          <w:tcW w:w="6481" w:type="dxa"/>
          <w:vAlign w:val="center"/>
        </w:tcPr>
        <w:p w14:paraId="38F815F2" w14:textId="77777777" w:rsidR="000624F5" w:rsidRPr="00492313" w:rsidRDefault="000624F5" w:rsidP="00492313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206EB2C4" w14:textId="0005932D" w:rsidR="000624F5" w:rsidRPr="00E06FD5" w:rsidRDefault="000624F5" w:rsidP="0049231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471175367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Pr="00934657">
                <w:rPr>
                  <w:szCs w:val="18"/>
                </w:rPr>
                <w:fldChar w:fldCharType="begin"/>
              </w:r>
              <w:r w:rsidRPr="00934657">
                <w:rPr>
                  <w:szCs w:val="18"/>
                </w:rPr>
                <w:instrText xml:space="preserve"> PAGE   \* MERGEFORMAT </w:instrText>
              </w:r>
              <w:r w:rsidRPr="00934657">
                <w:rPr>
                  <w:szCs w:val="18"/>
                </w:rPr>
                <w:fldChar w:fldCharType="separate"/>
              </w:r>
              <w:r>
                <w:rPr>
                  <w:szCs w:val="18"/>
                </w:rPr>
                <w:t>1</w:t>
              </w:r>
              <w:r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3A99A0E7" w14:textId="77777777" w:rsidR="000624F5" w:rsidRDefault="000624F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1"/>
      <w:gridCol w:w="8261"/>
    </w:tblGrid>
    <w:tr w:rsidR="000624F5" w:rsidRPr="00784011" w14:paraId="6ADAE1BA" w14:textId="77777777" w:rsidTr="00BE106F">
      <w:trPr>
        <w:jc w:val="center"/>
      </w:trPr>
      <w:tc>
        <w:tcPr>
          <w:tcW w:w="6481" w:type="dxa"/>
          <w:vAlign w:val="center"/>
        </w:tcPr>
        <w:p w14:paraId="69A107B3" w14:textId="77777777" w:rsidR="000624F5" w:rsidRPr="00492313" w:rsidRDefault="000624F5" w:rsidP="000624F5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1B15370" w14:textId="77777777" w:rsidR="000624F5" w:rsidRPr="00E06FD5" w:rsidRDefault="000624F5" w:rsidP="000624F5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1566608848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Pr="00934657">
                <w:rPr>
                  <w:szCs w:val="18"/>
                </w:rPr>
                <w:fldChar w:fldCharType="begin"/>
              </w:r>
              <w:r w:rsidRPr="00934657">
                <w:rPr>
                  <w:szCs w:val="18"/>
                </w:rPr>
                <w:instrText xml:space="preserve"> PAGE   \* MERGEFORMAT </w:instrText>
              </w:r>
              <w:r w:rsidRPr="00934657">
                <w:rPr>
                  <w:szCs w:val="18"/>
                </w:rPr>
                <w:fldChar w:fldCharType="separate"/>
              </w:r>
              <w:r>
                <w:rPr>
                  <w:szCs w:val="18"/>
                </w:rPr>
                <w:t>1</w:t>
              </w:r>
              <w:r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46A6192E" w14:textId="77777777" w:rsidR="000624F5" w:rsidRPr="00934657" w:rsidRDefault="000624F5" w:rsidP="00672F8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CCA2" w14:textId="77777777" w:rsidR="00903109" w:rsidRDefault="00903109">
      <w:r>
        <w:t>____________________</w:t>
      </w:r>
    </w:p>
  </w:footnote>
  <w:footnote w:type="continuationSeparator" w:id="0">
    <w:p w14:paraId="108E91D0" w14:textId="77777777" w:rsidR="00903109" w:rsidRDefault="009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492313" w:rsidRPr="00784011" w14:paraId="233AD319" w14:textId="77777777" w:rsidTr="00B11E3E">
      <w:trPr>
        <w:trHeight w:val="1104"/>
        <w:jc w:val="center"/>
      </w:trPr>
      <w:tc>
        <w:tcPr>
          <w:tcW w:w="4390" w:type="dxa"/>
          <w:vAlign w:val="center"/>
        </w:tcPr>
        <w:p w14:paraId="3601F459" w14:textId="77777777" w:rsidR="00492313" w:rsidRPr="009621F8" w:rsidRDefault="00492313" w:rsidP="0049231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67851785" wp14:editId="77E4428C">
                <wp:extent cx="2764800" cy="558000"/>
                <wp:effectExtent l="0" t="0" r="0" b="0"/>
                <wp:docPr id="2076323843" name="Picture 1" descr="A black screen with blue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545508" name="Picture 1" descr="A black screen with blue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060001" w14:textId="675EAA4B" w:rsidR="00492313" w:rsidRPr="00784011" w:rsidRDefault="00492313" w:rsidP="0049231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9"/>
  <w:p w14:paraId="22C12A6B" w14:textId="77777777" w:rsidR="00492313" w:rsidRDefault="00492313" w:rsidP="0049231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9F105" wp14:editId="65FFFF8A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FF60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9C97" w14:textId="77E38F8E" w:rsidR="000624F5" w:rsidRDefault="000624F5" w:rsidP="00492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3F66"/>
    <w:multiLevelType w:val="hybridMultilevel"/>
    <w:tmpl w:val="F9D29718"/>
    <w:lvl w:ilvl="0" w:tplc="FF2850A6">
      <w:start w:val="1"/>
      <w:numFmt w:val="decimal"/>
      <w:pStyle w:val="MainTextNumbered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A1638"/>
    <w:multiLevelType w:val="hybridMultilevel"/>
    <w:tmpl w:val="09649332"/>
    <w:lvl w:ilvl="0" w:tplc="B96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0B18"/>
    <w:multiLevelType w:val="hybridMultilevel"/>
    <w:tmpl w:val="871014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62C7A"/>
    <w:multiLevelType w:val="hybridMultilevel"/>
    <w:tmpl w:val="171AA56C"/>
    <w:lvl w:ilvl="0" w:tplc="5D863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385"/>
    <w:multiLevelType w:val="hybridMultilevel"/>
    <w:tmpl w:val="17080CC6"/>
    <w:lvl w:ilvl="0" w:tplc="6936AA08">
      <w:start w:val="1"/>
      <w:numFmt w:val="decimal"/>
      <w:pStyle w:val="Number1"/>
      <w:lvlText w:val="1.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225482"/>
    <w:multiLevelType w:val="hybridMultilevel"/>
    <w:tmpl w:val="7CE0F97E"/>
    <w:lvl w:ilvl="0" w:tplc="D5B2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830A4"/>
    <w:multiLevelType w:val="hybridMultilevel"/>
    <w:tmpl w:val="4860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15222890">
    <w:abstractNumId w:val="2"/>
  </w:num>
  <w:num w:numId="3" w16cid:durableId="965621903">
    <w:abstractNumId w:val="6"/>
  </w:num>
  <w:num w:numId="4" w16cid:durableId="2129275002">
    <w:abstractNumId w:val="1"/>
  </w:num>
  <w:num w:numId="5" w16cid:durableId="1796826036">
    <w:abstractNumId w:val="4"/>
  </w:num>
  <w:num w:numId="6" w16cid:durableId="370111735">
    <w:abstractNumId w:val="7"/>
  </w:num>
  <w:num w:numId="7" w16cid:durableId="114183123">
    <w:abstractNumId w:val="3"/>
  </w:num>
  <w:num w:numId="8" w16cid:durableId="1313407131">
    <w:abstractNumId w:val="5"/>
  </w:num>
  <w:num w:numId="9" w16cid:durableId="421219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2B13"/>
    <w:rsid w:val="00005BE0"/>
    <w:rsid w:val="0002183E"/>
    <w:rsid w:val="00030BCB"/>
    <w:rsid w:val="000569B4"/>
    <w:rsid w:val="000624F5"/>
    <w:rsid w:val="00080E82"/>
    <w:rsid w:val="00084323"/>
    <w:rsid w:val="000B2DE7"/>
    <w:rsid w:val="000B3DBD"/>
    <w:rsid w:val="000E568E"/>
    <w:rsid w:val="001455D6"/>
    <w:rsid w:val="0014734F"/>
    <w:rsid w:val="0015710D"/>
    <w:rsid w:val="00160B42"/>
    <w:rsid w:val="00163A32"/>
    <w:rsid w:val="00165D06"/>
    <w:rsid w:val="00186E4F"/>
    <w:rsid w:val="00192B41"/>
    <w:rsid w:val="001B7B09"/>
    <w:rsid w:val="001C6207"/>
    <w:rsid w:val="001E6719"/>
    <w:rsid w:val="001E7F50"/>
    <w:rsid w:val="00225368"/>
    <w:rsid w:val="00227FF0"/>
    <w:rsid w:val="00291EB6"/>
    <w:rsid w:val="002D2F57"/>
    <w:rsid w:val="002D48C5"/>
    <w:rsid w:val="002F36B3"/>
    <w:rsid w:val="00300852"/>
    <w:rsid w:val="00320D74"/>
    <w:rsid w:val="00322D68"/>
    <w:rsid w:val="0033025A"/>
    <w:rsid w:val="0036686D"/>
    <w:rsid w:val="00375A98"/>
    <w:rsid w:val="003F099E"/>
    <w:rsid w:val="003F235E"/>
    <w:rsid w:val="003F7FA7"/>
    <w:rsid w:val="004023E0"/>
    <w:rsid w:val="00403DD8"/>
    <w:rsid w:val="00410915"/>
    <w:rsid w:val="0041297C"/>
    <w:rsid w:val="004268C4"/>
    <w:rsid w:val="00432DEF"/>
    <w:rsid w:val="00442515"/>
    <w:rsid w:val="0045686C"/>
    <w:rsid w:val="00476DD9"/>
    <w:rsid w:val="004918C4"/>
    <w:rsid w:val="00492313"/>
    <w:rsid w:val="00497703"/>
    <w:rsid w:val="004A0374"/>
    <w:rsid w:val="004A1726"/>
    <w:rsid w:val="004A45B5"/>
    <w:rsid w:val="004D0129"/>
    <w:rsid w:val="00560922"/>
    <w:rsid w:val="005A64D5"/>
    <w:rsid w:val="005B3DEC"/>
    <w:rsid w:val="005C0776"/>
    <w:rsid w:val="00601994"/>
    <w:rsid w:val="00606798"/>
    <w:rsid w:val="00633299"/>
    <w:rsid w:val="00660449"/>
    <w:rsid w:val="00672F8A"/>
    <w:rsid w:val="006953D2"/>
    <w:rsid w:val="006E2D42"/>
    <w:rsid w:val="00703676"/>
    <w:rsid w:val="00707304"/>
    <w:rsid w:val="00727731"/>
    <w:rsid w:val="00732269"/>
    <w:rsid w:val="00762555"/>
    <w:rsid w:val="00785ABD"/>
    <w:rsid w:val="00795853"/>
    <w:rsid w:val="00796BD3"/>
    <w:rsid w:val="007A2DD4"/>
    <w:rsid w:val="007D38B5"/>
    <w:rsid w:val="007E7EA0"/>
    <w:rsid w:val="00807255"/>
    <w:rsid w:val="0081023E"/>
    <w:rsid w:val="00810D30"/>
    <w:rsid w:val="008173AA"/>
    <w:rsid w:val="0082787D"/>
    <w:rsid w:val="00840A14"/>
    <w:rsid w:val="0086437E"/>
    <w:rsid w:val="008A3421"/>
    <w:rsid w:val="008B62B4"/>
    <w:rsid w:val="008D2D7B"/>
    <w:rsid w:val="008E0737"/>
    <w:rsid w:val="008F7C2C"/>
    <w:rsid w:val="00903109"/>
    <w:rsid w:val="00934657"/>
    <w:rsid w:val="00940E96"/>
    <w:rsid w:val="009657C5"/>
    <w:rsid w:val="009A78C9"/>
    <w:rsid w:val="009B0BAE"/>
    <w:rsid w:val="009C1C89"/>
    <w:rsid w:val="009F3448"/>
    <w:rsid w:val="00A01CF9"/>
    <w:rsid w:val="00A344B5"/>
    <w:rsid w:val="00A62CB6"/>
    <w:rsid w:val="00A71773"/>
    <w:rsid w:val="00AE2293"/>
    <w:rsid w:val="00AE2C85"/>
    <w:rsid w:val="00B12A37"/>
    <w:rsid w:val="00B200E1"/>
    <w:rsid w:val="00B32AA1"/>
    <w:rsid w:val="00B41837"/>
    <w:rsid w:val="00B63EF2"/>
    <w:rsid w:val="00B679A6"/>
    <w:rsid w:val="00BA7D89"/>
    <w:rsid w:val="00BC0D39"/>
    <w:rsid w:val="00BC7BC0"/>
    <w:rsid w:val="00BD57B7"/>
    <w:rsid w:val="00BE63E2"/>
    <w:rsid w:val="00C04691"/>
    <w:rsid w:val="00C34F8E"/>
    <w:rsid w:val="00C41C88"/>
    <w:rsid w:val="00C62315"/>
    <w:rsid w:val="00CC14BA"/>
    <w:rsid w:val="00CD2009"/>
    <w:rsid w:val="00CF4694"/>
    <w:rsid w:val="00CF629C"/>
    <w:rsid w:val="00D42B24"/>
    <w:rsid w:val="00D42F17"/>
    <w:rsid w:val="00D92EEA"/>
    <w:rsid w:val="00DA5D4E"/>
    <w:rsid w:val="00E176BA"/>
    <w:rsid w:val="00E261C7"/>
    <w:rsid w:val="00E423EC"/>
    <w:rsid w:val="00E55121"/>
    <w:rsid w:val="00EB2FDD"/>
    <w:rsid w:val="00EB4FCB"/>
    <w:rsid w:val="00EC50A1"/>
    <w:rsid w:val="00EC6BC5"/>
    <w:rsid w:val="00F32556"/>
    <w:rsid w:val="00F35898"/>
    <w:rsid w:val="00F5225B"/>
    <w:rsid w:val="00FE5701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E4166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0" w:qFormat="1"/>
    <w:lsdException w:name="heading 2" w:uiPriority="11" w:qFormat="1"/>
    <w:lsdException w:name="heading 3" w:uiPriority="1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D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0"/>
    <w:qFormat/>
    <w:rsid w:val="007958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11"/>
    <w:qFormat/>
    <w:rsid w:val="00300852"/>
    <w:pPr>
      <w:spacing w:before="320"/>
      <w:outlineLvl w:val="1"/>
    </w:pPr>
    <w:rPr>
      <w:b w:val="0"/>
    </w:rPr>
  </w:style>
  <w:style w:type="paragraph" w:styleId="Heading3">
    <w:name w:val="heading 3"/>
    <w:basedOn w:val="Heading1"/>
    <w:next w:val="Normal"/>
    <w:uiPriority w:val="12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810D3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  <w:u w:val="single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78C9"/>
    <w:pPr>
      <w:spacing w:before="240" w:after="24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zzDocType">
    <w:name w:val="zzDocType"/>
    <w:basedOn w:val="Normal"/>
    <w:rsid w:val="00D42F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exact"/>
      <w:textAlignment w:val="auto"/>
    </w:pPr>
    <w:rPr>
      <w:rFonts w:ascii="Arial" w:hAnsi="Arial"/>
      <w:b/>
      <w:sz w:val="20"/>
      <w:szCs w:val="24"/>
      <w:lang w:eastAsia="en-GB"/>
    </w:rPr>
  </w:style>
  <w:style w:type="paragraph" w:customStyle="1" w:styleId="HeaderzzContents">
    <w:name w:val="Header zz Contents"/>
    <w:rsid w:val="00EC50A1"/>
    <w:pPr>
      <w:widowControl w:val="0"/>
      <w:adjustRightInd w:val="0"/>
      <w:spacing w:after="480" w:line="360" w:lineRule="atLeast"/>
      <w:jc w:val="both"/>
      <w:textAlignment w:val="baseline"/>
    </w:pPr>
    <w:rPr>
      <w:rFonts w:ascii="Arial" w:hAnsi="Arial" w:cs="HelveticaNeue-Light"/>
      <w:color w:val="000000"/>
      <w:spacing w:val="-6"/>
      <w:sz w:val="48"/>
      <w:szCs w:val="56"/>
      <w:lang w:val="en-GB" w:eastAsia="en-US"/>
    </w:rPr>
  </w:style>
  <w:style w:type="paragraph" w:customStyle="1" w:styleId="Bullet">
    <w:name w:val="Bullet"/>
    <w:uiPriority w:val="5"/>
    <w:qFormat/>
    <w:rsid w:val="00EC50A1"/>
    <w:pPr>
      <w:widowControl w:val="0"/>
      <w:numPr>
        <w:numId w:val="4"/>
      </w:numPr>
      <w:adjustRightInd w:val="0"/>
      <w:spacing w:after="170" w:line="280" w:lineRule="exact"/>
      <w:textAlignment w:val="baseline"/>
    </w:pPr>
    <w:rPr>
      <w:rFonts w:ascii="Arial" w:hAnsi="Arial" w:cs="Arial"/>
      <w:color w:val="000000"/>
      <w:lang w:val="en-GB" w:eastAsia="en-US"/>
    </w:rPr>
  </w:style>
  <w:style w:type="character" w:customStyle="1" w:styleId="Italic">
    <w:name w:val="Italic"/>
    <w:rsid w:val="00EC50A1"/>
    <w:rPr>
      <w:i/>
      <w:iCs/>
    </w:rPr>
  </w:style>
  <w:style w:type="character" w:customStyle="1" w:styleId="Bold">
    <w:name w:val="Bold"/>
    <w:uiPriority w:val="3"/>
    <w:qFormat/>
    <w:rsid w:val="00EC50A1"/>
    <w:rPr>
      <w:b/>
      <w:bCs/>
    </w:rPr>
  </w:style>
  <w:style w:type="paragraph" w:customStyle="1" w:styleId="MainTextNumbered">
    <w:name w:val="MainText Numbered"/>
    <w:basedOn w:val="Number1"/>
    <w:qFormat/>
    <w:rsid w:val="00EC50A1"/>
    <w:pPr>
      <w:numPr>
        <w:numId w:val="2"/>
      </w:numPr>
      <w:tabs>
        <w:tab w:val="clear" w:pos="0"/>
        <w:tab w:val="num" w:pos="360"/>
      </w:tabs>
    </w:pPr>
    <w:rPr>
      <w:rFonts w:cs="Verdana"/>
    </w:rPr>
  </w:style>
  <w:style w:type="paragraph" w:customStyle="1" w:styleId="Number1">
    <w:name w:val="Number 1"/>
    <w:link w:val="Number1Char"/>
    <w:uiPriority w:val="2"/>
    <w:qFormat/>
    <w:rsid w:val="00EC50A1"/>
    <w:pPr>
      <w:numPr>
        <w:numId w:val="3"/>
      </w:numPr>
      <w:tabs>
        <w:tab w:val="left" w:pos="454"/>
      </w:tabs>
      <w:adjustRightInd w:val="0"/>
      <w:spacing w:before="120" w:after="170" w:line="280" w:lineRule="exact"/>
      <w:textAlignment w:val="baseline"/>
    </w:pPr>
    <w:rPr>
      <w:rFonts w:ascii="Arial" w:hAnsi="Arial" w:cs="Arial"/>
      <w:color w:val="000000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b/>
      <w:bCs/>
      <w:sz w:val="20"/>
    </w:rPr>
  </w:style>
  <w:style w:type="character" w:customStyle="1" w:styleId="Number1Char">
    <w:name w:val="Number 1 Char"/>
    <w:link w:val="Number1"/>
    <w:uiPriority w:val="2"/>
    <w:rsid w:val="00EC50A1"/>
    <w:rPr>
      <w:rFonts w:ascii="Arial" w:hAnsi="Arial" w:cs="Arial"/>
      <w:color w:val="000000"/>
      <w:szCs w:val="24"/>
      <w:lang w:val="en-GB" w:eastAsia="en-US"/>
    </w:rPr>
  </w:style>
  <w:style w:type="paragraph" w:customStyle="1" w:styleId="FigureSource">
    <w:name w:val="Figure Source"/>
    <w:uiPriority w:val="21"/>
    <w:qFormat/>
    <w:rsid w:val="00EC50A1"/>
    <w:pPr>
      <w:spacing w:before="60" w:after="40" w:line="180" w:lineRule="exact"/>
    </w:pPr>
    <w:rPr>
      <w:rFonts w:ascii="Arial" w:hAnsi="Arial"/>
      <w:sz w:val="14"/>
      <w:szCs w:val="16"/>
      <w:lang w:val="en-GB" w:eastAsia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20" w:lineRule="exact"/>
      <w:textAlignment w:val="auto"/>
    </w:pPr>
    <w:rPr>
      <w:rFonts w:ascii="Arial" w:hAnsi="Arial"/>
      <w:color w:val="000000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11"/>
    <w:rsid w:val="00300852"/>
    <w:rPr>
      <w:rFonts w:ascii="Calibri" w:hAnsi="Calibri"/>
      <w:sz w:val="26"/>
      <w:lang w:val="en-GB" w:eastAsia="en-US"/>
    </w:rPr>
  </w:style>
  <w:style w:type="paragraph" w:customStyle="1" w:styleId="ColumnHeading">
    <w:name w:val="Column Heading"/>
    <w:basedOn w:val="Normal"/>
    <w:uiPriority w:val="19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20" w:lineRule="exact"/>
      <w:textAlignment w:val="auto"/>
    </w:pPr>
    <w:rPr>
      <w:rFonts w:ascii="Arial" w:hAnsi="Arial"/>
      <w:b/>
      <w:color w:val="000000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10"/>
    <w:rsid w:val="00795853"/>
    <w:rPr>
      <w:rFonts w:ascii="Calibri" w:hAnsi="Calibri"/>
      <w:b/>
      <w:sz w:val="26"/>
      <w:lang w:val="en-GB" w:eastAsia="en-US"/>
    </w:rPr>
  </w:style>
  <w:style w:type="character" w:customStyle="1" w:styleId="FiguretextChar">
    <w:name w:val="Figure text Char"/>
    <w:link w:val="Figuretext"/>
    <w:uiPriority w:val="20"/>
    <w:rsid w:val="00EC50A1"/>
    <w:rPr>
      <w:rFonts w:ascii="Arial" w:hAnsi="Arial"/>
      <w:color w:val="000000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50A1"/>
    <w:rPr>
      <w:rFonts w:ascii="Arial" w:hAnsi="Arial" w:cs="Arial"/>
      <w:szCs w:val="24"/>
      <w:lang w:val="en-GB" w:eastAsia="en-US"/>
    </w:rPr>
  </w:style>
  <w:style w:type="paragraph" w:customStyle="1" w:styleId="KeyFactsStatisticSmall">
    <w:name w:val="Key Facts Statistic Small"/>
    <w:basedOn w:val="BodyText"/>
    <w:qFormat/>
    <w:rsid w:val="00EC50A1"/>
    <w:pPr>
      <w:spacing w:before="60" w:after="60" w:line="280" w:lineRule="exact"/>
    </w:pPr>
    <w:rPr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934657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05-R.pdf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L-C-0115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DEC-005-r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269188717793061"/>
          <c:y val="5.8931860036832415E-2"/>
          <c:w val="0.75461622564413877"/>
          <c:h val="0.730908484505735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'PAGE 3 - All Expenses'!$B$8:$B$9</c:f>
              <c:strCache>
                <c:ptCount val="2"/>
                <c:pt idx="0">
                  <c:v>Бюджет</c:v>
                </c:pt>
                <c:pt idx="1">
                  <c:v>2024 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'PAGE 3 - All Expenses'!$A$10:$A$13</c:f>
              <c:strCache>
                <c:ptCount val="4"/>
                <c:pt idx="0">
                  <c:v>Генеральный секретариат</c:v>
                </c:pt>
                <c:pt idx="1">
                  <c:v>Сектор радиосвязи</c:v>
                </c:pt>
                <c:pt idx="2">
                  <c:v>Сектор стандартизации электросвязи</c:v>
                </c:pt>
                <c:pt idx="3">
                  <c:v>Сектор развития электросвязи*</c:v>
                </c:pt>
              </c:strCache>
            </c:strRef>
          </c:cat>
          <c:val>
            <c:numRef>
              <c:f>'PAGE 3 - All Expenses'!$B$10:$B$13</c:f>
              <c:numCache>
                <c:formatCode>#,##0</c:formatCode>
                <c:ptCount val="4"/>
                <c:pt idx="0">
                  <c:v>90789</c:v>
                </c:pt>
                <c:pt idx="1">
                  <c:v>30222</c:v>
                </c:pt>
                <c:pt idx="2">
                  <c:v>14705</c:v>
                </c:pt>
                <c:pt idx="3">
                  <c:v>29217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1E-4429-8733-908182768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43717248"/>
        <c:axId val="153620400"/>
      </c:barChart>
      <c:barChart>
        <c:barDir val="col"/>
        <c:grouping val="stacked"/>
        <c:varyColors val="0"/>
        <c:ser>
          <c:idx val="1"/>
          <c:order val="1"/>
          <c:tx>
            <c:strRef>
              <c:f>'PAGE 3 - All Expenses'!$C$8:$C$9</c:f>
              <c:strCache>
                <c:ptCount val="2"/>
                <c:pt idx="0">
                  <c:v>Обязательства</c:v>
                </c:pt>
                <c:pt idx="1">
                  <c:v>22.03.24 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'PAGE 3 - All Expenses'!$A$10:$A$13</c:f>
              <c:strCache>
                <c:ptCount val="4"/>
                <c:pt idx="0">
                  <c:v>Генеральный секретариат</c:v>
                </c:pt>
                <c:pt idx="1">
                  <c:v>Сектор радиосвязи</c:v>
                </c:pt>
                <c:pt idx="2">
                  <c:v>Сектор стандартизации электросвязи</c:v>
                </c:pt>
                <c:pt idx="3">
                  <c:v>Сектор развития электросвязи*</c:v>
                </c:pt>
              </c:strCache>
            </c:strRef>
          </c:cat>
          <c:val>
            <c:numRef>
              <c:f>'PAGE 3 - All Expenses'!$C$10:$C$13</c:f>
              <c:numCache>
                <c:formatCode>#,##0</c:formatCode>
                <c:ptCount val="4"/>
                <c:pt idx="0">
                  <c:v>43483</c:v>
                </c:pt>
                <c:pt idx="1">
                  <c:v>18592</c:v>
                </c:pt>
                <c:pt idx="2">
                  <c:v>8343</c:v>
                </c:pt>
                <c:pt idx="3">
                  <c:v>15774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1E-4429-8733-908182768AC8}"/>
            </c:ext>
          </c:extLst>
        </c:ser>
        <c:ser>
          <c:idx val="2"/>
          <c:order val="2"/>
          <c:tx>
            <c:strRef>
              <c:f>'PAGE 3 - All Expenses'!$D$8:$D$9</c:f>
              <c:strCache>
                <c:ptCount val="2"/>
                <c:pt idx="0">
                  <c:v>Фактически</c:v>
                </c:pt>
                <c:pt idx="1">
                  <c:v>22.03.24 г.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'PAGE 3 - All Expenses'!$A$10:$A$13</c:f>
              <c:strCache>
                <c:ptCount val="4"/>
                <c:pt idx="0">
                  <c:v>Генеральный секретариат</c:v>
                </c:pt>
                <c:pt idx="1">
                  <c:v>Сектор радиосвязи</c:v>
                </c:pt>
                <c:pt idx="2">
                  <c:v>Сектор стандартизации электросвязи</c:v>
                </c:pt>
                <c:pt idx="3">
                  <c:v>Сектор развития электросвязи*</c:v>
                </c:pt>
              </c:strCache>
            </c:strRef>
          </c:cat>
          <c:val>
            <c:numRef>
              <c:f>'PAGE 3 - All Expenses'!$D$10:$D$13</c:f>
              <c:numCache>
                <c:formatCode>#,##0</c:formatCode>
                <c:ptCount val="4"/>
                <c:pt idx="0">
                  <c:v>18378</c:v>
                </c:pt>
                <c:pt idx="1">
                  <c:v>6782</c:v>
                </c:pt>
                <c:pt idx="2">
                  <c:v>3037</c:v>
                </c:pt>
                <c:pt idx="3">
                  <c:v>6185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1E-4429-8733-908182768AC8}"/>
            </c:ext>
          </c:extLst>
        </c:ser>
        <c:ser>
          <c:idx val="3"/>
          <c:order val="3"/>
          <c:tx>
            <c:strRef>
              <c:f>'PAGE 3 - All Expenses'!$E$8:$E$9</c:f>
              <c:strCache>
                <c:ptCount val="2"/>
                <c:pt idx="0">
                  <c:v>Прогноз</c:v>
                </c:pt>
                <c:pt idx="1">
                  <c:v>на конец 2024 г.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'PAGE 3 - All Expenses'!$A$10:$A$13</c:f>
              <c:strCache>
                <c:ptCount val="4"/>
                <c:pt idx="0">
                  <c:v>Генеральный секретариат</c:v>
                </c:pt>
                <c:pt idx="1">
                  <c:v>Сектор радиосвязи</c:v>
                </c:pt>
                <c:pt idx="2">
                  <c:v>Сектор стандартизации электросвязи</c:v>
                </c:pt>
                <c:pt idx="3">
                  <c:v>Сектор развития электросвязи*</c:v>
                </c:pt>
              </c:strCache>
            </c:strRef>
          </c:cat>
          <c:val>
            <c:numRef>
              <c:f>'PAGE 3 - All Expenses'!$E$10:$E$13</c:f>
              <c:numCache>
                <c:formatCode>#,##0</c:formatCode>
                <c:ptCount val="4"/>
                <c:pt idx="0">
                  <c:v>27104</c:v>
                </c:pt>
                <c:pt idx="1">
                  <c:v>4011</c:v>
                </c:pt>
                <c:pt idx="2">
                  <c:v>3260</c:v>
                </c:pt>
                <c:pt idx="3">
                  <c:v>7234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1E-4429-8733-908182768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53293104"/>
        <c:axId val="153296464"/>
      </c:barChart>
      <c:catAx>
        <c:axId val="14371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620400"/>
        <c:crosses val="autoZero"/>
        <c:auto val="1"/>
        <c:lblAlgn val="ctr"/>
        <c:lblOffset val="100"/>
        <c:noMultiLvlLbl val="0"/>
      </c:catAx>
      <c:valAx>
        <c:axId val="15362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>
                    <a:solidFill>
                      <a:sysClr val="windowText" lastClr="000000"/>
                    </a:solidFill>
                  </a:rPr>
                  <a:t>тыс. шв. фр.</a:t>
                </a:r>
                <a:endParaRPr lang="en-GB" sz="8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6623555696090985E-2"/>
              <c:y val="0.300306921094322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717248"/>
        <c:crosses val="autoZero"/>
        <c:crossBetween val="between"/>
      </c:valAx>
      <c:valAx>
        <c:axId val="1532964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>
                    <a:solidFill>
                      <a:sysClr val="windowText" lastClr="000000"/>
                    </a:solidFill>
                  </a:rPr>
                  <a:t>тыс. шв. фр.</a:t>
                </a:r>
                <a:endParaRPr lang="en-GB" sz="8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95227309338671517"/>
              <c:y val="0.289257116341120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293104"/>
        <c:crosses val="max"/>
        <c:crossBetween val="between"/>
      </c:valAx>
      <c:catAx>
        <c:axId val="1532931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32964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3061967484479193E-2"/>
          <c:y val="0.91088947214931471"/>
          <c:w val="0.85739724326984756"/>
          <c:h val="7.10381734802619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470909886264216"/>
          <c:y val="0.11262432492935359"/>
          <c:w val="0.66321755335312838"/>
          <c:h val="0.6741339655179897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'PAGE 4 - All Revenue'!$C$23</c:f>
              <c:strCache>
                <c:ptCount val="1"/>
                <c:pt idx="0">
                  <c:v>Прогноз на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'PAGE 4 - All Revenue'!$A$24:$A$26</c:f>
              <c:strCache>
                <c:ptCount val="3"/>
                <c:pt idx="0">
                  <c:v>Начисленные взносы</c:v>
                </c:pt>
                <c:pt idx="1">
                  <c:v>Возмещение затрат</c:v>
                </c:pt>
                <c:pt idx="2">
                  <c:v>Прочие доходы</c:v>
                </c:pt>
              </c:strCache>
            </c:strRef>
          </c:cat>
          <c:val>
            <c:numRef>
              <c:f>'PAGE 4 - All Revenue'!$C$24:$C$26</c:f>
              <c:numCache>
                <c:formatCode>#,##0</c:formatCode>
                <c:ptCount val="3"/>
                <c:pt idx="0">
                  <c:v>129574</c:v>
                </c:pt>
                <c:pt idx="1">
                  <c:v>31650</c:v>
                </c:pt>
                <c:pt idx="2">
                  <c:v>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1-4A7C-B419-E4E98BB8D53C}"/>
            </c:ext>
          </c:extLst>
        </c:ser>
        <c:ser>
          <c:idx val="0"/>
          <c:order val="1"/>
          <c:tx>
            <c:strRef>
              <c:f>'PAGE 4 - All Revenue'!$B$23</c:f>
              <c:strCache>
                <c:ptCount val="1"/>
                <c:pt idx="0">
                  <c:v>Бюджет на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'PAGE 4 - All Revenue'!$A$24:$A$26</c:f>
              <c:strCache>
                <c:ptCount val="3"/>
                <c:pt idx="0">
                  <c:v>Начисленные взносы</c:v>
                </c:pt>
                <c:pt idx="1">
                  <c:v>Возмещение затрат</c:v>
                </c:pt>
                <c:pt idx="2">
                  <c:v>Прочие доходы</c:v>
                </c:pt>
              </c:strCache>
            </c:strRef>
          </c:cat>
          <c:val>
            <c:numRef>
              <c:f>'PAGE 4 - All Revenue'!$B$24:$B$26</c:f>
              <c:numCache>
                <c:formatCode>#,##0</c:formatCode>
                <c:ptCount val="3"/>
                <c:pt idx="0">
                  <c:v>125710</c:v>
                </c:pt>
                <c:pt idx="1">
                  <c:v>36500</c:v>
                </c:pt>
                <c:pt idx="2">
                  <c:v>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81-4A7C-B419-E4E98BB8D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6264160"/>
        <c:axId val="1499847536"/>
      </c:barChart>
      <c:catAx>
        <c:axId val="1526264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9847536"/>
        <c:crosses val="autoZero"/>
        <c:auto val="1"/>
        <c:lblAlgn val="ctr"/>
        <c:lblOffset val="100"/>
        <c:noMultiLvlLbl val="0"/>
      </c:catAx>
      <c:valAx>
        <c:axId val="1499847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626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010002453017389"/>
          <c:y val="0.87363036065252009"/>
          <c:w val="0.56709991103235424"/>
          <c:h val="0.103146802647466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384-9322-48CA-821A-57A0D3F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99</TotalTime>
  <Pages>18</Pages>
  <Words>4902</Words>
  <Characters>34082</Characters>
  <Application>Microsoft Office Word</Application>
  <DocSecurity>0</DocSecurity>
  <Lines>284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38907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Antipina, Nadezda</cp:lastModifiedBy>
  <cp:revision>13</cp:revision>
  <cp:lastPrinted>2006-03-28T16:12:00Z</cp:lastPrinted>
  <dcterms:created xsi:type="dcterms:W3CDTF">2024-06-03T12:32:00Z</dcterms:created>
  <dcterms:modified xsi:type="dcterms:W3CDTF">2024-06-03T14:40:00Z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