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A90DD0" w14:paraId="16C8DD02" w14:textId="77777777" w:rsidTr="00C538FC">
        <w:trPr>
          <w:cantSplit/>
          <w:trHeight w:val="23"/>
        </w:trPr>
        <w:tc>
          <w:tcPr>
            <w:tcW w:w="3969" w:type="dxa"/>
            <w:vMerge w:val="restart"/>
            <w:tcMar>
              <w:left w:w="0" w:type="dxa"/>
            </w:tcMar>
          </w:tcPr>
          <w:p w14:paraId="380780FF" w14:textId="4C8FFD6E" w:rsidR="00FE57F6" w:rsidRPr="00A90DD0" w:rsidRDefault="00D43B85" w:rsidP="00D43B85">
            <w:pPr>
              <w:tabs>
                <w:tab w:val="left" w:pos="851"/>
              </w:tabs>
              <w:spacing w:before="0" w:line="240" w:lineRule="atLeast"/>
              <w:rPr>
                <w:b/>
              </w:rPr>
            </w:pPr>
            <w:bookmarkStart w:id="0" w:name="_Hlk133421839"/>
            <w:r w:rsidRPr="00A90DD0">
              <w:rPr>
                <w:b/>
              </w:rPr>
              <w:t xml:space="preserve">Punto del orden del día: </w:t>
            </w:r>
            <w:r w:rsidR="002514DF" w:rsidRPr="00A90DD0">
              <w:rPr>
                <w:b/>
              </w:rPr>
              <w:t>ADM 1</w:t>
            </w:r>
          </w:p>
        </w:tc>
        <w:tc>
          <w:tcPr>
            <w:tcW w:w="5245" w:type="dxa"/>
          </w:tcPr>
          <w:p w14:paraId="12EC8577" w14:textId="1D041C94" w:rsidR="00FE57F6" w:rsidRPr="00A90DD0" w:rsidRDefault="00FE57F6" w:rsidP="00C538FC">
            <w:pPr>
              <w:tabs>
                <w:tab w:val="left" w:pos="851"/>
              </w:tabs>
              <w:spacing w:before="0" w:line="240" w:lineRule="atLeast"/>
              <w:jc w:val="right"/>
              <w:rPr>
                <w:b/>
              </w:rPr>
            </w:pPr>
            <w:r w:rsidRPr="00A90DD0">
              <w:rPr>
                <w:b/>
              </w:rPr>
              <w:t>Document</w:t>
            </w:r>
            <w:r w:rsidR="00F24B71" w:rsidRPr="00A90DD0">
              <w:rPr>
                <w:b/>
              </w:rPr>
              <w:t>o</w:t>
            </w:r>
            <w:r w:rsidRPr="00A90DD0">
              <w:rPr>
                <w:b/>
              </w:rPr>
              <w:t xml:space="preserve"> C2</w:t>
            </w:r>
            <w:r w:rsidR="0064481D" w:rsidRPr="00A90DD0">
              <w:rPr>
                <w:b/>
              </w:rPr>
              <w:t>4</w:t>
            </w:r>
            <w:r w:rsidRPr="00A90DD0">
              <w:rPr>
                <w:b/>
              </w:rPr>
              <w:t>/</w:t>
            </w:r>
            <w:r w:rsidR="002514DF" w:rsidRPr="00A90DD0">
              <w:rPr>
                <w:b/>
              </w:rPr>
              <w:t>9</w:t>
            </w:r>
            <w:r w:rsidRPr="00A90DD0">
              <w:rPr>
                <w:b/>
              </w:rPr>
              <w:t>-</w:t>
            </w:r>
            <w:r w:rsidR="00F24B71" w:rsidRPr="00A90DD0">
              <w:rPr>
                <w:b/>
              </w:rPr>
              <w:t>S</w:t>
            </w:r>
          </w:p>
        </w:tc>
      </w:tr>
      <w:tr w:rsidR="00FE57F6" w:rsidRPr="00A90DD0" w14:paraId="2F7BAD0F" w14:textId="77777777" w:rsidTr="00C538FC">
        <w:trPr>
          <w:cantSplit/>
        </w:trPr>
        <w:tc>
          <w:tcPr>
            <w:tcW w:w="3969" w:type="dxa"/>
            <w:vMerge/>
          </w:tcPr>
          <w:p w14:paraId="32D340BD" w14:textId="77777777" w:rsidR="00FE57F6" w:rsidRPr="00A90DD0" w:rsidRDefault="00FE57F6" w:rsidP="00C538FC">
            <w:pPr>
              <w:tabs>
                <w:tab w:val="left" w:pos="851"/>
              </w:tabs>
              <w:spacing w:line="240" w:lineRule="atLeast"/>
              <w:rPr>
                <w:b/>
              </w:rPr>
            </w:pPr>
          </w:p>
        </w:tc>
        <w:tc>
          <w:tcPr>
            <w:tcW w:w="5245" w:type="dxa"/>
          </w:tcPr>
          <w:p w14:paraId="6D67502D" w14:textId="20EC495C" w:rsidR="00FE57F6" w:rsidRPr="00A90DD0" w:rsidRDefault="002514DF" w:rsidP="00C538FC">
            <w:pPr>
              <w:tabs>
                <w:tab w:val="left" w:pos="851"/>
              </w:tabs>
              <w:spacing w:before="0"/>
              <w:jc w:val="right"/>
              <w:rPr>
                <w:b/>
              </w:rPr>
            </w:pPr>
            <w:r w:rsidRPr="00A90DD0">
              <w:rPr>
                <w:b/>
              </w:rPr>
              <w:t>6 de mayo de</w:t>
            </w:r>
            <w:r w:rsidR="00FE57F6" w:rsidRPr="00A90DD0">
              <w:rPr>
                <w:b/>
              </w:rPr>
              <w:t xml:space="preserve"> 202</w:t>
            </w:r>
            <w:r w:rsidR="0064481D" w:rsidRPr="00A90DD0">
              <w:rPr>
                <w:b/>
              </w:rPr>
              <w:t>4</w:t>
            </w:r>
          </w:p>
        </w:tc>
      </w:tr>
      <w:tr w:rsidR="00FE57F6" w:rsidRPr="00A90DD0" w14:paraId="14ED61B8" w14:textId="77777777" w:rsidTr="00C538FC">
        <w:trPr>
          <w:cantSplit/>
          <w:trHeight w:val="23"/>
        </w:trPr>
        <w:tc>
          <w:tcPr>
            <w:tcW w:w="3969" w:type="dxa"/>
            <w:vMerge/>
          </w:tcPr>
          <w:p w14:paraId="36AAE2B4" w14:textId="77777777" w:rsidR="00FE57F6" w:rsidRPr="00A90DD0" w:rsidRDefault="00FE57F6" w:rsidP="00C538FC">
            <w:pPr>
              <w:tabs>
                <w:tab w:val="left" w:pos="851"/>
              </w:tabs>
              <w:spacing w:line="240" w:lineRule="atLeast"/>
              <w:rPr>
                <w:b/>
              </w:rPr>
            </w:pPr>
          </w:p>
        </w:tc>
        <w:tc>
          <w:tcPr>
            <w:tcW w:w="5245" w:type="dxa"/>
          </w:tcPr>
          <w:p w14:paraId="54C7ED74" w14:textId="77777777" w:rsidR="00FE57F6" w:rsidRPr="00A90DD0" w:rsidRDefault="00F24B71" w:rsidP="00C538FC">
            <w:pPr>
              <w:tabs>
                <w:tab w:val="left" w:pos="851"/>
              </w:tabs>
              <w:spacing w:before="0" w:line="240" w:lineRule="atLeast"/>
              <w:jc w:val="right"/>
              <w:rPr>
                <w:b/>
                <w:bCs/>
              </w:rPr>
            </w:pPr>
            <w:r w:rsidRPr="00A90DD0">
              <w:rPr>
                <w:rFonts w:cstheme="minorHAnsi"/>
                <w:b/>
                <w:bCs/>
              </w:rPr>
              <w:t>Original: inglés</w:t>
            </w:r>
          </w:p>
        </w:tc>
      </w:tr>
      <w:tr w:rsidR="00FE57F6" w:rsidRPr="00A90DD0" w14:paraId="28C23F0D" w14:textId="77777777" w:rsidTr="00C538FC">
        <w:trPr>
          <w:cantSplit/>
          <w:trHeight w:val="23"/>
        </w:trPr>
        <w:tc>
          <w:tcPr>
            <w:tcW w:w="3969" w:type="dxa"/>
          </w:tcPr>
          <w:p w14:paraId="71CA9CDE" w14:textId="77777777" w:rsidR="00FE57F6" w:rsidRPr="00A90DD0" w:rsidRDefault="00FE57F6" w:rsidP="00C538FC">
            <w:pPr>
              <w:tabs>
                <w:tab w:val="left" w:pos="851"/>
              </w:tabs>
              <w:spacing w:line="240" w:lineRule="atLeast"/>
              <w:rPr>
                <w:b/>
              </w:rPr>
            </w:pPr>
          </w:p>
        </w:tc>
        <w:tc>
          <w:tcPr>
            <w:tcW w:w="5245" w:type="dxa"/>
          </w:tcPr>
          <w:p w14:paraId="04F0E65D" w14:textId="77777777" w:rsidR="00FE57F6" w:rsidRPr="00A90DD0" w:rsidRDefault="00FE57F6" w:rsidP="00C538FC">
            <w:pPr>
              <w:tabs>
                <w:tab w:val="left" w:pos="851"/>
              </w:tabs>
              <w:spacing w:before="0" w:line="240" w:lineRule="atLeast"/>
              <w:jc w:val="right"/>
              <w:rPr>
                <w:b/>
              </w:rPr>
            </w:pPr>
          </w:p>
        </w:tc>
      </w:tr>
      <w:tr w:rsidR="00FE57F6" w:rsidRPr="00A90DD0" w14:paraId="0744CD5D" w14:textId="77777777" w:rsidTr="00C538FC">
        <w:trPr>
          <w:cantSplit/>
        </w:trPr>
        <w:tc>
          <w:tcPr>
            <w:tcW w:w="9214" w:type="dxa"/>
            <w:gridSpan w:val="2"/>
            <w:tcMar>
              <w:left w:w="0" w:type="dxa"/>
            </w:tcMar>
          </w:tcPr>
          <w:p w14:paraId="3EF99137" w14:textId="77777777" w:rsidR="00FE57F6" w:rsidRPr="00A90DD0" w:rsidRDefault="00F24B71" w:rsidP="00C538FC">
            <w:pPr>
              <w:pStyle w:val="Source"/>
              <w:jc w:val="left"/>
              <w:rPr>
                <w:sz w:val="34"/>
                <w:szCs w:val="34"/>
              </w:rPr>
            </w:pPr>
            <w:r w:rsidRPr="00A90DD0">
              <w:rPr>
                <w:rFonts w:cstheme="minorHAnsi"/>
                <w:sz w:val="34"/>
                <w:szCs w:val="34"/>
              </w:rPr>
              <w:t>Informe de</w:t>
            </w:r>
            <w:r w:rsidR="004B5D49" w:rsidRPr="00A90DD0">
              <w:rPr>
                <w:rFonts w:cstheme="minorHAnsi"/>
                <w:sz w:val="34"/>
                <w:szCs w:val="34"/>
              </w:rPr>
              <w:t xml:space="preserve"> </w:t>
            </w:r>
            <w:r w:rsidRPr="00A90DD0">
              <w:rPr>
                <w:rFonts w:cstheme="minorHAnsi"/>
                <w:sz w:val="34"/>
                <w:szCs w:val="34"/>
              </w:rPr>
              <w:t>l</w:t>
            </w:r>
            <w:r w:rsidR="004B5D49" w:rsidRPr="00A90DD0">
              <w:rPr>
                <w:rFonts w:cstheme="minorHAnsi"/>
                <w:sz w:val="34"/>
                <w:szCs w:val="34"/>
              </w:rPr>
              <w:t>a</w:t>
            </w:r>
            <w:r w:rsidRPr="00A90DD0">
              <w:rPr>
                <w:rFonts w:cstheme="minorHAnsi"/>
                <w:sz w:val="34"/>
                <w:szCs w:val="34"/>
              </w:rPr>
              <w:t xml:space="preserve"> Secretari</w:t>
            </w:r>
            <w:r w:rsidR="004B5D49" w:rsidRPr="00A90DD0">
              <w:rPr>
                <w:rFonts w:cstheme="minorHAnsi"/>
                <w:sz w:val="34"/>
                <w:szCs w:val="34"/>
              </w:rPr>
              <w:t>a</w:t>
            </w:r>
            <w:r w:rsidRPr="00A90DD0">
              <w:rPr>
                <w:rFonts w:cstheme="minorHAnsi"/>
                <w:sz w:val="34"/>
                <w:szCs w:val="34"/>
              </w:rPr>
              <w:t xml:space="preserve"> General</w:t>
            </w:r>
          </w:p>
        </w:tc>
      </w:tr>
      <w:tr w:rsidR="00FE57F6" w:rsidRPr="00A90DD0" w14:paraId="5E2B474A" w14:textId="77777777" w:rsidTr="00C538FC">
        <w:trPr>
          <w:cantSplit/>
        </w:trPr>
        <w:tc>
          <w:tcPr>
            <w:tcW w:w="9214" w:type="dxa"/>
            <w:gridSpan w:val="2"/>
            <w:tcMar>
              <w:left w:w="0" w:type="dxa"/>
            </w:tcMar>
          </w:tcPr>
          <w:p w14:paraId="2BF75FA9" w14:textId="5B272107" w:rsidR="002514DF" w:rsidRPr="00A90DD0" w:rsidRDefault="002514DF" w:rsidP="002514DF">
            <w:pPr>
              <w:pStyle w:val="Subtitle"/>
              <w:framePr w:hSpace="0" w:wrap="auto" w:hAnchor="text" w:xAlign="left" w:yAlign="inline"/>
              <w:rPr>
                <w:rFonts w:cstheme="minorHAnsi"/>
                <w:lang w:val="es-ES_tradnl"/>
              </w:rPr>
            </w:pPr>
            <w:r w:rsidRPr="00A90DD0">
              <w:rPr>
                <w:rFonts w:cstheme="minorHAnsi"/>
                <w:lang w:val="es-ES_tradnl"/>
              </w:rPr>
              <w:t>EXAMEN ANUAL DE INGRESOS Y GASTOS</w:t>
            </w:r>
            <w:r w:rsidRPr="00A90DD0">
              <w:rPr>
                <w:rFonts w:cstheme="minorHAnsi"/>
                <w:lang w:val="es-ES_tradnl"/>
              </w:rPr>
              <w:br/>
              <w:t>RELATIVOS A LA EJECUCIÓN DEL PRESUPUESTO 2024</w:t>
            </w:r>
          </w:p>
          <w:p w14:paraId="75872F37" w14:textId="4C1DB1CE" w:rsidR="00FE57F6" w:rsidRPr="00A90DD0" w:rsidRDefault="002514DF" w:rsidP="002514DF">
            <w:pPr>
              <w:pStyle w:val="Subtitle"/>
              <w:framePr w:hSpace="0" w:wrap="auto" w:hAnchor="text" w:xAlign="left" w:yAlign="inline"/>
              <w:rPr>
                <w:lang w:val="es-ES_tradnl"/>
              </w:rPr>
            </w:pPr>
            <w:r w:rsidRPr="00A90DD0">
              <w:rPr>
                <w:rFonts w:cstheme="minorHAnsi"/>
                <w:lang w:val="es-ES_tradnl"/>
              </w:rPr>
              <w:t>RESULTADOS PRELIMINARES DE LA APLICACIÓN DE LAS MEDIDAS DE EFICIENCIA ENUMERADAS EN EL ANEXO 2 DE LA DECISIÓN 5</w:t>
            </w:r>
          </w:p>
        </w:tc>
      </w:tr>
      <w:tr w:rsidR="00FE57F6" w:rsidRPr="00A90DD0"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32BFC5FB" w:rsidR="00FE57F6" w:rsidRPr="00A90DD0" w:rsidRDefault="00F24B71" w:rsidP="00C538FC">
            <w:pPr>
              <w:spacing w:before="160"/>
              <w:rPr>
                <w:b/>
                <w:bCs/>
                <w:sz w:val="26"/>
                <w:szCs w:val="26"/>
              </w:rPr>
            </w:pPr>
            <w:r w:rsidRPr="00A90DD0">
              <w:rPr>
                <w:b/>
                <w:bCs/>
                <w:sz w:val="26"/>
                <w:szCs w:val="26"/>
              </w:rPr>
              <w:t>Finalidad</w:t>
            </w:r>
          </w:p>
          <w:p w14:paraId="34E97128" w14:textId="77777777" w:rsidR="002514DF" w:rsidRPr="00A90DD0" w:rsidRDefault="002514DF" w:rsidP="002514DF">
            <w:r w:rsidRPr="00A90DD0">
              <w:t>En el presente documento figuran los elementos fundamentales relativos a la ejecución del presupuesto para 2024, conforme a lo dispuesto en el número 73 del Convenio de la UIT, en el que se estipula que el Consejo debe efectuar un examen anual de los ingresos y gastos.</w:t>
            </w:r>
          </w:p>
          <w:p w14:paraId="618C4414" w14:textId="6A63ADB9" w:rsidR="00FE57F6" w:rsidRPr="00A90DD0" w:rsidRDefault="002514DF" w:rsidP="002514DF">
            <w:r w:rsidRPr="00A90DD0">
              <w:t>En este documento también se proporcionan los resultados preliminares relativos a la aplicación de las medidas de eficiencia que se reseñan en el Anexo 2 de la Decisión 5 (Rev.</w:t>
            </w:r>
            <w:r w:rsidR="00655DC5" w:rsidRPr="00A90DD0">
              <w:t> </w:t>
            </w:r>
            <w:r w:rsidRPr="00A90DD0">
              <w:t>Dubái, 2018) para 2023 y en el Anexo 2 de la Decisión 5 (Rev. Bucarest, 2022) para</w:t>
            </w:r>
            <w:r w:rsidR="00655DC5" w:rsidRPr="00A90DD0">
              <w:t> </w:t>
            </w:r>
            <w:r w:rsidRPr="00A90DD0">
              <w:t>2024.</w:t>
            </w:r>
          </w:p>
          <w:p w14:paraId="5D1C98A4" w14:textId="77777777" w:rsidR="00FE57F6" w:rsidRPr="00A90DD0" w:rsidRDefault="00F24B71" w:rsidP="00C538FC">
            <w:pPr>
              <w:spacing w:before="160"/>
              <w:rPr>
                <w:b/>
                <w:bCs/>
                <w:sz w:val="26"/>
                <w:szCs w:val="26"/>
              </w:rPr>
            </w:pPr>
            <w:r w:rsidRPr="00A90DD0">
              <w:rPr>
                <w:b/>
                <w:bCs/>
                <w:sz w:val="26"/>
                <w:szCs w:val="26"/>
              </w:rPr>
              <w:t xml:space="preserve">Acción solicitada </w:t>
            </w:r>
            <w:r w:rsidR="00677A97" w:rsidRPr="00A90DD0">
              <w:rPr>
                <w:b/>
                <w:bCs/>
                <w:sz w:val="26"/>
                <w:szCs w:val="26"/>
              </w:rPr>
              <w:t>al</w:t>
            </w:r>
            <w:r w:rsidRPr="00A90DD0">
              <w:rPr>
                <w:b/>
                <w:bCs/>
                <w:sz w:val="26"/>
                <w:szCs w:val="26"/>
              </w:rPr>
              <w:t xml:space="preserve"> Consejo</w:t>
            </w:r>
          </w:p>
          <w:p w14:paraId="2D18C291" w14:textId="02CA029A" w:rsidR="00FE57F6" w:rsidRPr="00A90DD0" w:rsidRDefault="002514DF" w:rsidP="00C538FC">
            <w:r w:rsidRPr="00A90DD0">
              <w:t xml:space="preserve">Se invita al Consejo a </w:t>
            </w:r>
            <w:r w:rsidRPr="00A90DD0">
              <w:rPr>
                <w:b/>
                <w:bCs/>
              </w:rPr>
              <w:t>tomar nota</w:t>
            </w:r>
            <w:r w:rsidRPr="00A90DD0">
              <w:t xml:space="preserve"> de este documento.</w:t>
            </w:r>
          </w:p>
          <w:p w14:paraId="29ECF93D" w14:textId="77777777" w:rsidR="00FE57F6" w:rsidRPr="00A90DD0" w:rsidRDefault="00F24B71" w:rsidP="00C538FC">
            <w:pPr>
              <w:spacing w:before="160"/>
              <w:rPr>
                <w:b/>
                <w:bCs/>
                <w:sz w:val="26"/>
                <w:szCs w:val="26"/>
              </w:rPr>
            </w:pPr>
            <w:r w:rsidRPr="00A90DD0">
              <w:rPr>
                <w:b/>
                <w:bCs/>
                <w:sz w:val="26"/>
                <w:szCs w:val="26"/>
              </w:rPr>
              <w:t>Vínculos pertinentes con el Plan Estratégico</w:t>
            </w:r>
          </w:p>
          <w:p w14:paraId="0322545C" w14:textId="3279E46F" w:rsidR="00FE57F6" w:rsidRPr="00A90DD0" w:rsidRDefault="002514DF" w:rsidP="00C538FC">
            <w:r w:rsidRPr="00A90DD0">
              <w:t>El presupuesto de la Unión financia los dos objetivos y las cinco prioridades temáticas de la</w:t>
            </w:r>
            <w:r w:rsidR="00655DC5" w:rsidRPr="00A90DD0">
              <w:t> </w:t>
            </w:r>
            <w:r w:rsidRPr="00A90DD0">
              <w:t>UIT.</w:t>
            </w:r>
          </w:p>
          <w:p w14:paraId="086B6CFB" w14:textId="0F40B320" w:rsidR="00D43B85" w:rsidRPr="00A90DD0" w:rsidRDefault="00F24B71" w:rsidP="00C538FC">
            <w:pPr>
              <w:spacing w:before="160"/>
              <w:rPr>
                <w:b/>
                <w:bCs/>
                <w:sz w:val="26"/>
                <w:szCs w:val="26"/>
              </w:rPr>
            </w:pPr>
            <w:r w:rsidRPr="00A90DD0">
              <w:rPr>
                <w:b/>
                <w:bCs/>
                <w:sz w:val="26"/>
                <w:szCs w:val="26"/>
              </w:rPr>
              <w:t>Repercusiones financieras</w:t>
            </w:r>
          </w:p>
          <w:p w14:paraId="570AED91" w14:textId="3FFCFBC8" w:rsidR="00FE57F6" w:rsidRPr="00A90DD0" w:rsidRDefault="002514DF" w:rsidP="00D43B85">
            <w:pPr>
              <w:spacing w:before="240"/>
              <w:rPr>
                <w:szCs w:val="24"/>
              </w:rPr>
            </w:pPr>
            <w:r w:rsidRPr="00A90DD0">
              <w:rPr>
                <w:szCs w:val="24"/>
              </w:rPr>
              <w:t>La dirección de la UIT tomará todas las medidas necesarias para garantizar una ejecución adecuada y eficaz del presupuesto para 2024.</w:t>
            </w:r>
          </w:p>
          <w:p w14:paraId="5948AA98" w14:textId="77777777" w:rsidR="00FE57F6" w:rsidRPr="00A90DD0" w:rsidRDefault="00FE57F6" w:rsidP="00C538FC">
            <w:pPr>
              <w:spacing w:before="160"/>
              <w:rPr>
                <w:caps/>
                <w:sz w:val="22"/>
              </w:rPr>
            </w:pPr>
            <w:r w:rsidRPr="00A90DD0">
              <w:rPr>
                <w:sz w:val="22"/>
              </w:rPr>
              <w:t>__________________</w:t>
            </w:r>
          </w:p>
          <w:p w14:paraId="53C56EAC" w14:textId="77777777" w:rsidR="00FE57F6" w:rsidRPr="00A90DD0" w:rsidRDefault="00F24B71" w:rsidP="00C538FC">
            <w:pPr>
              <w:spacing w:before="160"/>
              <w:rPr>
                <w:b/>
                <w:bCs/>
                <w:sz w:val="26"/>
                <w:szCs w:val="26"/>
              </w:rPr>
            </w:pPr>
            <w:r w:rsidRPr="00A90DD0">
              <w:rPr>
                <w:b/>
                <w:bCs/>
                <w:sz w:val="26"/>
                <w:szCs w:val="26"/>
              </w:rPr>
              <w:t>Referencia</w:t>
            </w:r>
          </w:p>
          <w:p w14:paraId="58339413" w14:textId="4018A002" w:rsidR="00FE57F6" w:rsidRPr="00A90DD0" w:rsidRDefault="009B689C" w:rsidP="00C538FC">
            <w:pPr>
              <w:spacing w:after="160"/>
            </w:pPr>
            <w:hyperlink r:id="rId7" w:history="1">
              <w:r w:rsidR="002514DF" w:rsidRPr="00A90DD0">
                <w:rPr>
                  <w:rStyle w:val="Hyperlink"/>
                  <w:i/>
                  <w:iCs/>
                  <w:szCs w:val="24"/>
                </w:rPr>
                <w:t>Decisión 5 (Rev. Dubái, 2018)</w:t>
              </w:r>
            </w:hyperlink>
            <w:r w:rsidR="002514DF" w:rsidRPr="00A90DD0">
              <w:rPr>
                <w:i/>
                <w:iCs/>
                <w:szCs w:val="24"/>
              </w:rPr>
              <w:t xml:space="preserve"> y </w:t>
            </w:r>
            <w:hyperlink r:id="rId8" w:history="1">
              <w:r w:rsidR="002514DF" w:rsidRPr="00A90DD0">
                <w:rPr>
                  <w:rStyle w:val="Hyperlink"/>
                  <w:i/>
                  <w:iCs/>
                  <w:szCs w:val="24"/>
                </w:rPr>
                <w:t>Decisión 5 (Rev. Bucarest, 2022)</w:t>
              </w:r>
            </w:hyperlink>
            <w:r w:rsidR="002514DF" w:rsidRPr="00A90DD0">
              <w:rPr>
                <w:i/>
                <w:iCs/>
                <w:szCs w:val="24"/>
              </w:rPr>
              <w:t xml:space="preserve"> de la Conferencia de Plenipotenciarios; </w:t>
            </w:r>
            <w:hyperlink r:id="rId9" w:history="1">
              <w:r w:rsidR="002514DF" w:rsidRPr="00A90DD0">
                <w:rPr>
                  <w:rStyle w:val="Hyperlink"/>
                  <w:i/>
                  <w:iCs/>
                  <w:spacing w:val="-2"/>
                  <w:szCs w:val="24"/>
                </w:rPr>
                <w:t>Resolución 1417 del Consejo</w:t>
              </w:r>
            </w:hyperlink>
            <w:r w:rsidR="002514DF" w:rsidRPr="00A90DD0">
              <w:rPr>
                <w:i/>
                <w:iCs/>
                <w:spacing w:val="-2"/>
                <w:szCs w:val="24"/>
              </w:rPr>
              <w:t xml:space="preserve"> </w:t>
            </w:r>
            <w:r w:rsidR="00915ACC" w:rsidRPr="00A90DD0">
              <w:rPr>
                <w:i/>
                <w:iCs/>
                <w:spacing w:val="-2"/>
                <w:szCs w:val="24"/>
              </w:rPr>
              <w:t>–</w:t>
            </w:r>
            <w:r w:rsidR="002514DF" w:rsidRPr="00A90DD0">
              <w:rPr>
                <w:i/>
                <w:iCs/>
                <w:spacing w:val="-2"/>
                <w:szCs w:val="24"/>
              </w:rPr>
              <w:t xml:space="preserve"> (Presupuesto bienal de la Unión Internacional de Telecomunicaciones para 2024-2025)</w:t>
            </w:r>
          </w:p>
        </w:tc>
      </w:tr>
    </w:tbl>
    <w:bookmarkEnd w:id="0"/>
    <w:p w14:paraId="06871B2D" w14:textId="51607490" w:rsidR="002514DF" w:rsidRPr="00A90DD0" w:rsidRDefault="002514DF" w:rsidP="00C45387">
      <w:pPr>
        <w:pStyle w:val="Heading1"/>
      </w:pPr>
      <w:r w:rsidRPr="00A90DD0">
        <w:lastRenderedPageBreak/>
        <w:t>1</w:t>
      </w:r>
      <w:r w:rsidRPr="00A90DD0">
        <w:tab/>
        <w:t>Antecedentes</w:t>
      </w:r>
    </w:p>
    <w:p w14:paraId="082A4001" w14:textId="77777777" w:rsidR="002514DF" w:rsidRPr="00A90DD0" w:rsidRDefault="002514DF" w:rsidP="00C45387">
      <w:r w:rsidRPr="00A90DD0">
        <w:t>1.1</w:t>
      </w:r>
      <w:r w:rsidRPr="00A90DD0">
        <w:tab/>
        <w:t>En el presente documento se presentan los elementos fundamentales relativos a la ejecución del Presupuesto para 2024, conforme a lo dispuesto en el número 73 del Convenio de la UIT, en el que se estipula que el Consejo debe efectuar un examen anual de los ingresos y gastos.</w:t>
      </w:r>
    </w:p>
    <w:p w14:paraId="57E611BF" w14:textId="77777777" w:rsidR="002514DF" w:rsidRPr="00A90DD0" w:rsidRDefault="002514DF" w:rsidP="00C45387">
      <w:r w:rsidRPr="00A90DD0">
        <w:t>1.2</w:t>
      </w:r>
      <w:r w:rsidRPr="00A90DD0">
        <w:tab/>
        <w:t>También se reseñan de forma preliminar los resultados de la aplicación de las medidas de eficiencia enumeradas en el Anexo 2 de la Decisión 5 para 2023 y 2024.</w:t>
      </w:r>
    </w:p>
    <w:p w14:paraId="3043ACBF" w14:textId="77777777" w:rsidR="002514DF" w:rsidRPr="00A90DD0" w:rsidRDefault="002514DF" w:rsidP="00C45387">
      <w:r w:rsidRPr="00A90DD0">
        <w:t xml:space="preserve">De conformidad con los números 1 y 2 del </w:t>
      </w:r>
      <w:r w:rsidRPr="00A90DD0">
        <w:rPr>
          <w:i/>
          <w:iCs/>
        </w:rPr>
        <w:t>encarga</w:t>
      </w:r>
      <w:r w:rsidRPr="00A90DD0">
        <w:t xml:space="preserve"> al Secretario General y a los Directores de las Oficinas de la Decisión 5 (Rev. Bucarest, 2022), a saber:</w:t>
      </w:r>
    </w:p>
    <w:p w14:paraId="2F46E57E" w14:textId="77777777" w:rsidR="002514DF" w:rsidRPr="00A90DD0" w:rsidRDefault="002514DF" w:rsidP="00C45387">
      <w:pPr>
        <w:rPr>
          <w:i/>
          <w:iCs/>
        </w:rPr>
      </w:pPr>
      <w:r w:rsidRPr="00A90DD0">
        <w:rPr>
          <w:i/>
          <w:iCs/>
        </w:rPr>
        <w:t>"1</w:t>
      </w:r>
      <w:r w:rsidRPr="00A90DD0">
        <w:rPr>
          <w:i/>
          <w:iCs/>
        </w:rPr>
        <w:tab/>
        <w:t>que cada año proporcionen al Consejo un informe sobre la aplicación del Presupuesto de la UIT relativo al año anterior y la aplicación prevista de dicho Presupuesto en el año en curso, en que se indiquen los ahorros obtenidos mediante la aplicación de cada elemento que figura en el Anexo 2 a la presente Decisión;</w:t>
      </w:r>
    </w:p>
    <w:p w14:paraId="4DDEDEE6" w14:textId="77777777" w:rsidR="002514DF" w:rsidRPr="00A90DD0" w:rsidRDefault="002514DF" w:rsidP="00C45387">
      <w:pPr>
        <w:rPr>
          <w:i/>
          <w:iCs/>
        </w:rPr>
      </w:pPr>
      <w:r w:rsidRPr="00A90DD0">
        <w:rPr>
          <w:i/>
          <w:iCs/>
        </w:rPr>
        <w:t>2</w:t>
      </w:r>
      <w:r w:rsidRPr="00A90DD0">
        <w:rPr>
          <w:i/>
          <w:iCs/>
        </w:rPr>
        <w:tab/>
        <w:t>que desplieguen los esfuerzos necesarios para lograr reducciones a través de una cultura de eficiencia y economía, e incluyan los ahorros obtenidos en el marco de los presupuestos aprobados, en el informe antes mencionado que se presente al Consejo;"</w:t>
      </w:r>
    </w:p>
    <w:p w14:paraId="7A1A0C5F" w14:textId="7C64A987" w:rsidR="002514DF" w:rsidRPr="00A90DD0" w:rsidRDefault="002514DF" w:rsidP="00C45387">
      <w:pPr>
        <w:pStyle w:val="Heading1"/>
      </w:pPr>
      <w:r w:rsidRPr="00A90DD0">
        <w:t>2</w:t>
      </w:r>
      <w:r w:rsidRPr="00A90DD0">
        <w:tab/>
        <w:t>Previsiones de ejecución del presupuesto 2024</w:t>
      </w:r>
    </w:p>
    <w:p w14:paraId="54598B27" w14:textId="3DF2FFBE" w:rsidR="002514DF" w:rsidRPr="00A90DD0" w:rsidRDefault="002514DF" w:rsidP="00C45387">
      <w:r w:rsidRPr="00A90DD0">
        <w:t>2.1</w:t>
      </w:r>
      <w:r w:rsidRPr="00A90DD0">
        <w:tab/>
        <w:t>El Consejo adoptó el Presupuesto de la Unión para 2024-2025 en su reunión ordinaria de 2023 mediante la Resolución 1417. El presupuesto bienal actualizado se eleva a 164</w:t>
      </w:r>
      <w:r w:rsidR="00655DC5" w:rsidRPr="00A90DD0">
        <w:t> </w:t>
      </w:r>
      <w:r w:rsidRPr="00A90DD0">
        <w:t>933</w:t>
      </w:r>
      <w:r w:rsidR="00655DC5" w:rsidRPr="00A90DD0">
        <w:t> </w:t>
      </w:r>
      <w:r w:rsidRPr="00A90DD0">
        <w:t>000 (CHF) para 2024, sobre la base de una unidad contributiva anual de 318</w:t>
      </w:r>
      <w:r w:rsidR="00655DC5" w:rsidRPr="00A90DD0">
        <w:t> </w:t>
      </w:r>
      <w:r w:rsidRPr="00A90DD0">
        <w:t>000</w:t>
      </w:r>
      <w:r w:rsidR="00655DC5" w:rsidRPr="00A90DD0">
        <w:t> </w:t>
      </w:r>
      <w:r w:rsidRPr="00A90DD0">
        <w:t>CHF para los Estados Miembros, con arreglo a un aumento nominal cero desde</w:t>
      </w:r>
      <w:r w:rsidR="00655DC5" w:rsidRPr="00A90DD0">
        <w:t> </w:t>
      </w:r>
      <w:r w:rsidRPr="00A90DD0">
        <w:t>2006.</w:t>
      </w:r>
    </w:p>
    <w:p w14:paraId="0A3C2DB7" w14:textId="182E6709" w:rsidR="002514DF" w:rsidRPr="00A90DD0" w:rsidRDefault="002514DF" w:rsidP="00C45387">
      <w:r w:rsidRPr="00A90DD0">
        <w:t>2.2</w:t>
      </w:r>
      <w:r w:rsidRPr="00A90DD0">
        <w:tab/>
        <w:t xml:space="preserve">Los dos factores fundamentales conocidos, por un importe total de </w:t>
      </w:r>
      <w:r w:rsidRPr="00A90DD0">
        <w:rPr>
          <w:b/>
          <w:bCs/>
        </w:rPr>
        <w:t xml:space="preserve">6,7 </w:t>
      </w:r>
      <w:r w:rsidR="00655DC5" w:rsidRPr="00A90DD0">
        <w:rPr>
          <w:b/>
          <w:bCs/>
        </w:rPr>
        <w:t xml:space="preserve">millones </w:t>
      </w:r>
      <w:r w:rsidRPr="00A90DD0">
        <w:rPr>
          <w:b/>
          <w:bCs/>
        </w:rPr>
        <w:t xml:space="preserve">CHF, </w:t>
      </w:r>
      <w:r w:rsidRPr="00A90DD0">
        <w:t xml:space="preserve">a saber, el </w:t>
      </w:r>
      <w:r w:rsidRPr="00A90DD0">
        <w:rPr>
          <w:b/>
          <w:bCs/>
        </w:rPr>
        <w:t xml:space="preserve">4,1% </w:t>
      </w:r>
      <w:r w:rsidRPr="00A90DD0">
        <w:t>del presupuesto para 2024, y que repercutirán en la ejecución del presupuesto de 2024, son los siguientes:</w:t>
      </w:r>
    </w:p>
    <w:p w14:paraId="41B27117" w14:textId="4B5F161A" w:rsidR="002514DF" w:rsidRPr="00A90DD0" w:rsidRDefault="00C45387" w:rsidP="00C45387">
      <w:pPr>
        <w:pStyle w:val="enumlev1"/>
        <w:rPr>
          <w:rFonts w:eastAsiaTheme="minorEastAsia"/>
        </w:rPr>
      </w:pPr>
      <w:r w:rsidRPr="00A90DD0">
        <w:rPr>
          <w:rFonts w:eastAsiaTheme="minorEastAsia"/>
        </w:rPr>
        <w:t>–</w:t>
      </w:r>
      <w:r w:rsidRPr="00A90DD0">
        <w:rPr>
          <w:rFonts w:eastAsiaTheme="minorEastAsia"/>
        </w:rPr>
        <w:tab/>
      </w:r>
      <w:r w:rsidR="002514DF" w:rsidRPr="00A90DD0">
        <w:rPr>
          <w:rFonts w:eastAsiaTheme="minorEastAsia"/>
        </w:rPr>
        <w:t xml:space="preserve">reducción de ingresos en concepto de recuperación de costes asociados a la tramitación de notificaciones de redes de satélites por un importe de </w:t>
      </w:r>
      <w:r w:rsidR="002514DF" w:rsidRPr="00A90DD0">
        <w:rPr>
          <w:rFonts w:eastAsiaTheme="minorEastAsia"/>
          <w:b/>
          <w:bCs/>
        </w:rPr>
        <w:t xml:space="preserve">4 </w:t>
      </w:r>
      <w:r w:rsidR="00655DC5" w:rsidRPr="00A90DD0">
        <w:rPr>
          <w:rFonts w:eastAsiaTheme="minorEastAsia"/>
          <w:b/>
          <w:bCs/>
        </w:rPr>
        <w:t xml:space="preserve">millones </w:t>
      </w:r>
      <w:r w:rsidR="002514DF" w:rsidRPr="00A90DD0">
        <w:rPr>
          <w:rFonts w:eastAsiaTheme="minorEastAsia"/>
          <w:b/>
          <w:bCs/>
        </w:rPr>
        <w:t>CHF</w:t>
      </w:r>
      <w:r w:rsidR="002514DF" w:rsidRPr="00A90DD0">
        <w:rPr>
          <w:rFonts w:eastAsiaTheme="minorEastAsia"/>
        </w:rPr>
        <w:t>. Esta disminución intrínseca de ingresos podrá compensarse de forma total o parcial en los próximos periodos al revisarse el baremo de tasas establecido en el marco del Acuerdo 482, a fin de reflejar los costes reales de la tramitación de notificaciones espaciales. Sin embargo, puesto que el Grupo de Expertos sobre el Acuerdo 482 aún no ha concluido su labor, no cabe esperar que las tasas ajustadas entren en vigor en 2024.</w:t>
      </w:r>
    </w:p>
    <w:p w14:paraId="75A94E41" w14:textId="321E25D7" w:rsidR="002514DF" w:rsidRPr="00A90DD0" w:rsidRDefault="00C45387" w:rsidP="00C45387">
      <w:pPr>
        <w:pStyle w:val="enumlev1"/>
        <w:rPr>
          <w:rFonts w:eastAsiaTheme="minorHAnsi" w:cstheme="minorHAnsi"/>
          <w:szCs w:val="24"/>
        </w:rPr>
      </w:pPr>
      <w:r w:rsidRPr="00A90DD0">
        <w:rPr>
          <w:rFonts w:eastAsiaTheme="minorHAnsi" w:cstheme="minorHAnsi"/>
          <w:szCs w:val="24"/>
        </w:rPr>
        <w:t>–</w:t>
      </w:r>
      <w:r w:rsidRPr="00A90DD0">
        <w:rPr>
          <w:rFonts w:eastAsiaTheme="minorHAnsi" w:cstheme="minorHAnsi"/>
          <w:szCs w:val="24"/>
        </w:rPr>
        <w:tab/>
      </w:r>
      <w:r w:rsidR="002514DF" w:rsidRPr="00A90DD0">
        <w:rPr>
          <w:rFonts w:eastAsiaTheme="minorHAnsi" w:cstheme="minorHAnsi"/>
          <w:szCs w:val="24"/>
        </w:rPr>
        <w:t xml:space="preserve">el aumento salarial para las categorías de servicios generales y profesional, incluida la remuneración de las pensiones para la segunda, se estiman en </w:t>
      </w:r>
      <w:r w:rsidR="002514DF" w:rsidRPr="00A90DD0">
        <w:rPr>
          <w:rFonts w:eastAsiaTheme="minorHAnsi" w:cstheme="minorHAnsi"/>
          <w:b/>
          <w:bCs/>
          <w:szCs w:val="24"/>
        </w:rPr>
        <w:t xml:space="preserve">2,7 </w:t>
      </w:r>
      <w:r w:rsidR="00655DC5" w:rsidRPr="00A90DD0">
        <w:rPr>
          <w:rFonts w:eastAsiaTheme="minorEastAsia"/>
          <w:b/>
          <w:bCs/>
        </w:rPr>
        <w:t xml:space="preserve">millones </w:t>
      </w:r>
      <w:r w:rsidR="002514DF" w:rsidRPr="00A90DD0">
        <w:rPr>
          <w:rFonts w:eastAsiaTheme="minorEastAsia"/>
          <w:b/>
          <w:bCs/>
        </w:rPr>
        <w:t xml:space="preserve">CHF </w:t>
      </w:r>
      <w:r w:rsidR="002514DF" w:rsidRPr="00A90DD0">
        <w:rPr>
          <w:rFonts w:eastAsiaTheme="minorHAnsi" w:cstheme="minorHAnsi"/>
          <w:szCs w:val="24"/>
        </w:rPr>
        <w:t>para 2024.</w:t>
      </w:r>
    </w:p>
    <w:p w14:paraId="7B2BF7B7" w14:textId="05CF79B6" w:rsidR="002514DF" w:rsidRPr="00A90DD0" w:rsidRDefault="002514DF" w:rsidP="00D03FCF">
      <w:r w:rsidRPr="00A90DD0">
        <w:t>2.3</w:t>
      </w:r>
      <w:r w:rsidRPr="00A90DD0">
        <w:tab/>
        <w:t xml:space="preserve">A 22 de marzo de 2024, y pese a los dos factores fundamentales mencionados, el resultado previsto de la ejecución del presupuesto para 2024 es </w:t>
      </w:r>
      <w:r w:rsidRPr="00A90DD0">
        <w:rPr>
          <w:b/>
          <w:bCs/>
        </w:rPr>
        <w:t>equilibrado</w:t>
      </w:r>
      <w:r w:rsidRPr="00A90DD0">
        <w:t xml:space="preserve">. Se prevé aportar una cuantía suplementaria de 700 000 CHF, además de los 750 000 CHF incluidos en el presupuesto, al fondo de mantenimiento de edificios (véase el Cuadro 2), con objeto de garantizar fondos suficientes para el mantenimiento de los edificios de la UIT, en particular habida cuenta de </w:t>
      </w:r>
      <w:r w:rsidR="00DE1029" w:rsidRPr="00A90DD0">
        <w:t xml:space="preserve">que </w:t>
      </w:r>
      <w:r w:rsidRPr="00A90DD0">
        <w:t xml:space="preserve">el mantenimiento del edificio de Varembe no se incluyó de forma </w:t>
      </w:r>
      <w:r w:rsidRPr="00A90DD0">
        <w:lastRenderedPageBreak/>
        <w:t>general en el presupuesto para 2024-2025. Esta ejecución equilibrada obedece principalmente a la mayor recuperación de costes prevista para las publicaciones, al aumento de las ganancias relativas a los tipos de interés sobre el efectivo y a los equivalentes de efectivo, al ahorro en gastos operacionales y a los retrasos en la contratación. En los cuadros 1 a 3 se proporciona información suplementaria al respecto.</w:t>
      </w:r>
    </w:p>
    <w:p w14:paraId="6ADB4C0C" w14:textId="1C064964" w:rsidR="002514DF" w:rsidRPr="00A90DD0" w:rsidRDefault="002514DF" w:rsidP="00D03FCF">
      <w:pPr>
        <w:pStyle w:val="TableNo"/>
      </w:pPr>
      <w:r w:rsidRPr="00A90DD0">
        <w:t>Cuadro 1</w:t>
      </w:r>
    </w:p>
    <w:p w14:paraId="383A3986" w14:textId="714923AB" w:rsidR="005E523C" w:rsidRPr="00A90DD0" w:rsidRDefault="005E523C" w:rsidP="005E523C">
      <w:pPr>
        <w:pStyle w:val="Tabletitle"/>
      </w:pPr>
      <w:r w:rsidRPr="00A90DD0">
        <w:rPr>
          <w:noProof/>
        </w:rPr>
        <w:drawing>
          <wp:inline distT="0" distB="0" distL="0" distR="0" wp14:anchorId="1DEA4B1D" wp14:editId="52D6EBC3">
            <wp:extent cx="4401403" cy="11053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2027" cy="1115526"/>
                    </a:xfrm>
                    <a:prstGeom prst="rect">
                      <a:avLst/>
                    </a:prstGeom>
                  </pic:spPr>
                </pic:pic>
              </a:graphicData>
            </a:graphic>
          </wp:inline>
        </w:drawing>
      </w:r>
    </w:p>
    <w:p w14:paraId="424BD799" w14:textId="77777777" w:rsidR="002514DF" w:rsidRPr="00A90DD0" w:rsidRDefault="002514DF" w:rsidP="003C184C">
      <w:r w:rsidRPr="00A90DD0">
        <w:t>En el Cuadro 2 y el Gráfico 1 se desglosan los gastos por Sector:</w:t>
      </w:r>
    </w:p>
    <w:p w14:paraId="729AD8C1" w14:textId="46B46B37" w:rsidR="002514DF" w:rsidRPr="00A90DD0" w:rsidRDefault="002514DF" w:rsidP="003C184C">
      <w:pPr>
        <w:pStyle w:val="TableNo"/>
      </w:pPr>
      <w:r w:rsidRPr="00A90DD0">
        <w:t>Cuadro 2</w:t>
      </w:r>
    </w:p>
    <w:p w14:paraId="1281F1CD" w14:textId="6F857FBD" w:rsidR="005E523C" w:rsidRPr="00A90DD0" w:rsidRDefault="005E523C" w:rsidP="005E523C">
      <w:pPr>
        <w:pStyle w:val="Tabletitle"/>
      </w:pPr>
      <w:r w:rsidRPr="00A90DD0">
        <w:rPr>
          <w:noProof/>
        </w:rPr>
        <w:drawing>
          <wp:inline distT="0" distB="0" distL="0" distR="0" wp14:anchorId="7A22E53B" wp14:editId="169D2B43">
            <wp:extent cx="5760085" cy="11899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89990"/>
                    </a:xfrm>
                    <a:prstGeom prst="rect">
                      <a:avLst/>
                    </a:prstGeom>
                    <a:noFill/>
                    <a:ln>
                      <a:noFill/>
                    </a:ln>
                  </pic:spPr>
                </pic:pic>
              </a:graphicData>
            </a:graphic>
          </wp:inline>
        </w:drawing>
      </w:r>
    </w:p>
    <w:p w14:paraId="3C9A8029" w14:textId="77777777" w:rsidR="002514DF" w:rsidRPr="00A90DD0" w:rsidRDefault="002514DF" w:rsidP="00B34CF3">
      <w:pPr>
        <w:pStyle w:val="FigureNo"/>
      </w:pPr>
      <w:r w:rsidRPr="00A90DD0">
        <w:t>Gráfico 1</w:t>
      </w:r>
    </w:p>
    <w:p w14:paraId="0E337C44" w14:textId="14DD7D05" w:rsidR="002514DF" w:rsidRPr="00A90DD0" w:rsidRDefault="00B34CF3" w:rsidP="002514DF">
      <w:pPr>
        <w:snapToGrid w:val="0"/>
        <w:jc w:val="center"/>
        <w:rPr>
          <w:rFonts w:asciiTheme="minorHAnsi" w:hAnsiTheme="minorHAnsi" w:cstheme="minorBidi"/>
        </w:rPr>
      </w:pPr>
      <w:r w:rsidRPr="00A90DD0">
        <w:rPr>
          <w:rFonts w:asciiTheme="minorHAnsi" w:hAnsiTheme="minorHAnsi" w:cstheme="minorBidi"/>
          <w:noProof/>
        </w:rPr>
        <w:drawing>
          <wp:inline distT="0" distB="0" distL="0" distR="0" wp14:anchorId="19A958D4" wp14:editId="336DCACC">
            <wp:extent cx="5757938" cy="2778684"/>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2316" cy="2795274"/>
                    </a:xfrm>
                    <a:prstGeom prst="rect">
                      <a:avLst/>
                    </a:prstGeom>
                    <a:noFill/>
                  </pic:spPr>
                </pic:pic>
              </a:graphicData>
            </a:graphic>
          </wp:inline>
        </w:drawing>
      </w:r>
    </w:p>
    <w:p w14:paraId="304F3E95" w14:textId="77777777" w:rsidR="002514DF" w:rsidRPr="00A90DD0" w:rsidRDefault="002514DF" w:rsidP="00B34CF3">
      <w:r w:rsidRPr="00A90DD0">
        <w:t>En el cuadro 3 y el gráfico 2 se desglosan los ingresos por fuente:</w:t>
      </w:r>
    </w:p>
    <w:p w14:paraId="5EB3B923" w14:textId="304DB2BB" w:rsidR="002514DF" w:rsidRPr="00A90DD0" w:rsidRDefault="002514DF" w:rsidP="005E523C">
      <w:pPr>
        <w:pStyle w:val="TableNo"/>
        <w:keepLines/>
      </w:pPr>
      <w:r w:rsidRPr="00A90DD0">
        <w:lastRenderedPageBreak/>
        <w:t>Cuadro 3</w:t>
      </w:r>
    </w:p>
    <w:p w14:paraId="2FCE8D25" w14:textId="386C7B1E" w:rsidR="00B34CF3" w:rsidRPr="00A90DD0" w:rsidRDefault="00B34CF3" w:rsidP="005E523C">
      <w:pPr>
        <w:pStyle w:val="Tabletitle"/>
        <w:keepLines/>
      </w:pPr>
      <w:r w:rsidRPr="00A90DD0">
        <w:rPr>
          <w:noProof/>
        </w:rPr>
        <w:drawing>
          <wp:inline distT="0" distB="0" distL="0" distR="0" wp14:anchorId="27F6EF88" wp14:editId="6A96C784">
            <wp:extent cx="5760085" cy="286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863850"/>
                    </a:xfrm>
                    <a:prstGeom prst="rect">
                      <a:avLst/>
                    </a:prstGeom>
                    <a:noFill/>
                    <a:ln>
                      <a:noFill/>
                    </a:ln>
                  </pic:spPr>
                </pic:pic>
              </a:graphicData>
            </a:graphic>
          </wp:inline>
        </w:drawing>
      </w:r>
    </w:p>
    <w:p w14:paraId="6F8DCAFC" w14:textId="350D2220" w:rsidR="002514DF" w:rsidRPr="00A90DD0" w:rsidRDefault="002514DF" w:rsidP="00B34CF3">
      <w:pPr>
        <w:pStyle w:val="FigureNo"/>
        <w:keepNext w:val="0"/>
        <w:keepLines w:val="0"/>
      </w:pPr>
      <w:r w:rsidRPr="00A90DD0">
        <w:t>Gráfico 2</w:t>
      </w:r>
    </w:p>
    <w:p w14:paraId="53E2F739" w14:textId="2594995C" w:rsidR="00B34CF3" w:rsidRPr="00A90DD0" w:rsidRDefault="00B34CF3" w:rsidP="00B34CF3">
      <w:pPr>
        <w:pStyle w:val="Figuretitle"/>
        <w:keepNext w:val="0"/>
      </w:pPr>
      <w:r w:rsidRPr="00A90DD0">
        <w:rPr>
          <w:noProof/>
        </w:rPr>
        <w:drawing>
          <wp:inline distT="0" distB="0" distL="0" distR="0" wp14:anchorId="2351830D" wp14:editId="50CC1013">
            <wp:extent cx="4531809" cy="367954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5499" cy="3698781"/>
                    </a:xfrm>
                    <a:prstGeom prst="rect">
                      <a:avLst/>
                    </a:prstGeom>
                    <a:noFill/>
                  </pic:spPr>
                </pic:pic>
              </a:graphicData>
            </a:graphic>
          </wp:inline>
        </w:drawing>
      </w:r>
    </w:p>
    <w:p w14:paraId="59FEFDE4" w14:textId="77777777" w:rsidR="002514DF" w:rsidRPr="00A90DD0" w:rsidRDefault="002514DF" w:rsidP="002514DF">
      <w:pPr>
        <w:tabs>
          <w:tab w:val="clear" w:pos="567"/>
          <w:tab w:val="clear" w:pos="1134"/>
          <w:tab w:val="clear" w:pos="1701"/>
          <w:tab w:val="clear" w:pos="2268"/>
          <w:tab w:val="clear" w:pos="2835"/>
        </w:tabs>
        <w:overflowPunct/>
        <w:autoSpaceDE/>
        <w:autoSpaceDN/>
        <w:adjustRightInd/>
        <w:spacing w:before="0"/>
        <w:textAlignment w:val="auto"/>
        <w:rPr>
          <w:rFonts w:cstheme="minorHAnsi"/>
        </w:rPr>
      </w:pPr>
      <w:r w:rsidRPr="00A90DD0">
        <w:rPr>
          <w:rFonts w:cstheme="minorHAnsi"/>
        </w:rPr>
        <w:br w:type="page"/>
      </w:r>
    </w:p>
    <w:p w14:paraId="71F37F81" w14:textId="010D94F2" w:rsidR="002514DF" w:rsidRPr="00A90DD0" w:rsidRDefault="002514DF" w:rsidP="00B34CF3">
      <w:pPr>
        <w:pStyle w:val="Heading1"/>
      </w:pPr>
      <w:r w:rsidRPr="00A90DD0">
        <w:lastRenderedPageBreak/>
        <w:t>3</w:t>
      </w:r>
      <w:r w:rsidRPr="00A90DD0">
        <w:tab/>
        <w:t>Medidas de eficiencia (Anexo 2 de la Decisión 5 de la Conferencia de Plenipotenciarios)</w:t>
      </w:r>
    </w:p>
    <w:p w14:paraId="256F5EE4" w14:textId="13D58840" w:rsidR="002514DF" w:rsidRPr="00A90DD0" w:rsidRDefault="002514DF" w:rsidP="00063C7E">
      <w:r w:rsidRPr="00A90DD0">
        <w:t>3.1</w:t>
      </w:r>
      <w:r w:rsidRPr="00A90DD0">
        <w:tab/>
        <w:t xml:space="preserve">En el </w:t>
      </w:r>
      <w:r w:rsidR="00DE1029" w:rsidRPr="00A90DD0">
        <w:t>C</w:t>
      </w:r>
      <w:r w:rsidRPr="00A90DD0">
        <w:t xml:space="preserve">uadro 4 que figura en las páginas 6 y 7 se presentan las acciones emprendidas y el posible ahorro en el marco de las 27 medidas de eficiencia identificadas en el </w:t>
      </w:r>
      <w:r w:rsidR="00DE1029" w:rsidRPr="00A90DD0">
        <w:t>A</w:t>
      </w:r>
      <w:r w:rsidRPr="00A90DD0">
        <w:t>nexo 2 de la Decisión 5 (Rev. Dubái, 2018) para 2023, al 22 de marzo de 2024.</w:t>
      </w:r>
    </w:p>
    <w:p w14:paraId="3C982160" w14:textId="4FDBB979" w:rsidR="002514DF" w:rsidRPr="00A90DD0" w:rsidRDefault="002514DF" w:rsidP="00063C7E">
      <w:r w:rsidRPr="00A90DD0">
        <w:t>3.2</w:t>
      </w:r>
      <w:r w:rsidRPr="00A90DD0">
        <w:tab/>
        <w:t xml:space="preserve">En el </w:t>
      </w:r>
      <w:r w:rsidR="00DE1029" w:rsidRPr="00A90DD0">
        <w:t>C</w:t>
      </w:r>
      <w:r w:rsidRPr="00A90DD0">
        <w:t xml:space="preserve">uadro 5 que figura en las páginas 8 a 10 se presentan las acciones previstas y el posible ahorro en el marco de las 27 medidas de eficiencia identificadas en el </w:t>
      </w:r>
      <w:r w:rsidR="00DE1029" w:rsidRPr="00A90DD0">
        <w:t>A</w:t>
      </w:r>
      <w:r w:rsidRPr="00A90DD0">
        <w:t>nexo 2 de la Decisión 5 (Rev. Bucarest 2022) para 2024.</w:t>
      </w:r>
    </w:p>
    <w:p w14:paraId="334543D5" w14:textId="77777777" w:rsidR="002514DF" w:rsidRPr="00A90DD0" w:rsidRDefault="002514DF" w:rsidP="00063C7E">
      <w:pPr>
        <w:rPr>
          <w:rFonts w:cstheme="minorBidi"/>
        </w:rPr>
      </w:pPr>
      <w:r w:rsidRPr="00A90DD0">
        <w:rPr>
          <w:rFonts w:cstheme="minorBidi"/>
        </w:rPr>
        <w:t>La Secretaria General, el Vicesecretario General y los Directores de las Oficinas seguirán analizando esas medidas de eficiencia para proporcionar estimaciones más precisas del ahorro logrado durante la ejecución del presupuesto de 2024.</w:t>
      </w:r>
    </w:p>
    <w:p w14:paraId="034801B3" w14:textId="77777777" w:rsidR="002514DF" w:rsidRPr="00A90DD0" w:rsidRDefault="002514DF" w:rsidP="00063C7E"/>
    <w:p w14:paraId="7C75CFCB" w14:textId="77777777" w:rsidR="002514DF" w:rsidRPr="00A90DD0" w:rsidRDefault="002514DF" w:rsidP="002514DF">
      <w:pPr>
        <w:tabs>
          <w:tab w:val="clear" w:pos="567"/>
          <w:tab w:val="clear" w:pos="1134"/>
          <w:tab w:val="clear" w:pos="1701"/>
          <w:tab w:val="clear" w:pos="2268"/>
          <w:tab w:val="clear" w:pos="2835"/>
        </w:tabs>
        <w:overflowPunct/>
        <w:autoSpaceDE/>
        <w:autoSpaceDN/>
        <w:adjustRightInd/>
        <w:spacing w:before="0"/>
        <w:textAlignment w:val="auto"/>
        <w:sectPr w:rsidR="002514DF" w:rsidRPr="00A90DD0" w:rsidSect="00E0401D">
          <w:footerReference w:type="default" r:id="rId15"/>
          <w:headerReference w:type="first" r:id="rId16"/>
          <w:footerReference w:type="first" r:id="rId17"/>
          <w:pgSz w:w="11907" w:h="16834"/>
          <w:pgMar w:top="1418" w:right="1418" w:bottom="1418" w:left="1418" w:header="720" w:footer="720" w:gutter="0"/>
          <w:paperSrc w:first="286" w:other="286"/>
          <w:cols w:space="720"/>
          <w:titlePg/>
        </w:sectPr>
      </w:pPr>
    </w:p>
    <w:p w14:paraId="4EB19F8D" w14:textId="077ED050" w:rsidR="002514DF" w:rsidRPr="00A90DD0" w:rsidRDefault="002514DF" w:rsidP="00915ACC">
      <w:pPr>
        <w:pStyle w:val="AnnexNo"/>
        <w:spacing w:before="240"/>
      </w:pPr>
      <w:r w:rsidRPr="00A90DD0">
        <w:lastRenderedPageBreak/>
        <w:t xml:space="preserve">2023 </w:t>
      </w:r>
      <w:r w:rsidR="00D04B04" w:rsidRPr="00A90DD0">
        <w:t>–</w:t>
      </w:r>
      <w:r w:rsidRPr="00A90DD0">
        <w:t xml:space="preserve"> Anexo 2 de la Decisión 5 (Rev. Dubái, 2018)</w:t>
      </w:r>
    </w:p>
    <w:p w14:paraId="0F42B7EC" w14:textId="1890AEDB" w:rsidR="002514DF" w:rsidRPr="00A90DD0" w:rsidRDefault="002514DF" w:rsidP="00915ACC">
      <w:pPr>
        <w:pStyle w:val="TableNo"/>
        <w:keepNext w:val="0"/>
        <w:spacing w:before="240"/>
      </w:pPr>
      <w:r w:rsidRPr="00A90DD0">
        <w:t>Cuadro 4</w:t>
      </w:r>
    </w:p>
    <w:p w14:paraId="0190D1F7" w14:textId="006A4FB3" w:rsidR="00D04B04" w:rsidRPr="00A90DD0" w:rsidRDefault="00D04B04" w:rsidP="002514DF">
      <w:pPr>
        <w:spacing w:after="240"/>
        <w:jc w:val="center"/>
        <w:rPr>
          <w:rFonts w:asciiTheme="minorHAnsi" w:hAnsiTheme="minorHAnsi" w:cstheme="minorHAnsi"/>
        </w:rPr>
      </w:pPr>
      <w:r w:rsidRPr="00A90DD0">
        <w:rPr>
          <w:noProof/>
        </w:rPr>
        <w:drawing>
          <wp:inline distT="0" distB="0" distL="0" distR="0" wp14:anchorId="33A48A09" wp14:editId="2EEF3113">
            <wp:extent cx="8516203" cy="457884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11598" cy="4683897"/>
                    </a:xfrm>
                    <a:prstGeom prst="rect">
                      <a:avLst/>
                    </a:prstGeom>
                    <a:noFill/>
                    <a:ln>
                      <a:noFill/>
                    </a:ln>
                  </pic:spPr>
                </pic:pic>
              </a:graphicData>
            </a:graphic>
          </wp:inline>
        </w:drawing>
      </w:r>
    </w:p>
    <w:p w14:paraId="0D968818" w14:textId="5A220029" w:rsidR="002514DF" w:rsidRPr="00A90DD0" w:rsidRDefault="00D04B04" w:rsidP="00915ACC">
      <w:pPr>
        <w:pStyle w:val="TableNo"/>
        <w:spacing w:before="240"/>
      </w:pPr>
      <w:r w:rsidRPr="00A90DD0">
        <w:lastRenderedPageBreak/>
        <w:t>Cuadro 4 (continuación)</w:t>
      </w:r>
    </w:p>
    <w:p w14:paraId="1AC4ED81" w14:textId="6574EE15" w:rsidR="002514DF" w:rsidRPr="00A90DD0" w:rsidRDefault="00D04B04" w:rsidP="00DE7067">
      <w:pPr>
        <w:pStyle w:val="Tabletitle"/>
      </w:pPr>
      <w:r w:rsidRPr="00A90DD0">
        <w:rPr>
          <w:b w:val="0"/>
        </w:rPr>
        <w:t xml:space="preserve"> </w:t>
      </w:r>
      <w:r w:rsidRPr="00A90DD0">
        <w:rPr>
          <w:noProof/>
        </w:rPr>
        <w:drawing>
          <wp:inline distT="0" distB="0" distL="0" distR="0" wp14:anchorId="0FB035B1" wp14:editId="026CE2CD">
            <wp:extent cx="8515350" cy="54775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15350" cy="5477510"/>
                    </a:xfrm>
                    <a:prstGeom prst="rect">
                      <a:avLst/>
                    </a:prstGeom>
                    <a:noFill/>
                    <a:ln>
                      <a:noFill/>
                    </a:ln>
                  </pic:spPr>
                </pic:pic>
              </a:graphicData>
            </a:graphic>
          </wp:inline>
        </w:drawing>
      </w:r>
      <w:r w:rsidR="002514DF" w:rsidRPr="00A90DD0">
        <w:rPr>
          <w:rFonts w:asciiTheme="minorHAnsi" w:hAnsiTheme="minorHAnsi" w:cstheme="minorHAnsi"/>
          <w:sz w:val="16"/>
          <w:szCs w:val="16"/>
        </w:rPr>
        <w:br w:type="page"/>
      </w:r>
    </w:p>
    <w:p w14:paraId="0FD83B7E" w14:textId="09D89D0B" w:rsidR="002514DF" w:rsidRPr="00A90DD0" w:rsidRDefault="002514DF" w:rsidP="00915ACC">
      <w:pPr>
        <w:pStyle w:val="AppendixNo"/>
        <w:spacing w:before="240"/>
      </w:pPr>
      <w:r w:rsidRPr="00A90DD0">
        <w:lastRenderedPageBreak/>
        <w:t xml:space="preserve">2024 </w:t>
      </w:r>
      <w:r w:rsidR="00DE7067" w:rsidRPr="00A90DD0">
        <w:t>–</w:t>
      </w:r>
      <w:r w:rsidRPr="00A90DD0">
        <w:t xml:space="preserve"> Anexo 2 de la Decisión 5 (Rev. Bucarest, 2022)</w:t>
      </w:r>
    </w:p>
    <w:p w14:paraId="756F0B24" w14:textId="26458188" w:rsidR="002514DF" w:rsidRPr="00A90DD0" w:rsidRDefault="002514DF" w:rsidP="00915ACC">
      <w:pPr>
        <w:pStyle w:val="TableNo"/>
        <w:keepNext w:val="0"/>
        <w:spacing w:before="240"/>
      </w:pPr>
      <w:r w:rsidRPr="00A90DD0">
        <w:t>Cuadro 5</w:t>
      </w:r>
    </w:p>
    <w:p w14:paraId="53870B94" w14:textId="7B0AD6C7" w:rsidR="00915ACC" w:rsidRPr="00A90DD0" w:rsidRDefault="00915ACC" w:rsidP="00915ACC">
      <w:pPr>
        <w:jc w:val="center"/>
      </w:pPr>
      <w:r w:rsidRPr="00A90DD0">
        <w:rPr>
          <w:noProof/>
        </w:rPr>
        <w:drawing>
          <wp:inline distT="0" distB="0" distL="0" distR="0" wp14:anchorId="4CFC3FBD" wp14:editId="7240A189">
            <wp:extent cx="8426690" cy="5060698"/>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3385" cy="5088741"/>
                    </a:xfrm>
                    <a:prstGeom prst="rect">
                      <a:avLst/>
                    </a:prstGeom>
                    <a:noFill/>
                    <a:ln>
                      <a:noFill/>
                    </a:ln>
                  </pic:spPr>
                </pic:pic>
              </a:graphicData>
            </a:graphic>
          </wp:inline>
        </w:drawing>
      </w:r>
    </w:p>
    <w:p w14:paraId="72C517E7" w14:textId="537238AE" w:rsidR="00915ACC" w:rsidRPr="00A90DD0" w:rsidRDefault="00915ACC" w:rsidP="00915ACC">
      <w:pPr>
        <w:pStyle w:val="TableNo"/>
        <w:spacing w:before="240"/>
      </w:pPr>
      <w:r w:rsidRPr="00A90DD0">
        <w:lastRenderedPageBreak/>
        <w:t>Cuadro 5 (continuación)</w:t>
      </w:r>
    </w:p>
    <w:p w14:paraId="7973284E" w14:textId="235FF0E0" w:rsidR="00915ACC" w:rsidRPr="00A90DD0" w:rsidRDefault="00915ACC" w:rsidP="00915ACC">
      <w:pPr>
        <w:jc w:val="center"/>
      </w:pPr>
      <w:r w:rsidRPr="00A90DD0">
        <w:rPr>
          <w:noProof/>
        </w:rPr>
        <w:drawing>
          <wp:inline distT="0" distB="0" distL="0" distR="0" wp14:anchorId="0383E46F" wp14:editId="5E093C6C">
            <wp:extent cx="8439003" cy="547497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446782" cy="5480017"/>
                    </a:xfrm>
                    <a:prstGeom prst="rect">
                      <a:avLst/>
                    </a:prstGeom>
                    <a:noFill/>
                    <a:ln>
                      <a:noFill/>
                    </a:ln>
                  </pic:spPr>
                </pic:pic>
              </a:graphicData>
            </a:graphic>
          </wp:inline>
        </w:drawing>
      </w:r>
    </w:p>
    <w:p w14:paraId="049A553B" w14:textId="1F44061C" w:rsidR="00915ACC" w:rsidRPr="00A90DD0" w:rsidRDefault="00915ACC" w:rsidP="00915ACC">
      <w:pPr>
        <w:pStyle w:val="TableNo"/>
        <w:spacing w:before="240"/>
      </w:pPr>
      <w:r w:rsidRPr="00A90DD0">
        <w:lastRenderedPageBreak/>
        <w:t>Cuadro 5 (continuación)</w:t>
      </w:r>
    </w:p>
    <w:p w14:paraId="565F6A1E" w14:textId="18C4255E" w:rsidR="00915ACC" w:rsidRPr="00A90DD0" w:rsidRDefault="00915ACC" w:rsidP="00915ACC">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noProof/>
        </w:rPr>
      </w:pPr>
      <w:r w:rsidRPr="00A90DD0">
        <w:rPr>
          <w:noProof/>
        </w:rPr>
        <w:drawing>
          <wp:inline distT="0" distB="0" distL="0" distR="0" wp14:anchorId="19A2D341" wp14:editId="5FA41F81">
            <wp:extent cx="8888730" cy="26974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88730" cy="2697480"/>
                    </a:xfrm>
                    <a:prstGeom prst="rect">
                      <a:avLst/>
                    </a:prstGeom>
                    <a:noFill/>
                    <a:ln>
                      <a:noFill/>
                    </a:ln>
                  </pic:spPr>
                </pic:pic>
              </a:graphicData>
            </a:graphic>
          </wp:inline>
        </w:drawing>
      </w:r>
    </w:p>
    <w:p w14:paraId="0CDCE340" w14:textId="77777777" w:rsidR="002514DF" w:rsidRPr="00A90DD0" w:rsidRDefault="002514DF" w:rsidP="00915ACC">
      <w:pPr>
        <w:pStyle w:val="Reasons"/>
      </w:pPr>
    </w:p>
    <w:p w14:paraId="07B63D83" w14:textId="77777777" w:rsidR="002514DF" w:rsidRPr="00A90DD0" w:rsidRDefault="002514DF" w:rsidP="00915ACC">
      <w:pPr>
        <w:jc w:val="center"/>
      </w:pPr>
      <w:r w:rsidRPr="00A90DD0">
        <w:t>______________</w:t>
      </w:r>
    </w:p>
    <w:sectPr w:rsidR="002514DF" w:rsidRPr="00A90DD0" w:rsidSect="002514DF">
      <w:footerReference w:type="default" r:id="rId23"/>
      <w:headerReference w:type="first" r:id="rId24"/>
      <w:footerReference w:type="first" r:id="rId25"/>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8687"/>
    </w:tblGrid>
    <w:tr w:rsidR="002514DF" w:rsidRPr="00784011" w14:paraId="397E7F95" w14:textId="77777777" w:rsidTr="00A46144">
      <w:trPr>
        <w:jc w:val="center"/>
      </w:trPr>
      <w:tc>
        <w:tcPr>
          <w:tcW w:w="1236" w:type="dxa"/>
          <w:vAlign w:val="center"/>
        </w:tcPr>
        <w:p w14:paraId="43F4FA33" w14:textId="089031A6" w:rsidR="002514DF" w:rsidRDefault="009B689C" w:rsidP="00EE49E8">
          <w:pPr>
            <w:pStyle w:val="Header"/>
            <w:jc w:val="left"/>
            <w:rPr>
              <w:noProof/>
            </w:rPr>
          </w:pPr>
          <w:r>
            <w:rPr>
              <w:noProof/>
            </w:rPr>
            <w:t>R</w:t>
          </w:r>
          <w:r w:rsidR="00B0689B">
            <w:rPr>
              <w:noProof/>
            </w:rPr>
            <w:t>2400727</w:t>
          </w:r>
        </w:p>
      </w:tc>
      <w:tc>
        <w:tcPr>
          <w:tcW w:w="8687" w:type="dxa"/>
        </w:tcPr>
        <w:p w14:paraId="282F4BDF" w14:textId="63F79703" w:rsidR="002514DF" w:rsidRDefault="002514DF">
          <w:pPr>
            <w:pStyle w:val="Header"/>
            <w:tabs>
              <w:tab w:val="left" w:pos="7584"/>
              <w:tab w:val="left" w:pos="8151"/>
              <w:tab w:val="right" w:pos="9285"/>
              <w:tab w:val="right" w:pos="10135"/>
              <w:tab w:val="right" w:pos="10278"/>
              <w:tab w:val="right" w:pos="10561"/>
            </w:tabs>
            <w:jc w:val="left"/>
            <w:rPr>
              <w:rFonts w:ascii="Arial" w:hAnsi="Arial" w:cs="Arial"/>
              <w:b/>
              <w:bCs/>
              <w:szCs w:val="18"/>
            </w:rPr>
          </w:pPr>
          <w:r>
            <w:rPr>
              <w:bCs/>
            </w:rPr>
            <w:tab/>
          </w:r>
          <w:r w:rsidRPr="00623AE3">
            <w:rPr>
              <w:bCs/>
            </w:rPr>
            <w:t>C24/9-</w:t>
          </w:r>
          <w:r w:rsidR="00B0689B">
            <w:rPr>
              <w:bCs/>
            </w:rPr>
            <w:t>S</w:t>
          </w:r>
          <w:r>
            <w:rPr>
              <w:bCs/>
            </w:rPr>
            <w:tab/>
          </w:r>
          <w:r>
            <w:fldChar w:fldCharType="begin"/>
          </w:r>
          <w:r>
            <w:instrText>PAGE</w:instrText>
          </w:r>
          <w:r>
            <w:fldChar w:fldCharType="separate"/>
          </w:r>
          <w:r>
            <w:t>1</w:t>
          </w:r>
          <w:r>
            <w:rPr>
              <w:noProof/>
            </w:rPr>
            <w:fldChar w:fldCharType="end"/>
          </w:r>
        </w:p>
      </w:tc>
    </w:tr>
  </w:tbl>
  <w:p w14:paraId="44F13B3D" w14:textId="27FADD79" w:rsidR="002514DF" w:rsidRPr="00A46144" w:rsidRDefault="002514DF" w:rsidP="00A46144">
    <w:pPr>
      <w:pStyle w:val="Footer"/>
      <w:rPr>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514DF" w:rsidRPr="00784011" w14:paraId="172C63E9" w14:textId="77777777" w:rsidTr="00EE49E8">
      <w:trPr>
        <w:jc w:val="center"/>
      </w:trPr>
      <w:tc>
        <w:tcPr>
          <w:tcW w:w="1803" w:type="dxa"/>
          <w:vAlign w:val="center"/>
        </w:tcPr>
        <w:p w14:paraId="312B7EF6" w14:textId="77777777" w:rsidR="002514DF" w:rsidRDefault="009B689C">
          <w:pPr>
            <w:pStyle w:val="Header"/>
            <w:jc w:val="left"/>
            <w:rPr>
              <w:noProof/>
            </w:rPr>
          </w:pPr>
          <w:hyperlink r:id="rId1" w:history="1">
            <w:r w:rsidR="002514DF" w:rsidRPr="00A514A4">
              <w:rPr>
                <w:rStyle w:val="Hyperlink"/>
                <w:szCs w:val="14"/>
              </w:rPr>
              <w:t>www.itu.int/council</w:t>
            </w:r>
          </w:hyperlink>
        </w:p>
      </w:tc>
      <w:tc>
        <w:tcPr>
          <w:tcW w:w="8261" w:type="dxa"/>
        </w:tcPr>
        <w:p w14:paraId="6CB281D9" w14:textId="039C920A" w:rsidR="002514DF" w:rsidRDefault="002514DF">
          <w:pPr>
            <w:pStyle w:val="Header"/>
            <w:tabs>
              <w:tab w:val="left" w:pos="7070"/>
              <w:tab w:val="right" w:pos="8505"/>
              <w:tab w:val="right" w:pos="9639"/>
            </w:tabs>
            <w:jc w:val="left"/>
            <w:rPr>
              <w:rFonts w:ascii="Arial" w:hAnsi="Arial" w:cs="Arial"/>
              <w:b/>
              <w:bCs/>
              <w:szCs w:val="18"/>
            </w:rPr>
          </w:pPr>
          <w:r>
            <w:rPr>
              <w:bCs/>
            </w:rPr>
            <w:tab/>
          </w:r>
          <w:r w:rsidRPr="00623AE3">
            <w:rPr>
              <w:bCs/>
            </w:rPr>
            <w:t>C24/9-</w:t>
          </w:r>
          <w:r w:rsidR="00915ACC">
            <w:rPr>
              <w:bCs/>
            </w:rPr>
            <w:t>S</w:t>
          </w:r>
          <w:r>
            <w:rPr>
              <w:bCs/>
            </w:rPr>
            <w:tab/>
          </w:r>
          <w:r>
            <w:fldChar w:fldCharType="begin"/>
          </w:r>
          <w:r>
            <w:instrText>PAGE</w:instrText>
          </w:r>
          <w:r>
            <w:fldChar w:fldCharType="separate"/>
          </w:r>
          <w:r>
            <w:t>1</w:t>
          </w:r>
          <w:r>
            <w:rPr>
              <w:noProof/>
            </w:rPr>
            <w:fldChar w:fldCharType="end"/>
          </w:r>
        </w:p>
      </w:tc>
    </w:tr>
  </w:tbl>
  <w:p w14:paraId="28D12ED6" w14:textId="6D3BBE27" w:rsidR="00A46144" w:rsidRPr="00A46144" w:rsidRDefault="00A46144" w:rsidP="00A46144">
    <w:pPr>
      <w:pStyle w:val="Footer"/>
      <w:rPr>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981"/>
    </w:tblGrid>
    <w:tr w:rsidR="002F122D" w:rsidRPr="00784011" w14:paraId="0FEBE4D5" w14:textId="77777777" w:rsidTr="00D11EC0">
      <w:trPr>
        <w:jc w:val="center"/>
      </w:trPr>
      <w:tc>
        <w:tcPr>
          <w:tcW w:w="1803" w:type="dxa"/>
          <w:vAlign w:val="center"/>
        </w:tcPr>
        <w:p w14:paraId="2181CBCF" w14:textId="7F557F75" w:rsidR="002F122D" w:rsidRDefault="009B689C" w:rsidP="002F122D">
          <w:pPr>
            <w:pStyle w:val="Header"/>
            <w:jc w:val="left"/>
            <w:rPr>
              <w:noProof/>
            </w:rPr>
          </w:pPr>
          <w:r>
            <w:rPr>
              <w:noProof/>
            </w:rPr>
            <w:t>R</w:t>
          </w:r>
          <w:r w:rsidR="002F122D">
            <w:rPr>
              <w:noProof/>
            </w:rPr>
            <w:t>2400727</w:t>
          </w:r>
        </w:p>
      </w:tc>
      <w:tc>
        <w:tcPr>
          <w:tcW w:w="8981" w:type="dxa"/>
        </w:tcPr>
        <w:p w14:paraId="0B7483AB" w14:textId="77777777" w:rsidR="002F122D" w:rsidRDefault="002F122D" w:rsidP="002F122D">
          <w:pPr>
            <w:pStyle w:val="Header"/>
            <w:tabs>
              <w:tab w:val="left" w:pos="7584"/>
              <w:tab w:val="left" w:pos="8151"/>
              <w:tab w:val="right" w:pos="9285"/>
              <w:tab w:val="right" w:pos="10135"/>
              <w:tab w:val="right" w:pos="10278"/>
              <w:tab w:val="right" w:pos="10561"/>
            </w:tabs>
            <w:jc w:val="left"/>
            <w:rPr>
              <w:rFonts w:ascii="Arial" w:hAnsi="Arial" w:cs="Arial"/>
              <w:b/>
              <w:bCs/>
              <w:szCs w:val="18"/>
            </w:rPr>
          </w:pPr>
          <w:r>
            <w:rPr>
              <w:bCs/>
            </w:rPr>
            <w:tab/>
          </w:r>
          <w:r w:rsidRPr="00623AE3">
            <w:rPr>
              <w:bCs/>
            </w:rPr>
            <w:t>C24/9-</w:t>
          </w:r>
          <w:r>
            <w:rPr>
              <w:bCs/>
            </w:rPr>
            <w:t>S</w:t>
          </w:r>
          <w:r>
            <w:rPr>
              <w:bCs/>
            </w:rPr>
            <w:tab/>
          </w:r>
          <w:r>
            <w:fldChar w:fldCharType="begin"/>
          </w:r>
          <w:r>
            <w:instrText>PAGE</w:instrText>
          </w:r>
          <w:r>
            <w:fldChar w:fldCharType="separate"/>
          </w:r>
          <w:r>
            <w:t>5</w:t>
          </w:r>
          <w:r>
            <w:rPr>
              <w:noProof/>
            </w:rPr>
            <w:fldChar w:fldCharType="end"/>
          </w:r>
        </w:p>
      </w:tc>
    </w:tr>
  </w:tbl>
  <w:p w14:paraId="6F691002" w14:textId="0FC2DD45" w:rsidR="00760F1C" w:rsidRPr="00A46144" w:rsidRDefault="00760F1C" w:rsidP="002F122D">
    <w:pPr>
      <w:pStyle w:val="Footer"/>
      <w:rPr>
        <w:szCs w:val="18"/>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CC1985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/xx-</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514DF" w:rsidRPr="00784011" w14:paraId="2E167DC4" w14:textId="77777777" w:rsidTr="00180E08">
      <w:trPr>
        <w:trHeight w:val="1104"/>
        <w:jc w:val="center"/>
      </w:trPr>
      <w:tc>
        <w:tcPr>
          <w:tcW w:w="4390" w:type="dxa"/>
          <w:vAlign w:val="center"/>
        </w:tcPr>
        <w:p w14:paraId="7558434C" w14:textId="77777777" w:rsidR="002514DF" w:rsidRPr="009621F8" w:rsidRDefault="002514DF" w:rsidP="00AD3606">
          <w:pPr>
            <w:pStyle w:val="Header"/>
            <w:jc w:val="left"/>
            <w:rPr>
              <w:rFonts w:ascii="Arial" w:hAnsi="Arial" w:cs="Arial"/>
              <w:b/>
              <w:bCs/>
              <w:color w:val="009CD6"/>
              <w:sz w:val="36"/>
              <w:szCs w:val="36"/>
            </w:rPr>
          </w:pPr>
          <w:r>
            <w:rPr>
              <w:noProof/>
            </w:rPr>
            <w:drawing>
              <wp:inline distT="0" distB="0" distL="0" distR="0" wp14:anchorId="028102D9" wp14:editId="2A56FF46">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61AB5B7" w14:textId="77777777" w:rsidR="002514DF" w:rsidRDefault="002514DF" w:rsidP="00AD3606">
          <w:pPr>
            <w:pStyle w:val="Header"/>
            <w:jc w:val="right"/>
            <w:rPr>
              <w:rFonts w:ascii="Arial" w:hAnsi="Arial" w:cs="Arial"/>
              <w:b/>
              <w:bCs/>
              <w:color w:val="009CD6"/>
              <w:szCs w:val="18"/>
            </w:rPr>
          </w:pPr>
        </w:p>
        <w:p w14:paraId="59BA181A" w14:textId="77777777" w:rsidR="002514DF" w:rsidRDefault="002514DF" w:rsidP="00AD3606">
          <w:pPr>
            <w:pStyle w:val="Header"/>
            <w:jc w:val="right"/>
            <w:rPr>
              <w:rFonts w:ascii="Arial" w:hAnsi="Arial" w:cs="Arial"/>
              <w:b/>
              <w:bCs/>
              <w:color w:val="009CD6"/>
              <w:szCs w:val="18"/>
            </w:rPr>
          </w:pPr>
        </w:p>
        <w:p w14:paraId="533B897E" w14:textId="77777777" w:rsidR="002514DF" w:rsidRPr="00784011" w:rsidRDefault="002514DF"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2FE39D9F" w14:textId="77777777" w:rsidR="002514DF" w:rsidRDefault="002514DF">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668BDBFF" wp14:editId="1E83C5FE">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5C4C6"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830A4"/>
    <w:multiLevelType w:val="hybridMultilevel"/>
    <w:tmpl w:val="486000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886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63C7E"/>
    <w:rsid w:val="00093EEB"/>
    <w:rsid w:val="000B0D00"/>
    <w:rsid w:val="000B7C15"/>
    <w:rsid w:val="000D1D0F"/>
    <w:rsid w:val="000F5290"/>
    <w:rsid w:val="0010165C"/>
    <w:rsid w:val="00146BFB"/>
    <w:rsid w:val="001559F5"/>
    <w:rsid w:val="001F14A2"/>
    <w:rsid w:val="002514DF"/>
    <w:rsid w:val="002801AA"/>
    <w:rsid w:val="002C4676"/>
    <w:rsid w:val="002C70B0"/>
    <w:rsid w:val="002F122D"/>
    <w:rsid w:val="002F3CC4"/>
    <w:rsid w:val="003273A4"/>
    <w:rsid w:val="003C184C"/>
    <w:rsid w:val="00473962"/>
    <w:rsid w:val="004B5D49"/>
    <w:rsid w:val="00513630"/>
    <w:rsid w:val="00541AD0"/>
    <w:rsid w:val="00560125"/>
    <w:rsid w:val="00585553"/>
    <w:rsid w:val="005B34D9"/>
    <w:rsid w:val="005D0CCF"/>
    <w:rsid w:val="005E523C"/>
    <w:rsid w:val="005F3BCB"/>
    <w:rsid w:val="005F410F"/>
    <w:rsid w:val="0060149A"/>
    <w:rsid w:val="00601924"/>
    <w:rsid w:val="006447EA"/>
    <w:rsid w:val="0064481D"/>
    <w:rsid w:val="0064731F"/>
    <w:rsid w:val="00655DC5"/>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15ACC"/>
    <w:rsid w:val="00927F93"/>
    <w:rsid w:val="00956E77"/>
    <w:rsid w:val="009B689C"/>
    <w:rsid w:val="009F4811"/>
    <w:rsid w:val="00A46144"/>
    <w:rsid w:val="00A90DD0"/>
    <w:rsid w:val="00AA390C"/>
    <w:rsid w:val="00B0200A"/>
    <w:rsid w:val="00B0689B"/>
    <w:rsid w:val="00B34CF3"/>
    <w:rsid w:val="00B574DB"/>
    <w:rsid w:val="00B826C2"/>
    <w:rsid w:val="00B8298E"/>
    <w:rsid w:val="00BD0723"/>
    <w:rsid w:val="00BD2518"/>
    <w:rsid w:val="00BF1D1C"/>
    <w:rsid w:val="00C20C59"/>
    <w:rsid w:val="00C2727F"/>
    <w:rsid w:val="00C45387"/>
    <w:rsid w:val="00C538FC"/>
    <w:rsid w:val="00C55B1F"/>
    <w:rsid w:val="00CB421D"/>
    <w:rsid w:val="00CF1A67"/>
    <w:rsid w:val="00D03FCF"/>
    <w:rsid w:val="00D04B04"/>
    <w:rsid w:val="00D2750E"/>
    <w:rsid w:val="00D43B85"/>
    <w:rsid w:val="00D50A36"/>
    <w:rsid w:val="00D62446"/>
    <w:rsid w:val="00DA4EA2"/>
    <w:rsid w:val="00DC3D3E"/>
    <w:rsid w:val="00DE1029"/>
    <w:rsid w:val="00DE2C90"/>
    <w:rsid w:val="00DE3B24"/>
    <w:rsid w:val="00DE7067"/>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5ACC"/>
    <w:rPr>
      <w:color w:val="605E5C"/>
      <w:shd w:val="clear" w:color="auto" w:fill="E1DFDD"/>
    </w:rPr>
  </w:style>
  <w:style w:type="character" w:customStyle="1" w:styleId="FooterChar">
    <w:name w:val="Footer Char"/>
    <w:basedOn w:val="DefaultParagraphFont"/>
    <w:link w:val="Footer"/>
    <w:uiPriority w:val="99"/>
    <w:rsid w:val="00A46144"/>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890630">
      <w:bodyDiv w:val="1"/>
      <w:marLeft w:val="0"/>
      <w:marRight w:val="0"/>
      <w:marTop w:val="0"/>
      <w:marBottom w:val="0"/>
      <w:divBdr>
        <w:top w:val="none" w:sz="0" w:space="0" w:color="auto"/>
        <w:left w:val="none" w:sz="0" w:space="0" w:color="auto"/>
        <w:bottom w:val="none" w:sz="0" w:space="0" w:color="auto"/>
        <w:right w:val="none" w:sz="0" w:space="0" w:color="auto"/>
      </w:divBdr>
    </w:div>
    <w:div w:id="18137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S.pdf" TargetMode="External"/><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hyperlink" Target="https://www.itu.int/en/council/Documents/basic-texts/DEC-005-S.pdf" TargetMode="Externa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yperlink" Target="https://www.itu.int/md/S23-CL-C-0115/es" TargetMode="External"/><Relationship Id="rId14" Type="http://schemas.openxmlformats.org/officeDocument/2006/relationships/image" Target="media/image5.png"/><Relationship Id="rId22" Type="http://schemas.openxmlformats.org/officeDocument/2006/relationships/image" Target="media/image11.e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1044</Words>
  <Characters>5405</Characters>
  <Application>Microsoft Office Word</Application>
  <DocSecurity>0</DocSecurity>
  <Lines>45</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6437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2024-05-24T10:38:00Z</dcterms:created>
  <dcterms:modified xsi:type="dcterms:W3CDTF">2024-05-24T10:38:00Z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