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1FFA8914">
        <w:trPr>
          <w:cantSplit/>
          <w:trHeight w:val="23"/>
        </w:trPr>
        <w:tc>
          <w:tcPr>
            <w:tcW w:w="3969" w:type="dxa"/>
            <w:vMerge w:val="restart"/>
            <w:tcMar>
              <w:left w:w="0" w:type="dxa"/>
            </w:tcMar>
          </w:tcPr>
          <w:p w14:paraId="60A806D3" w14:textId="782FAF34" w:rsidR="00AD3606" w:rsidRPr="00E85629" w:rsidRDefault="036F309F" w:rsidP="000D0E33">
            <w:pPr>
              <w:tabs>
                <w:tab w:val="left" w:pos="851"/>
              </w:tabs>
              <w:rPr>
                <w:b/>
                <w:bCs/>
              </w:rPr>
            </w:pPr>
            <w:bookmarkStart w:id="0" w:name="dmeeting"/>
            <w:bookmarkStart w:id="1" w:name="dnum"/>
            <w:bookmarkStart w:id="2" w:name="_Hlk133421839"/>
            <w:bookmarkStart w:id="3" w:name="_Hlk133421856"/>
            <w:bookmarkStart w:id="4" w:name="_Hlk133422370"/>
            <w:bookmarkStart w:id="5" w:name="_Hlk133586559"/>
            <w:r w:rsidRPr="1FFA8914">
              <w:rPr>
                <w:b/>
                <w:bCs/>
              </w:rPr>
              <w:t xml:space="preserve">Agenda item: </w:t>
            </w:r>
            <w:r w:rsidR="52C2D338" w:rsidRPr="1FFA8914">
              <w:rPr>
                <w:b/>
                <w:bCs/>
              </w:rPr>
              <w:t>PL 2</w:t>
            </w:r>
          </w:p>
        </w:tc>
        <w:tc>
          <w:tcPr>
            <w:tcW w:w="5245" w:type="dxa"/>
          </w:tcPr>
          <w:p w14:paraId="291AB2A2" w14:textId="3A17C934"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1A575F">
              <w:rPr>
                <w:b/>
              </w:rPr>
              <w:t>17</w:t>
            </w:r>
            <w:r>
              <w:rPr>
                <w:b/>
              </w:rPr>
              <w:t>-E</w:t>
            </w:r>
          </w:p>
        </w:tc>
      </w:tr>
      <w:tr w:rsidR="00AD3606" w:rsidRPr="00813E5E" w14:paraId="789B45BA" w14:textId="77777777" w:rsidTr="1FFA8914">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12232BB5" w:rsidR="00AD3606" w:rsidRPr="00E85629" w:rsidRDefault="000D0E33" w:rsidP="00AD3606">
            <w:pPr>
              <w:tabs>
                <w:tab w:val="left" w:pos="851"/>
              </w:tabs>
              <w:spacing w:before="0"/>
              <w:jc w:val="right"/>
              <w:rPr>
                <w:b/>
              </w:rPr>
            </w:pPr>
            <w:r>
              <w:rPr>
                <w:b/>
              </w:rPr>
              <w:t>6 May</w:t>
            </w:r>
            <w:r w:rsidR="00AD3606">
              <w:rPr>
                <w:b/>
              </w:rPr>
              <w:t xml:space="preserve"> 202</w:t>
            </w:r>
            <w:r w:rsidR="00E23618">
              <w:rPr>
                <w:b/>
              </w:rPr>
              <w:t>4</w:t>
            </w:r>
          </w:p>
        </w:tc>
      </w:tr>
      <w:tr w:rsidR="00AD3606" w:rsidRPr="00813E5E" w14:paraId="58A84C4A" w14:textId="77777777" w:rsidTr="1FFA8914">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1FFA8914">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1FFA8914">
        <w:trPr>
          <w:cantSplit/>
        </w:trPr>
        <w:tc>
          <w:tcPr>
            <w:tcW w:w="9214" w:type="dxa"/>
            <w:gridSpan w:val="2"/>
            <w:tcMar>
              <w:left w:w="0" w:type="dxa"/>
            </w:tcMar>
          </w:tcPr>
          <w:p w14:paraId="4E7CDB90" w14:textId="77777777" w:rsidR="00AD3606" w:rsidRPr="006850BE" w:rsidRDefault="00AD3606" w:rsidP="00895AE6">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1FFA8914">
        <w:trPr>
          <w:cantSplit/>
        </w:trPr>
        <w:tc>
          <w:tcPr>
            <w:tcW w:w="9214" w:type="dxa"/>
            <w:gridSpan w:val="2"/>
            <w:tcMar>
              <w:left w:w="0" w:type="dxa"/>
            </w:tcMar>
          </w:tcPr>
          <w:p w14:paraId="47B91AA8" w14:textId="519A13E3" w:rsidR="00AD3606" w:rsidRPr="006850BE" w:rsidRDefault="00B80F94" w:rsidP="00895AE6">
            <w:pPr>
              <w:pStyle w:val="Subtitle1"/>
              <w:framePr w:hSpace="0" w:wrap="auto" w:xAlign="left" w:yAlign="inline"/>
            </w:pPr>
            <w:bookmarkStart w:id="9" w:name="dtitle1" w:colFirst="0" w:colLast="0"/>
            <w:bookmarkEnd w:id="8"/>
            <w:r>
              <w:t>IMPLEMENTATION OF THE “ONE ITU” CONCEPT</w:t>
            </w:r>
          </w:p>
        </w:tc>
      </w:tr>
      <w:tr w:rsidR="00AD3606" w:rsidRPr="00813E5E" w14:paraId="1F564D2D" w14:textId="77777777" w:rsidTr="1FFA8914">
        <w:trPr>
          <w:cantSplit/>
        </w:trPr>
        <w:tc>
          <w:tcPr>
            <w:tcW w:w="9214" w:type="dxa"/>
            <w:gridSpan w:val="2"/>
            <w:tcBorders>
              <w:top w:val="single" w:sz="4" w:space="0" w:color="auto"/>
              <w:bottom w:val="single" w:sz="4" w:space="0" w:color="auto"/>
            </w:tcBorders>
            <w:tcMar>
              <w:left w:w="0" w:type="dxa"/>
            </w:tcMar>
          </w:tcPr>
          <w:p w14:paraId="7AD73B47" w14:textId="35B7AB26" w:rsidR="00AD3606" w:rsidRPr="00F16BAB" w:rsidRDefault="00F16BAB" w:rsidP="00F16BAB">
            <w:pPr>
              <w:spacing w:before="160"/>
              <w:rPr>
                <w:b/>
                <w:bCs/>
                <w:sz w:val="26"/>
                <w:szCs w:val="26"/>
              </w:rPr>
            </w:pPr>
            <w:r w:rsidRPr="00F16BAB">
              <w:rPr>
                <w:b/>
                <w:bCs/>
                <w:sz w:val="26"/>
                <w:szCs w:val="26"/>
              </w:rPr>
              <w:t>Purpose</w:t>
            </w:r>
          </w:p>
          <w:p w14:paraId="2E09FE8B" w14:textId="6EFF110C" w:rsidR="00AD3606" w:rsidRPr="00813E5E" w:rsidRDefault="00FB52F4" w:rsidP="00A93D44">
            <w:pPr>
              <w:jc w:val="both"/>
            </w:pPr>
            <w:r w:rsidRPr="00FB52F4">
              <w:t xml:space="preserve">This report is on the implementation of the concept of "One ITU" which is submitted to the 2024 session of the Council as per the recommendation of the </w:t>
            </w:r>
            <w:r w:rsidR="000D0E33">
              <w:t xml:space="preserve">2022 </w:t>
            </w:r>
            <w:r w:rsidRPr="00FB52F4">
              <w:t>Plenipotentiary Conference (PP-22).</w:t>
            </w:r>
          </w:p>
          <w:p w14:paraId="5076D5C4" w14:textId="77777777" w:rsidR="00AD3606" w:rsidRPr="00F16BAB" w:rsidRDefault="00AD3606" w:rsidP="00A93D44">
            <w:pPr>
              <w:spacing w:before="160"/>
              <w:jc w:val="both"/>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79F38DAD" w14:textId="62EA8764" w:rsidR="00AD3606" w:rsidRPr="00484009" w:rsidRDefault="007348C1" w:rsidP="00A93D44">
            <w:pPr>
              <w:jc w:val="both"/>
            </w:pPr>
            <w:r>
              <w:t xml:space="preserve">As instructed by PP-22, </w:t>
            </w:r>
            <w:r w:rsidR="007F3F1D">
              <w:t xml:space="preserve">the </w:t>
            </w:r>
            <w:r>
              <w:t xml:space="preserve">Council </w:t>
            </w:r>
            <w:r w:rsidR="00585B71">
              <w:t xml:space="preserve">is invited </w:t>
            </w:r>
            <w:r w:rsidR="5A25B618">
              <w:t xml:space="preserve">to </w:t>
            </w:r>
            <w:r w:rsidR="5A25B618" w:rsidRPr="000D0E33">
              <w:rPr>
                <w:b/>
                <w:bCs/>
              </w:rPr>
              <w:t>consider</w:t>
            </w:r>
            <w:r w:rsidR="5A25B618">
              <w:t xml:space="preserve"> </w:t>
            </w:r>
            <w:r>
              <w:t xml:space="preserve">the report and </w:t>
            </w:r>
            <w:r w:rsidRPr="03CA3A62">
              <w:rPr>
                <w:b/>
                <w:bCs/>
              </w:rPr>
              <w:t>report</w:t>
            </w:r>
            <w:r>
              <w:t xml:space="preserve"> back to the next Plenipotentiary Conference (PP-26) on the implementation of the "One ITU" concept.</w:t>
            </w:r>
          </w:p>
          <w:p w14:paraId="0F8F1F03" w14:textId="4A3DF717" w:rsidR="00F16BAB" w:rsidRDefault="00F16BAB" w:rsidP="00A93D44">
            <w:pPr>
              <w:spacing w:before="160"/>
              <w:jc w:val="both"/>
              <w:rPr>
                <w:b/>
                <w:bCs/>
                <w:sz w:val="26"/>
                <w:szCs w:val="26"/>
              </w:rPr>
            </w:pPr>
            <w:r w:rsidRPr="03CA3A62">
              <w:rPr>
                <w:b/>
                <w:bCs/>
                <w:sz w:val="26"/>
                <w:szCs w:val="26"/>
              </w:rPr>
              <w:t>Relevant link</w:t>
            </w:r>
            <w:r w:rsidR="000F1071" w:rsidRPr="03CA3A62">
              <w:rPr>
                <w:b/>
                <w:bCs/>
                <w:sz w:val="26"/>
                <w:szCs w:val="26"/>
              </w:rPr>
              <w:t xml:space="preserve">(s) </w:t>
            </w:r>
            <w:r w:rsidRPr="03CA3A62">
              <w:rPr>
                <w:b/>
                <w:bCs/>
                <w:sz w:val="26"/>
                <w:szCs w:val="26"/>
              </w:rPr>
              <w:t>with the Strategic Plan</w:t>
            </w:r>
          </w:p>
          <w:p w14:paraId="00A55EA1" w14:textId="694633E1" w:rsidR="00F16BAB" w:rsidRPr="00F16BAB" w:rsidRDefault="00E20EA7" w:rsidP="00A93D44">
            <w:pPr>
              <w:jc w:val="both"/>
            </w:pPr>
            <w:r w:rsidRPr="00E20EA7">
              <w:t>The Strategic Plan is the main instrument of the Union to reflect that the three Sectors, Regional Offices and General Secretariat are working together to ensure alignment and coordination within the organization.</w:t>
            </w:r>
          </w:p>
          <w:p w14:paraId="4769A020" w14:textId="463CFF67" w:rsidR="001A575F" w:rsidRDefault="00F16BAB" w:rsidP="00F16BAB">
            <w:pPr>
              <w:spacing w:before="160"/>
              <w:rPr>
                <w:b/>
                <w:bCs/>
                <w:sz w:val="26"/>
                <w:szCs w:val="26"/>
              </w:rPr>
            </w:pPr>
            <w:r>
              <w:rPr>
                <w:b/>
                <w:bCs/>
                <w:sz w:val="26"/>
                <w:szCs w:val="26"/>
              </w:rPr>
              <w:t>Financial implications</w:t>
            </w:r>
          </w:p>
          <w:p w14:paraId="632C043A" w14:textId="45D69624" w:rsidR="00F16BAB" w:rsidRPr="00E20EA7" w:rsidRDefault="00E20EA7" w:rsidP="00F16BAB">
            <w:pPr>
              <w:spacing w:before="160"/>
              <w:rPr>
                <w:szCs w:val="24"/>
              </w:rPr>
            </w:pPr>
            <w:r w:rsidRPr="00E20EA7">
              <w:rPr>
                <w:szCs w:val="24"/>
              </w:rPr>
              <w:t>Within the allocated budget 2024-2025.</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0CE5E0B3" w:rsidR="00AD3606" w:rsidRPr="000D0E33" w:rsidRDefault="005A3572" w:rsidP="00F16BAB">
            <w:pPr>
              <w:spacing w:after="160"/>
              <w:rPr>
                <w:i/>
                <w:iCs/>
                <w:sz w:val="22"/>
                <w:szCs w:val="22"/>
              </w:rPr>
            </w:pPr>
            <w:hyperlink r:id="rId11" w:tgtFrame="_blank" w:history="1">
              <w:r w:rsidR="0066545D" w:rsidRPr="000D0E33">
                <w:rPr>
                  <w:rStyle w:val="normaltextrun"/>
                  <w:rFonts w:cs="Calibri"/>
                  <w:i/>
                  <w:iCs/>
                  <w:color w:val="0563C1"/>
                  <w:sz w:val="22"/>
                  <w:szCs w:val="22"/>
                  <w:u w:val="single"/>
                  <w:shd w:val="clear" w:color="auto" w:fill="FFFFFF"/>
                </w:rPr>
                <w:t>Resolution 71</w:t>
              </w:r>
            </w:hyperlink>
            <w:r w:rsidR="0066545D" w:rsidRPr="000D0E33">
              <w:rPr>
                <w:rStyle w:val="normaltextrun"/>
                <w:rFonts w:cs="Calibri"/>
                <w:i/>
                <w:iCs/>
                <w:color w:val="000000"/>
                <w:sz w:val="22"/>
                <w:szCs w:val="22"/>
                <w:shd w:val="clear" w:color="auto" w:fill="FFFFFF"/>
              </w:rPr>
              <w:t xml:space="preserve"> (Rev. Bucharest, 2022), </w:t>
            </w:r>
            <w:hyperlink r:id="rId12" w:history="1">
              <w:r w:rsidR="0066545D" w:rsidRPr="000D0E33">
                <w:rPr>
                  <w:rStyle w:val="Hyperlink"/>
                  <w:rFonts w:cs="Calibri"/>
                  <w:i/>
                  <w:iCs/>
                  <w:sz w:val="22"/>
                  <w:szCs w:val="22"/>
                  <w:shd w:val="clear" w:color="auto" w:fill="FFFFFF"/>
                </w:rPr>
                <w:t>Resolution 25</w:t>
              </w:r>
            </w:hyperlink>
            <w:r w:rsidR="0066545D" w:rsidRPr="000D0E33">
              <w:rPr>
                <w:rStyle w:val="normaltextrun"/>
                <w:rFonts w:cs="Calibri"/>
                <w:i/>
                <w:iCs/>
                <w:color w:val="000000"/>
                <w:sz w:val="22"/>
                <w:szCs w:val="22"/>
                <w:shd w:val="clear" w:color="auto" w:fill="FFFFFF"/>
              </w:rPr>
              <w:t xml:space="preserve"> (Rev. Bucharest, 2022)</w:t>
            </w:r>
            <w:r w:rsidR="004348CE" w:rsidRPr="000D0E33">
              <w:rPr>
                <w:rStyle w:val="normaltextrun"/>
                <w:rFonts w:cs="Calibri"/>
                <w:i/>
                <w:iCs/>
                <w:color w:val="000000"/>
                <w:sz w:val="22"/>
                <w:szCs w:val="22"/>
                <w:shd w:val="clear" w:color="auto" w:fill="FFFFFF"/>
              </w:rPr>
              <w:t xml:space="preserve">, </w:t>
            </w:r>
            <w:hyperlink r:id="rId13" w:history="1">
              <w:r w:rsidR="004348CE" w:rsidRPr="000D0E33">
                <w:rPr>
                  <w:rStyle w:val="Hyperlink"/>
                  <w:rFonts w:cs="Calibri"/>
                  <w:i/>
                  <w:iCs/>
                  <w:sz w:val="22"/>
                  <w:szCs w:val="22"/>
                  <w:shd w:val="clear" w:color="auto" w:fill="FFFFFF"/>
                </w:rPr>
                <w:t>Resolution 191</w:t>
              </w:r>
            </w:hyperlink>
            <w:r w:rsidR="004348CE" w:rsidRPr="000D0E33">
              <w:rPr>
                <w:rStyle w:val="normaltextrun"/>
                <w:rFonts w:cs="Calibri"/>
                <w:i/>
                <w:iCs/>
                <w:color w:val="000000"/>
                <w:sz w:val="22"/>
                <w:szCs w:val="22"/>
                <w:shd w:val="clear" w:color="auto" w:fill="FFFFFF"/>
              </w:rPr>
              <w:t xml:space="preserve"> (Rev. Bucharest, 2022), </w:t>
            </w:r>
            <w:hyperlink r:id="rId14" w:tgtFrame="_blank" w:history="1">
              <w:r w:rsidR="0066545D" w:rsidRPr="000D0E33">
                <w:rPr>
                  <w:rStyle w:val="normaltextrun"/>
                  <w:rFonts w:cs="Calibri"/>
                  <w:i/>
                  <w:iCs/>
                  <w:color w:val="0563C1"/>
                  <w:sz w:val="22"/>
                  <w:szCs w:val="22"/>
                  <w:u w:val="single"/>
                  <w:shd w:val="clear" w:color="auto" w:fill="FFFFFF"/>
                </w:rPr>
                <w:t>Decision 5</w:t>
              </w:r>
            </w:hyperlink>
            <w:r w:rsidR="0066545D" w:rsidRPr="000D0E33">
              <w:rPr>
                <w:rStyle w:val="normaltextrun"/>
                <w:rFonts w:cs="Calibri"/>
                <w:i/>
                <w:iCs/>
                <w:color w:val="000000"/>
                <w:sz w:val="22"/>
                <w:szCs w:val="22"/>
                <w:shd w:val="clear" w:color="auto" w:fill="FFFFFF"/>
              </w:rPr>
              <w:t xml:space="preserve"> (Rev. Bucharest, 2022)</w:t>
            </w:r>
            <w:r w:rsidR="00035544" w:rsidRPr="000D0E33">
              <w:rPr>
                <w:rStyle w:val="normaltextrun"/>
                <w:rFonts w:cs="Calibri"/>
                <w:i/>
                <w:iCs/>
                <w:color w:val="000000"/>
                <w:sz w:val="22"/>
                <w:szCs w:val="22"/>
                <w:shd w:val="clear" w:color="auto" w:fill="FFFFFF"/>
              </w:rPr>
              <w:t xml:space="preserve"> of the Plenipotentiary Conference</w:t>
            </w:r>
          </w:p>
        </w:tc>
      </w:tr>
    </w:tbl>
    <w:p w14:paraId="4CDB8B60" w14:textId="2A4D9B15" w:rsidR="00E227F3" w:rsidRPr="00EB35E5"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EB35E5"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EB35E5">
        <w:br w:type="page"/>
      </w:r>
    </w:p>
    <w:bookmarkEnd w:id="5"/>
    <w:bookmarkEnd w:id="10"/>
    <w:p w14:paraId="5F8763D7" w14:textId="77777777" w:rsidR="00441909" w:rsidRPr="00441909" w:rsidRDefault="00441909" w:rsidP="00441909">
      <w:pPr>
        <w:jc w:val="center"/>
        <w:rPr>
          <w:b/>
          <w:bCs/>
          <w:caps/>
          <w:lang w:val="en-US"/>
        </w:rPr>
      </w:pPr>
      <w:r w:rsidRPr="03CA3A62">
        <w:rPr>
          <w:b/>
          <w:bCs/>
          <w:caps/>
          <w:lang w:val="en-US"/>
        </w:rPr>
        <w:lastRenderedPageBreak/>
        <w:t>Report on the Implementation of the "One ITU" Concept</w:t>
      </w:r>
    </w:p>
    <w:p w14:paraId="62275343" w14:textId="77777777" w:rsidR="00DA7B24" w:rsidRPr="00DA7B24" w:rsidRDefault="00DA7B24" w:rsidP="00E855AD">
      <w:pPr>
        <w:numPr>
          <w:ilvl w:val="0"/>
          <w:numId w:val="2"/>
        </w:numPr>
        <w:tabs>
          <w:tab w:val="clear" w:pos="567"/>
          <w:tab w:val="clear" w:pos="720"/>
          <w:tab w:val="clear" w:pos="1134"/>
          <w:tab w:val="clear" w:pos="1701"/>
          <w:tab w:val="clear" w:pos="2268"/>
          <w:tab w:val="clear" w:pos="2835"/>
        </w:tabs>
        <w:overflowPunct/>
        <w:autoSpaceDE/>
        <w:autoSpaceDN/>
        <w:adjustRightInd/>
        <w:spacing w:before="480" w:after="120"/>
        <w:ind w:left="0" w:firstLine="0"/>
        <w:jc w:val="both"/>
        <w:textAlignment w:val="auto"/>
        <w:rPr>
          <w:b/>
          <w:bCs/>
          <w:lang w:val="en-US"/>
        </w:rPr>
      </w:pPr>
      <w:r w:rsidRPr="00DA7B24">
        <w:rPr>
          <w:b/>
          <w:bCs/>
          <w:lang w:val="en-US"/>
        </w:rPr>
        <w:t>Introduction</w:t>
      </w:r>
    </w:p>
    <w:p w14:paraId="19B224E2" w14:textId="77777777"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rPr>
          <w:b/>
          <w:bCs/>
          <w:lang w:val="en-US"/>
        </w:rPr>
      </w:pPr>
      <w:r w:rsidRPr="00DA7B24">
        <w:rPr>
          <w:b/>
          <w:bCs/>
          <w:lang w:val="en-US"/>
        </w:rPr>
        <w:t>Background Information</w:t>
      </w:r>
    </w:p>
    <w:p w14:paraId="623DA906" w14:textId="0F4004B4"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DA7B24">
        <w:rPr>
          <w:lang w:val="en-US"/>
        </w:rPr>
        <w:t>The Plenipotentiary Conference 2022 (</w:t>
      </w:r>
      <w:r w:rsidR="000D0E33">
        <w:rPr>
          <w:lang w:val="en-US"/>
        </w:rPr>
        <w:t>Bucharest, 2022</w:t>
      </w:r>
      <w:r w:rsidRPr="00DA7B24">
        <w:rPr>
          <w:lang w:val="en-US"/>
        </w:rPr>
        <w:t xml:space="preserve">) mandated the Secretary-General, in coordination with the Directors of the </w:t>
      </w:r>
      <w:proofErr w:type="spellStart"/>
      <w:r w:rsidRPr="00DA7B24">
        <w:rPr>
          <w:lang w:val="en-US"/>
        </w:rPr>
        <w:t>Bureau</w:t>
      </w:r>
      <w:r>
        <w:rPr>
          <w:lang w:val="en-US"/>
        </w:rPr>
        <w:t>x</w:t>
      </w:r>
      <w:proofErr w:type="spellEnd"/>
      <w:r w:rsidRPr="00DA7B24">
        <w:rPr>
          <w:lang w:val="en-US"/>
        </w:rPr>
        <w:t xml:space="preserve">, to submit a report on the implementation of the concept of “One ITU” to the 2024 session of the Council. </w:t>
      </w:r>
    </w:p>
    <w:p w14:paraId="728A2A7C" w14:textId="77777777"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DA7B24">
        <w:rPr>
          <w:lang w:val="en-US"/>
        </w:rPr>
        <w:t xml:space="preserve">At the same time, Council was instructed to evaluate the report and report back to the next Plenipotentiary Conference (PP-26) on the implementation of the “One ITU” concept. </w:t>
      </w:r>
    </w:p>
    <w:p w14:paraId="398CD90C" w14:textId="77777777"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rPr>
          <w:b/>
          <w:bCs/>
          <w:lang w:val="en-US"/>
        </w:rPr>
      </w:pPr>
      <w:r w:rsidRPr="00DA7B24">
        <w:rPr>
          <w:b/>
          <w:bCs/>
          <w:lang w:val="en-US"/>
        </w:rPr>
        <w:t>Online Consultation and definition of “One ITU”</w:t>
      </w:r>
    </w:p>
    <w:p w14:paraId="6B6F80E4" w14:textId="250CFAB1"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pPr>
      <w:r w:rsidRPr="00DA7B24">
        <w:rPr>
          <w:lang w:val="en-US"/>
        </w:rPr>
        <w:t>Pursuant to the PP-22 recommendation, an online consultation was carried out within the Council Working Group on Financial and Human Resources (CWG-FHR), in Aug</w:t>
      </w:r>
      <w:r>
        <w:rPr>
          <w:lang w:val="en-US"/>
        </w:rPr>
        <w:t>ust-</w:t>
      </w:r>
      <w:r w:rsidRPr="00DA7B24">
        <w:rPr>
          <w:lang w:val="en-US"/>
        </w:rPr>
        <w:t>Sept</w:t>
      </w:r>
      <w:r>
        <w:rPr>
          <w:lang w:val="en-US"/>
        </w:rPr>
        <w:t>ember</w:t>
      </w:r>
      <w:r w:rsidRPr="00DA7B24">
        <w:rPr>
          <w:lang w:val="en-US"/>
        </w:rPr>
        <w:t xml:space="preserve"> 2023. This consultation provided valuable insights on how the membership perceives ITU and the implementation of the “One ITU” concept effectively (document </w:t>
      </w:r>
      <w:hyperlink r:id="rId15" w:history="1">
        <w:r w:rsidRPr="00DA7B24">
          <w:rPr>
            <w:rStyle w:val="Hyperlink"/>
            <w:lang w:val="en-US"/>
          </w:rPr>
          <w:t>CWG-FHR-16/13</w:t>
        </w:r>
        <w:r w:rsidR="00035544">
          <w:rPr>
            <w:rStyle w:val="Hyperlink"/>
            <w:lang w:val="en-US"/>
          </w:rPr>
          <w:t>(</w:t>
        </w:r>
        <w:r w:rsidRPr="00DA7B24">
          <w:rPr>
            <w:rStyle w:val="Hyperlink"/>
            <w:lang w:val="en-US"/>
          </w:rPr>
          <w:t>Add.1</w:t>
        </w:r>
      </w:hyperlink>
      <w:r w:rsidR="00035544">
        <w:rPr>
          <w:lang w:val="en-US"/>
        </w:rPr>
        <w:t>)</w:t>
      </w:r>
      <w:r w:rsidRPr="00DA7B24">
        <w:rPr>
          <w:lang w:val="en-US"/>
        </w:rPr>
        <w:t>).</w:t>
      </w:r>
    </w:p>
    <w:p w14:paraId="2FB09B5F" w14:textId="77777777"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DA7B24">
        <w:rPr>
          <w:lang w:val="en-US"/>
        </w:rPr>
        <w:t>The definition of “One ITU” which resulted from the consultation is as follows:</w:t>
      </w:r>
    </w:p>
    <w:p w14:paraId="25455EC2" w14:textId="605B4BD1"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rPr>
          <w:b/>
        </w:rPr>
      </w:pPr>
      <w:r w:rsidRPr="00DA7B24">
        <w:t>“</w:t>
      </w:r>
      <w:r w:rsidRPr="00DA7B24">
        <w:rPr>
          <w:b/>
          <w:bCs/>
          <w:i/>
          <w:iCs/>
        </w:rPr>
        <w:t>One ITU</w:t>
      </w:r>
      <w:r>
        <w:t xml:space="preserve"> </w:t>
      </w:r>
      <w:r w:rsidRPr="00DA7B24">
        <w:t>is a</w:t>
      </w:r>
      <w:r>
        <w:t xml:space="preserve"> </w:t>
      </w:r>
      <w:r w:rsidRPr="00DA7B24">
        <w:rPr>
          <w:b/>
          <w:bCs/>
        </w:rPr>
        <w:t>strategic approach</w:t>
      </w:r>
      <w:r>
        <w:rPr>
          <w:b/>
          <w:bCs/>
        </w:rPr>
        <w:t xml:space="preserve"> </w:t>
      </w:r>
      <w:r w:rsidRPr="00DA7B24">
        <w:t>within the International</w:t>
      </w:r>
      <w:r>
        <w:t xml:space="preserve"> </w:t>
      </w:r>
      <w:r w:rsidRPr="00DA7B24">
        <w:t>Telecommunication Union (ITU) that aims to</w:t>
      </w:r>
      <w:r>
        <w:t xml:space="preserve"> </w:t>
      </w:r>
      <w:r w:rsidRPr="00DA7B24">
        <w:rPr>
          <w:b/>
          <w:bCs/>
        </w:rPr>
        <w:t>enhance</w:t>
      </w:r>
      <w:r>
        <w:rPr>
          <w:b/>
          <w:bCs/>
        </w:rPr>
        <w:t xml:space="preserve"> </w:t>
      </w:r>
      <w:r w:rsidRPr="00DA7B24">
        <w:rPr>
          <w:b/>
          <w:bCs/>
        </w:rPr>
        <w:t>coordination</w:t>
      </w:r>
      <w:r w:rsidRPr="00DA7B24">
        <w:t>,</w:t>
      </w:r>
      <w:r>
        <w:rPr>
          <w:b/>
          <w:bCs/>
        </w:rPr>
        <w:t xml:space="preserve"> </w:t>
      </w:r>
      <w:r w:rsidRPr="00DA7B24">
        <w:rPr>
          <w:b/>
          <w:bCs/>
        </w:rPr>
        <w:t>cooperation</w:t>
      </w:r>
      <w:r w:rsidRPr="00DA7B24">
        <w:t>, and</w:t>
      </w:r>
      <w:r>
        <w:t xml:space="preserve"> </w:t>
      </w:r>
      <w:r w:rsidRPr="00DA7B24">
        <w:rPr>
          <w:b/>
          <w:bCs/>
        </w:rPr>
        <w:t>coherence among its three</w:t>
      </w:r>
      <w:r>
        <w:rPr>
          <w:b/>
          <w:bCs/>
        </w:rPr>
        <w:t xml:space="preserve"> </w:t>
      </w:r>
      <w:r w:rsidRPr="00DA7B24">
        <w:rPr>
          <w:b/>
          <w:bCs/>
        </w:rPr>
        <w:t>Sectors,</w:t>
      </w:r>
      <w:r>
        <w:rPr>
          <w:b/>
          <w:bCs/>
        </w:rPr>
        <w:t xml:space="preserve"> </w:t>
      </w:r>
      <w:r w:rsidRPr="00DA7B24">
        <w:rPr>
          <w:b/>
          <w:bCs/>
        </w:rPr>
        <w:t>Regional Offices,</w:t>
      </w:r>
      <w:r>
        <w:rPr>
          <w:b/>
          <w:bCs/>
        </w:rPr>
        <w:t xml:space="preserve"> </w:t>
      </w:r>
      <w:r w:rsidRPr="00DA7B24">
        <w:t>and the</w:t>
      </w:r>
      <w:r>
        <w:t xml:space="preserve"> </w:t>
      </w:r>
      <w:r w:rsidRPr="00DA7B24">
        <w:t>General Secretariat. This concept is</w:t>
      </w:r>
      <w:r>
        <w:t xml:space="preserve"> </w:t>
      </w:r>
      <w:r w:rsidRPr="00DA7B24">
        <w:rPr>
          <w:b/>
          <w:bCs/>
        </w:rPr>
        <w:t>focused on achieving the</w:t>
      </w:r>
      <w:r>
        <w:rPr>
          <w:b/>
          <w:bCs/>
        </w:rPr>
        <w:t xml:space="preserve"> </w:t>
      </w:r>
      <w:r w:rsidRPr="00DA7B24">
        <w:rPr>
          <w:b/>
          <w:bCs/>
        </w:rPr>
        <w:t>ITU’s mission more effectively and efficiently</w:t>
      </w:r>
      <w:r>
        <w:rPr>
          <w:b/>
          <w:bCs/>
        </w:rPr>
        <w:t xml:space="preserve"> </w:t>
      </w:r>
      <w:r w:rsidRPr="00DA7B24">
        <w:t>by</w:t>
      </w:r>
      <w:r>
        <w:t xml:space="preserve"> </w:t>
      </w:r>
      <w:r w:rsidRPr="00DA7B24">
        <w:rPr>
          <w:b/>
          <w:bCs/>
        </w:rPr>
        <w:t>avoiding</w:t>
      </w:r>
      <w:r>
        <w:rPr>
          <w:b/>
          <w:bCs/>
        </w:rPr>
        <w:t xml:space="preserve"> </w:t>
      </w:r>
      <w:r w:rsidRPr="00DA7B24">
        <w:rPr>
          <w:b/>
          <w:bCs/>
        </w:rPr>
        <w:t>duplication</w:t>
      </w:r>
      <w:r>
        <w:rPr>
          <w:b/>
          <w:bCs/>
        </w:rPr>
        <w:t xml:space="preserve"> </w:t>
      </w:r>
      <w:r w:rsidRPr="00DA7B24">
        <w:t>of efforts,</w:t>
      </w:r>
      <w:r>
        <w:t xml:space="preserve"> </w:t>
      </w:r>
      <w:r w:rsidRPr="00DA7B24">
        <w:rPr>
          <w:b/>
          <w:bCs/>
        </w:rPr>
        <w:t>maximizing synergies</w:t>
      </w:r>
      <w:r w:rsidRPr="00DA7B24">
        <w:t>, and</w:t>
      </w:r>
      <w:r>
        <w:t xml:space="preserve"> </w:t>
      </w:r>
      <w:r w:rsidRPr="00DA7B24">
        <w:rPr>
          <w:b/>
          <w:bCs/>
        </w:rPr>
        <w:t>implementing a</w:t>
      </w:r>
      <w:r>
        <w:rPr>
          <w:b/>
          <w:bCs/>
        </w:rPr>
        <w:t xml:space="preserve"> </w:t>
      </w:r>
      <w:r w:rsidRPr="00DA7B24">
        <w:rPr>
          <w:b/>
          <w:bCs/>
        </w:rPr>
        <w:t>unified strategic plan</w:t>
      </w:r>
      <w:r>
        <w:t xml:space="preserve"> </w:t>
      </w:r>
      <w:r w:rsidRPr="00DA7B24">
        <w:t>to</w:t>
      </w:r>
      <w:r>
        <w:t xml:space="preserve"> </w:t>
      </w:r>
      <w:r w:rsidRPr="00DA7B24">
        <w:rPr>
          <w:b/>
          <w:bCs/>
        </w:rPr>
        <w:t>advance the organization’s goals and</w:t>
      </w:r>
      <w:r>
        <w:rPr>
          <w:b/>
          <w:bCs/>
        </w:rPr>
        <w:t xml:space="preserve"> </w:t>
      </w:r>
      <w:r w:rsidRPr="00DA7B24">
        <w:rPr>
          <w:b/>
          <w:bCs/>
        </w:rPr>
        <w:t>objectives</w:t>
      </w:r>
      <w:r>
        <w:t xml:space="preserve"> </w:t>
      </w:r>
      <w:r w:rsidRPr="00DA7B24">
        <w:t>in the ever-evolving global telecommunications</w:t>
      </w:r>
      <w:r>
        <w:t xml:space="preserve"> </w:t>
      </w:r>
      <w:r w:rsidRPr="00DA7B24">
        <w:t>landscape”.</w:t>
      </w:r>
    </w:p>
    <w:p w14:paraId="71510ABF" w14:textId="1016FFAA"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DA7B24">
        <w:rPr>
          <w:lang w:val="en-US"/>
        </w:rPr>
        <w:t xml:space="preserve">From the online consultation, </w:t>
      </w:r>
      <w:proofErr w:type="gramStart"/>
      <w:r w:rsidRPr="00DA7B24">
        <w:rPr>
          <w:lang w:val="en-US"/>
        </w:rPr>
        <w:t>it is clear that the</w:t>
      </w:r>
      <w:proofErr w:type="gramEnd"/>
      <w:r w:rsidRPr="00DA7B24">
        <w:rPr>
          <w:lang w:val="en-US"/>
        </w:rPr>
        <w:t xml:space="preserve"> membership views the “One ITU” way of working as being important in implementing the Strategic Plan of the Union and supporting all members, with the goal of achieving organizational excellence.</w:t>
      </w:r>
    </w:p>
    <w:p w14:paraId="4D162C29" w14:textId="25459EFF" w:rsidR="00DA7B24" w:rsidRPr="00DA7B24" w:rsidRDefault="7A775297" w:rsidP="000D0E33">
      <w:pPr>
        <w:numPr>
          <w:ilvl w:val="0"/>
          <w:numId w:val="2"/>
        </w:numPr>
        <w:tabs>
          <w:tab w:val="clear" w:pos="567"/>
          <w:tab w:val="clear" w:pos="720"/>
          <w:tab w:val="clear" w:pos="1134"/>
          <w:tab w:val="clear" w:pos="1701"/>
          <w:tab w:val="clear" w:pos="2268"/>
          <w:tab w:val="clear" w:pos="2835"/>
        </w:tabs>
        <w:spacing w:before="360" w:after="120" w:line="259" w:lineRule="auto"/>
        <w:ind w:left="0" w:firstLine="0"/>
        <w:jc w:val="both"/>
        <w:rPr>
          <w:rFonts w:eastAsia="Calibri" w:cs="Calibri"/>
          <w:szCs w:val="24"/>
          <w:lang w:val="en-US"/>
        </w:rPr>
      </w:pPr>
      <w:r w:rsidRPr="474660B3">
        <w:rPr>
          <w:b/>
          <w:bCs/>
          <w:lang w:val="en-US"/>
        </w:rPr>
        <w:t>Working as One ITU</w:t>
      </w:r>
    </w:p>
    <w:p w14:paraId="66A8F496" w14:textId="77777777"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DA7B24">
        <w:rPr>
          <w:lang w:val="en-US"/>
        </w:rPr>
        <w:t xml:space="preserve">From a practical perspective, “One ITU” calls for better coordination across the organization in all areas of ITU’s work. </w:t>
      </w:r>
    </w:p>
    <w:p w14:paraId="7ABC1A92" w14:textId="030AA2EB"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DA7B24">
        <w:rPr>
          <w:lang w:val="en-US"/>
        </w:rPr>
        <w:t>This includes information sharing, timely responses from one bureau to another including the General Secretariat and working in inter-sectoral teams in Headquarters as well as in the field (</w:t>
      </w:r>
      <w:r w:rsidR="00DE2EC5">
        <w:rPr>
          <w:lang w:val="en-US"/>
        </w:rPr>
        <w:t>r</w:t>
      </w:r>
      <w:r w:rsidRPr="00DA7B24">
        <w:rPr>
          <w:lang w:val="en-US"/>
        </w:rPr>
        <w:t xml:space="preserve">egional offices). </w:t>
      </w:r>
    </w:p>
    <w:p w14:paraId="1D544B74" w14:textId="03A63B6A"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DA7B24">
        <w:rPr>
          <w:lang w:val="en-US"/>
        </w:rPr>
        <w:t>Examples of how the secretariat has been working in a “One ITU” approach include:</w:t>
      </w:r>
    </w:p>
    <w:p w14:paraId="45DF50B8" w14:textId="37770070" w:rsidR="00DA7B24" w:rsidRDefault="00DA7B24" w:rsidP="00035544">
      <w:pPr>
        <w:numPr>
          <w:ilvl w:val="1"/>
          <w:numId w:val="5"/>
        </w:num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US"/>
        </w:rPr>
      </w:pPr>
      <w:r w:rsidRPr="474660B3">
        <w:rPr>
          <w:lang w:val="en-US"/>
        </w:rPr>
        <w:t xml:space="preserve">Regular </w:t>
      </w:r>
      <w:r w:rsidR="00E035B0">
        <w:rPr>
          <w:lang w:val="en-US"/>
        </w:rPr>
        <w:t>meeting</w:t>
      </w:r>
      <w:r w:rsidR="00E71F3B">
        <w:rPr>
          <w:lang w:val="en-US"/>
        </w:rPr>
        <w:t>s of Coordination Committee</w:t>
      </w:r>
      <w:r w:rsidR="000D0E33">
        <w:rPr>
          <w:lang w:val="en-US"/>
        </w:rPr>
        <w:t xml:space="preserve"> (</w:t>
      </w:r>
      <w:proofErr w:type="spellStart"/>
      <w:r w:rsidR="000D0E33">
        <w:rPr>
          <w:lang w:val="en-US"/>
        </w:rPr>
        <w:t>CoCo</w:t>
      </w:r>
      <w:proofErr w:type="spellEnd"/>
      <w:r w:rsidR="000D0E33">
        <w:rPr>
          <w:lang w:val="en-US"/>
        </w:rPr>
        <w:t>)</w:t>
      </w:r>
      <w:r w:rsidR="00E71F3B">
        <w:rPr>
          <w:lang w:val="en-US"/>
        </w:rPr>
        <w:t xml:space="preserve"> – for coordination at the strategic level and of </w:t>
      </w:r>
      <w:r w:rsidRPr="474660B3">
        <w:rPr>
          <w:lang w:val="en-US"/>
        </w:rPr>
        <w:t xml:space="preserve">Management </w:t>
      </w:r>
      <w:r w:rsidR="005A3572">
        <w:rPr>
          <w:lang w:val="en-US"/>
        </w:rPr>
        <w:t>Coordination</w:t>
      </w:r>
      <w:r w:rsidRPr="474660B3">
        <w:rPr>
          <w:lang w:val="en-US"/>
        </w:rPr>
        <w:t xml:space="preserve"> Group </w:t>
      </w:r>
      <w:r w:rsidR="000D0E33">
        <w:rPr>
          <w:lang w:val="en-US"/>
        </w:rPr>
        <w:t xml:space="preserve">(MCG) </w:t>
      </w:r>
      <w:r w:rsidR="005D49C7">
        <w:rPr>
          <w:lang w:val="en-US"/>
        </w:rPr>
        <w:t>(</w:t>
      </w:r>
      <w:r w:rsidRPr="474660B3">
        <w:rPr>
          <w:lang w:val="en-US"/>
        </w:rPr>
        <w:t xml:space="preserve">which include the Regional Directors </w:t>
      </w:r>
      <w:r w:rsidR="005D49C7">
        <w:rPr>
          <w:lang w:val="en-US"/>
        </w:rPr>
        <w:t>-</w:t>
      </w:r>
      <w:r w:rsidRPr="474660B3">
        <w:rPr>
          <w:lang w:val="en-US"/>
        </w:rPr>
        <w:t>MCG+)</w:t>
      </w:r>
      <w:r w:rsidR="000B3955">
        <w:rPr>
          <w:lang w:val="en-US"/>
        </w:rPr>
        <w:t xml:space="preserve"> for coordination at the programmatic level</w:t>
      </w:r>
      <w:r w:rsidRPr="474660B3">
        <w:rPr>
          <w:lang w:val="en-US"/>
        </w:rPr>
        <w:t xml:space="preserve">. </w:t>
      </w:r>
    </w:p>
    <w:p w14:paraId="5D98D4FE" w14:textId="2F98CAFB" w:rsidR="0095334C" w:rsidRPr="00F3675F" w:rsidRDefault="0095334C" w:rsidP="000D0E33">
      <w:pPr>
        <w:numPr>
          <w:ilvl w:val="0"/>
          <w:numId w:val="5"/>
        </w:num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DA7B24">
        <w:t>The Inter-Sectoral Coordination Taskforce (ISC-TF) to enhance the coordination and collaboration among the three Bureau</w:t>
      </w:r>
      <w:r>
        <w:t>x</w:t>
      </w:r>
      <w:r w:rsidRPr="00DA7B24">
        <w:t xml:space="preserve"> and the General Secretariat to avoid internal duplication of effort and optimize the use of resources, having identified more than 40 themes that call for inter-Sectoral coordination and convening inter-Sectoral teams to coordinate the work.</w:t>
      </w:r>
    </w:p>
    <w:p w14:paraId="653B209D" w14:textId="410483C1" w:rsidR="00DA7B24" w:rsidRPr="00F3675F" w:rsidRDefault="00DA7B24" w:rsidP="000D0E33">
      <w:pPr>
        <w:pStyle w:val="ListParagraph"/>
        <w:numPr>
          <w:ilvl w:val="0"/>
          <w:numId w:val="5"/>
        </w:num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F3675F">
        <w:rPr>
          <w:lang w:val="en-US"/>
        </w:rPr>
        <w:lastRenderedPageBreak/>
        <w:t>Inter-sectoral teams supporting all ITU global conferences, ITU’s transformation, financial planning and management, human resource process and procedures, Change Management within the organization, as well as the task forces on gender and youth.</w:t>
      </w:r>
    </w:p>
    <w:p w14:paraId="285F0825" w14:textId="6F5C8F8E" w:rsidR="00DA7B24" w:rsidRPr="00C41848" w:rsidRDefault="00DA7B24" w:rsidP="000D0E33">
      <w:pPr>
        <w:pStyle w:val="ListParagraph"/>
        <w:numPr>
          <w:ilvl w:val="0"/>
          <w:numId w:val="5"/>
        </w:num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C41848">
        <w:rPr>
          <w:lang w:val="en-US"/>
        </w:rPr>
        <w:t>Preparation for Council and C</w:t>
      </w:r>
      <w:r w:rsidR="000D0E33">
        <w:rPr>
          <w:lang w:val="en-US"/>
        </w:rPr>
        <w:t>ouncil working group</w:t>
      </w:r>
      <w:r w:rsidRPr="00C41848">
        <w:rPr>
          <w:lang w:val="en-US"/>
        </w:rPr>
        <w:t xml:space="preserve"> meetings where inter-sectoral input is gathered for all contributions prepared by the secretariat for submission by the Secretary-General and Elected Officials. </w:t>
      </w:r>
    </w:p>
    <w:p w14:paraId="60C83680" w14:textId="4A4B34E8" w:rsidR="00DA7B24" w:rsidRPr="00C41848" w:rsidRDefault="00DA7B24" w:rsidP="000D0E33">
      <w:pPr>
        <w:pStyle w:val="ListParagraph"/>
        <w:numPr>
          <w:ilvl w:val="0"/>
          <w:numId w:val="5"/>
        </w:num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C41848">
        <w:rPr>
          <w:lang w:val="en-US"/>
        </w:rPr>
        <w:t xml:space="preserve">The annual Senior Management Retreat which gathers close to fifty of ITU’s senior management staff from all the </w:t>
      </w:r>
      <w:proofErr w:type="spellStart"/>
      <w:r w:rsidR="06367BF7" w:rsidRPr="7B1FFD83">
        <w:rPr>
          <w:lang w:val="en-US"/>
        </w:rPr>
        <w:t>B</w:t>
      </w:r>
      <w:r w:rsidRPr="7B1FFD83">
        <w:rPr>
          <w:lang w:val="en-US"/>
        </w:rPr>
        <w:t>ureaux</w:t>
      </w:r>
      <w:proofErr w:type="spellEnd"/>
      <w:r w:rsidRPr="00C41848">
        <w:rPr>
          <w:lang w:val="en-US"/>
        </w:rPr>
        <w:t xml:space="preserve"> and </w:t>
      </w:r>
      <w:r w:rsidR="00035544" w:rsidRPr="00C41848">
        <w:rPr>
          <w:lang w:val="en-US"/>
        </w:rPr>
        <w:t xml:space="preserve">the </w:t>
      </w:r>
      <w:r w:rsidRPr="00C41848">
        <w:rPr>
          <w:lang w:val="en-US"/>
        </w:rPr>
        <w:t>General Secretariat over two to three days to discuss and address key issues such as planning and prioritization, staff welfare - this year, the retreat focused on addressing staff wellbeing and workplace improvements, using the results of the UN Staff Wellbeing Survey (</w:t>
      </w:r>
      <w:r w:rsidR="0FA7E81C" w:rsidRPr="7B1FFD83">
        <w:rPr>
          <w:lang w:val="en-US"/>
        </w:rPr>
        <w:t>s</w:t>
      </w:r>
      <w:r w:rsidRPr="7B1FFD83">
        <w:rPr>
          <w:lang w:val="en-US"/>
        </w:rPr>
        <w:t>pecific</w:t>
      </w:r>
      <w:r w:rsidRPr="00C41848">
        <w:rPr>
          <w:lang w:val="en-US"/>
        </w:rPr>
        <w:t xml:space="preserve"> to ITU) as the basis for our discussions. </w:t>
      </w:r>
    </w:p>
    <w:p w14:paraId="7BDFBC24" w14:textId="77777777" w:rsidR="00DA7B24" w:rsidRPr="00C41848" w:rsidRDefault="00DA7B24" w:rsidP="000D0E33">
      <w:pPr>
        <w:pStyle w:val="ListParagraph"/>
        <w:numPr>
          <w:ilvl w:val="0"/>
          <w:numId w:val="5"/>
        </w:num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C41848">
        <w:rPr>
          <w:lang w:val="en-US"/>
        </w:rPr>
        <w:t>Regular Townhalls to keep staff updated on developments in the organization and to listen to their concerns and suggestions for improvement.</w:t>
      </w:r>
    </w:p>
    <w:p w14:paraId="49E04A13" w14:textId="6E4CBB88" w:rsidR="398F65E8" w:rsidRPr="00C41848" w:rsidRDefault="398F65E8" w:rsidP="000D0E33">
      <w:pPr>
        <w:pStyle w:val="ListParagraph"/>
        <w:numPr>
          <w:ilvl w:val="0"/>
          <w:numId w:val="5"/>
        </w:numPr>
        <w:tabs>
          <w:tab w:val="clear" w:pos="567"/>
          <w:tab w:val="clear" w:pos="1134"/>
          <w:tab w:val="clear" w:pos="1701"/>
          <w:tab w:val="clear" w:pos="2268"/>
          <w:tab w:val="clear" w:pos="2835"/>
        </w:tabs>
        <w:spacing w:after="120"/>
        <w:jc w:val="both"/>
        <w:rPr>
          <w:lang w:val="en-US"/>
        </w:rPr>
      </w:pPr>
      <w:r w:rsidRPr="00C41848">
        <w:rPr>
          <w:lang w:val="en-US"/>
        </w:rPr>
        <w:t>Staff from the Telecommunication Standardization Bureau (TSB) located at regional offices to assist in the on-ground support to Member States.</w:t>
      </w:r>
    </w:p>
    <w:p w14:paraId="5141A3A5" w14:textId="77777777" w:rsidR="00DA7B24" w:rsidRPr="00DA7B24" w:rsidRDefault="00DA7B24" w:rsidP="000D0E33">
      <w:pPr>
        <w:tabs>
          <w:tab w:val="clear" w:pos="567"/>
          <w:tab w:val="clear" w:pos="1134"/>
          <w:tab w:val="clear" w:pos="1701"/>
          <w:tab w:val="clear" w:pos="2268"/>
          <w:tab w:val="clear" w:pos="2835"/>
        </w:tabs>
        <w:overflowPunct/>
        <w:autoSpaceDE/>
        <w:autoSpaceDN/>
        <w:adjustRightInd/>
        <w:spacing w:before="240" w:after="120"/>
        <w:jc w:val="both"/>
        <w:textAlignment w:val="auto"/>
        <w:rPr>
          <w:b/>
          <w:bCs/>
          <w:lang w:val="en-US"/>
        </w:rPr>
      </w:pPr>
      <w:r w:rsidRPr="00DA7B24">
        <w:rPr>
          <w:b/>
          <w:bCs/>
          <w:lang w:val="en-US"/>
        </w:rPr>
        <w:t xml:space="preserve">Senior Management Commitments 2024 </w:t>
      </w:r>
    </w:p>
    <w:p w14:paraId="5E2FC070" w14:textId="77777777"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DA7B24">
        <w:rPr>
          <w:lang w:val="en-US"/>
        </w:rPr>
        <w:t>As mentioned above, once a year, ITU’s senior management meets to review the progress of our work, identify new challenges, and define the best way to overcome them. In March 2024, the discussion was around “Building a fit-for-future ITU through leadership, accountability and organizational culture”, and, as a result, senior management committed to:</w:t>
      </w:r>
    </w:p>
    <w:p w14:paraId="68F67E2C" w14:textId="77777777" w:rsidR="00DA7B24" w:rsidRPr="00DA7B24" w:rsidRDefault="00DA7B24" w:rsidP="00DA7B24">
      <w:pPr>
        <w:numPr>
          <w:ilvl w:val="0"/>
          <w:numId w:val="3"/>
        </w:numPr>
        <w:tabs>
          <w:tab w:val="clear" w:pos="567"/>
          <w:tab w:val="clear" w:pos="1134"/>
          <w:tab w:val="clear" w:pos="1701"/>
          <w:tab w:val="clear" w:pos="2268"/>
          <w:tab w:val="clear" w:pos="2835"/>
        </w:tabs>
        <w:overflowPunct/>
        <w:autoSpaceDE/>
        <w:autoSpaceDN/>
        <w:adjustRightInd/>
        <w:spacing w:after="120"/>
        <w:ind w:hanging="436"/>
        <w:jc w:val="both"/>
        <w:textAlignment w:val="auto"/>
        <w:rPr>
          <w:lang w:val="en-US"/>
        </w:rPr>
      </w:pPr>
      <w:r w:rsidRPr="00DA7B24">
        <w:rPr>
          <w:lang w:val="en-US"/>
        </w:rPr>
        <w:t xml:space="preserve">Prioritize and align resources to </w:t>
      </w:r>
      <w:proofErr w:type="gramStart"/>
      <w:r w:rsidRPr="00DA7B24">
        <w:rPr>
          <w:lang w:val="en-US"/>
        </w:rPr>
        <w:t>priorities;</w:t>
      </w:r>
      <w:proofErr w:type="gramEnd"/>
    </w:p>
    <w:p w14:paraId="535356FE" w14:textId="77777777" w:rsidR="00DA7B24" w:rsidRPr="00DA7B24" w:rsidRDefault="00DA7B24" w:rsidP="00DA7B24">
      <w:pPr>
        <w:numPr>
          <w:ilvl w:val="0"/>
          <w:numId w:val="3"/>
        </w:numPr>
        <w:tabs>
          <w:tab w:val="clear" w:pos="567"/>
          <w:tab w:val="clear" w:pos="1134"/>
          <w:tab w:val="clear" w:pos="1701"/>
          <w:tab w:val="clear" w:pos="2268"/>
          <w:tab w:val="clear" w:pos="2835"/>
        </w:tabs>
        <w:overflowPunct/>
        <w:autoSpaceDE/>
        <w:autoSpaceDN/>
        <w:adjustRightInd/>
        <w:spacing w:after="120"/>
        <w:ind w:hanging="436"/>
        <w:jc w:val="both"/>
        <w:textAlignment w:val="auto"/>
        <w:rPr>
          <w:lang w:val="en-US"/>
        </w:rPr>
      </w:pPr>
      <w:r w:rsidRPr="00DA7B24">
        <w:rPr>
          <w:lang w:val="en-US"/>
        </w:rPr>
        <w:t xml:space="preserve">Define shared/deliberate values and make them visible across the </w:t>
      </w:r>
      <w:proofErr w:type="gramStart"/>
      <w:r w:rsidRPr="00DA7B24">
        <w:rPr>
          <w:lang w:val="en-US"/>
        </w:rPr>
        <w:t>organization;</w:t>
      </w:r>
      <w:proofErr w:type="gramEnd"/>
    </w:p>
    <w:p w14:paraId="3F3D3586" w14:textId="77777777" w:rsidR="00DA7B24" w:rsidRPr="00DA7B24" w:rsidRDefault="00DA7B24" w:rsidP="00DA7B24">
      <w:pPr>
        <w:numPr>
          <w:ilvl w:val="0"/>
          <w:numId w:val="3"/>
        </w:numPr>
        <w:tabs>
          <w:tab w:val="clear" w:pos="567"/>
          <w:tab w:val="clear" w:pos="1134"/>
          <w:tab w:val="clear" w:pos="1701"/>
          <w:tab w:val="clear" w:pos="2268"/>
          <w:tab w:val="clear" w:pos="2835"/>
        </w:tabs>
        <w:overflowPunct/>
        <w:autoSpaceDE/>
        <w:autoSpaceDN/>
        <w:adjustRightInd/>
        <w:spacing w:after="120"/>
        <w:ind w:hanging="436"/>
        <w:jc w:val="both"/>
        <w:textAlignment w:val="auto"/>
        <w:rPr>
          <w:lang w:val="en-US"/>
        </w:rPr>
      </w:pPr>
      <w:r w:rsidRPr="00DA7B24">
        <w:rPr>
          <w:lang w:val="en-US"/>
        </w:rPr>
        <w:t xml:space="preserve">Speak with candor about uncomfortable and difficult topics; and </w:t>
      </w:r>
    </w:p>
    <w:p w14:paraId="2A3B3B0F" w14:textId="77777777" w:rsidR="00DA7B24" w:rsidRPr="00DA7B24" w:rsidRDefault="00DA7B24" w:rsidP="00DA7B24">
      <w:pPr>
        <w:numPr>
          <w:ilvl w:val="0"/>
          <w:numId w:val="3"/>
        </w:numPr>
        <w:tabs>
          <w:tab w:val="clear" w:pos="567"/>
          <w:tab w:val="clear" w:pos="1134"/>
          <w:tab w:val="clear" w:pos="1701"/>
          <w:tab w:val="clear" w:pos="2268"/>
          <w:tab w:val="clear" w:pos="2835"/>
        </w:tabs>
        <w:overflowPunct/>
        <w:autoSpaceDE/>
        <w:autoSpaceDN/>
        <w:adjustRightInd/>
        <w:spacing w:after="120"/>
        <w:ind w:hanging="436"/>
        <w:jc w:val="both"/>
        <w:textAlignment w:val="auto"/>
        <w:rPr>
          <w:lang w:val="en-US"/>
        </w:rPr>
      </w:pPr>
      <w:r w:rsidRPr="00DA7B24">
        <w:rPr>
          <w:lang w:val="en-US"/>
        </w:rPr>
        <w:t>empower staff through trust and proper people management, all four within a psychologically safe environment for all.</w:t>
      </w:r>
    </w:p>
    <w:p w14:paraId="13F8C077" w14:textId="77777777" w:rsidR="00DA7B24" w:rsidRPr="00DA7B24" w:rsidRDefault="00DA7B24" w:rsidP="00E855AD">
      <w:pPr>
        <w:numPr>
          <w:ilvl w:val="0"/>
          <w:numId w:val="2"/>
        </w:numPr>
        <w:tabs>
          <w:tab w:val="clear" w:pos="567"/>
          <w:tab w:val="clear" w:pos="720"/>
          <w:tab w:val="clear" w:pos="1134"/>
          <w:tab w:val="clear" w:pos="1701"/>
          <w:tab w:val="clear" w:pos="2268"/>
          <w:tab w:val="clear" w:pos="2835"/>
        </w:tabs>
        <w:overflowPunct/>
        <w:autoSpaceDE/>
        <w:autoSpaceDN/>
        <w:adjustRightInd/>
        <w:spacing w:before="360" w:after="120"/>
        <w:ind w:left="0" w:firstLine="0"/>
        <w:jc w:val="both"/>
        <w:textAlignment w:val="auto"/>
        <w:rPr>
          <w:b/>
          <w:bCs/>
          <w:lang w:val="en-US"/>
        </w:rPr>
      </w:pPr>
      <w:r w:rsidRPr="474660B3">
        <w:rPr>
          <w:b/>
          <w:bCs/>
          <w:lang w:val="en-US"/>
        </w:rPr>
        <w:t>“One ITU” in action</w:t>
      </w:r>
    </w:p>
    <w:p w14:paraId="48FC506C" w14:textId="38123712"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3CA3A62">
        <w:rPr>
          <w:lang w:val="en-US"/>
        </w:rPr>
        <w:t>The way the organization works to deliver on its mission, goals, and priorities is reflected by the enablers presented in the Strategic Plan. In this way, the secretariat continues to work to deliver in an efficient and timely manner, and to produce reliable standardized data. Some examples are:</w:t>
      </w:r>
    </w:p>
    <w:p w14:paraId="12A62C1C" w14:textId="77777777" w:rsidR="00DA7B24" w:rsidRPr="00DA7B24" w:rsidRDefault="00DA7B24" w:rsidP="00DA7B24">
      <w:pPr>
        <w:numPr>
          <w:ilvl w:val="0"/>
          <w:numId w:val="4"/>
        </w:num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US"/>
        </w:rPr>
      </w:pPr>
      <w:r w:rsidRPr="4C6DD88D">
        <w:rPr>
          <w:lang w:val="en-US"/>
        </w:rPr>
        <w:t>Excellence in human resources and organizational innovation:</w:t>
      </w:r>
    </w:p>
    <w:p w14:paraId="0BF6DEBB" w14:textId="77777777" w:rsidR="00DA7B24" w:rsidRPr="00DA7B24" w:rsidRDefault="00DA7B24" w:rsidP="00035544">
      <w:pPr>
        <w:numPr>
          <w:ilvl w:val="1"/>
          <w:numId w:val="4"/>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lang w:val="en-US"/>
        </w:rPr>
      </w:pPr>
      <w:r w:rsidRPr="00DA7B24">
        <w:rPr>
          <w:lang w:val="en-US"/>
        </w:rPr>
        <w:t xml:space="preserve">ITU’s </w:t>
      </w:r>
      <w:proofErr w:type="spellStart"/>
      <w:r w:rsidRPr="00DA7B24">
        <w:rPr>
          <w:lang w:val="en-US"/>
        </w:rPr>
        <w:t>ChangeMakers</w:t>
      </w:r>
      <w:proofErr w:type="spellEnd"/>
      <w:r w:rsidRPr="00DA7B24">
        <w:rPr>
          <w:lang w:val="en-US"/>
        </w:rPr>
        <w:t xml:space="preserve"> </w:t>
      </w:r>
      <w:proofErr w:type="spellStart"/>
      <w:r w:rsidRPr="00DA7B24">
        <w:rPr>
          <w:lang w:val="en-US"/>
        </w:rPr>
        <w:t>Programme</w:t>
      </w:r>
      <w:proofErr w:type="spellEnd"/>
      <w:r w:rsidRPr="00DA7B24">
        <w:rPr>
          <w:lang w:val="en-US"/>
        </w:rPr>
        <w:t xml:space="preserve">, an initiative in response to several diagnostic reviews undertaken by ITU in recent years, identifying areas that should be improved to achieve organizational excellence. In April 2023, staff across the organization volunteered to join the </w:t>
      </w:r>
      <w:proofErr w:type="spellStart"/>
      <w:r w:rsidRPr="00DA7B24">
        <w:rPr>
          <w:lang w:val="en-US"/>
        </w:rPr>
        <w:t>programme</w:t>
      </w:r>
      <w:proofErr w:type="spellEnd"/>
      <w:r w:rsidRPr="00DA7B24">
        <w:rPr>
          <w:lang w:val="en-US"/>
        </w:rPr>
        <w:t xml:space="preserve"> and work on 10 change cases with the goal to shape the ITU from within.</w:t>
      </w:r>
    </w:p>
    <w:p w14:paraId="18CB5406" w14:textId="60B8FEB9" w:rsidR="00DA7B24" w:rsidRPr="00DA7B24" w:rsidRDefault="00DA7B24" w:rsidP="00035544">
      <w:pPr>
        <w:numPr>
          <w:ilvl w:val="1"/>
          <w:numId w:val="4"/>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lang w:val="en-US"/>
        </w:rPr>
      </w:pPr>
      <w:r w:rsidRPr="03CA3A62">
        <w:rPr>
          <w:lang w:val="en-US"/>
        </w:rPr>
        <w:t xml:space="preserve">A dashboard containing staff-related information, in real time, including gender and geographical distribution, and progress made on staff working for the Sectors in the field (regional offices) is presented every year to </w:t>
      </w:r>
      <w:r w:rsidR="4143806F" w:rsidRPr="03CA3A62">
        <w:rPr>
          <w:lang w:val="en-US"/>
        </w:rPr>
        <w:t xml:space="preserve">the </w:t>
      </w:r>
      <w:r w:rsidRPr="03CA3A62">
        <w:rPr>
          <w:lang w:val="en-US"/>
        </w:rPr>
        <w:t>Council</w:t>
      </w:r>
      <w:r w:rsidR="00DE2EC5" w:rsidRPr="03CA3A62">
        <w:rPr>
          <w:lang w:val="en-US"/>
        </w:rPr>
        <w:t xml:space="preserve"> (see document </w:t>
      </w:r>
      <w:hyperlink r:id="rId16">
        <w:r w:rsidR="00DE2EC5" w:rsidRPr="03CA3A62">
          <w:rPr>
            <w:rStyle w:val="Hyperlink"/>
            <w:lang w:val="en-US"/>
          </w:rPr>
          <w:t>C24/INF/4</w:t>
        </w:r>
      </w:hyperlink>
      <w:r w:rsidR="00DE2EC5" w:rsidRPr="03CA3A62">
        <w:rPr>
          <w:lang w:val="en-US"/>
        </w:rPr>
        <w:t>)</w:t>
      </w:r>
      <w:r w:rsidRPr="03CA3A62">
        <w:rPr>
          <w:lang w:val="en-US"/>
        </w:rPr>
        <w:t>.</w:t>
      </w:r>
    </w:p>
    <w:p w14:paraId="4B632479" w14:textId="7A763D82" w:rsidR="00DA7B24" w:rsidRPr="00DA7B24" w:rsidRDefault="00DA7B24" w:rsidP="00035544">
      <w:pPr>
        <w:numPr>
          <w:ilvl w:val="1"/>
          <w:numId w:val="4"/>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lang w:val="en-US"/>
        </w:rPr>
      </w:pPr>
      <w:r w:rsidRPr="00DA7B24">
        <w:rPr>
          <w:lang w:val="en-US"/>
        </w:rPr>
        <w:lastRenderedPageBreak/>
        <w:t xml:space="preserve">Ongoing work on the unification of processes such as recruitment and the management of SSAs, performance management, and on a reviewed functional mobility policy -a change case proposed by the ITU </w:t>
      </w:r>
      <w:proofErr w:type="spellStart"/>
      <w:r w:rsidRPr="00DA7B24">
        <w:rPr>
          <w:lang w:val="en-US"/>
        </w:rPr>
        <w:t>ChangeMakers</w:t>
      </w:r>
      <w:proofErr w:type="spellEnd"/>
      <w:r w:rsidRPr="00DA7B24">
        <w:rPr>
          <w:lang w:val="en-US"/>
        </w:rPr>
        <w:t xml:space="preserve"> </w:t>
      </w:r>
      <w:proofErr w:type="spellStart"/>
      <w:r w:rsidRPr="00DA7B24">
        <w:rPr>
          <w:lang w:val="en-US"/>
        </w:rPr>
        <w:t>Programme</w:t>
      </w:r>
      <w:proofErr w:type="spellEnd"/>
      <w:r w:rsidRPr="00DA7B24">
        <w:rPr>
          <w:lang w:val="en-US"/>
        </w:rPr>
        <w:t>.</w:t>
      </w:r>
    </w:p>
    <w:p w14:paraId="357B1BEF" w14:textId="528F6948" w:rsidR="00DA7B24" w:rsidRPr="00DA7B24" w:rsidRDefault="00DA7B24" w:rsidP="00035544">
      <w:pPr>
        <w:numPr>
          <w:ilvl w:val="1"/>
          <w:numId w:val="4"/>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lang w:val="en-US"/>
        </w:rPr>
      </w:pPr>
      <w:r w:rsidRPr="00DA7B24">
        <w:rPr>
          <w:lang w:val="en-US"/>
        </w:rPr>
        <w:t>A common approach to Risk Management to update the risk management policy and processes, and the risk register</w:t>
      </w:r>
      <w:r w:rsidR="00DE2EC5">
        <w:rPr>
          <w:lang w:val="en-US"/>
        </w:rPr>
        <w:t xml:space="preserve"> (see document </w:t>
      </w:r>
      <w:hyperlink r:id="rId17" w:history="1">
        <w:r w:rsidR="00DE2EC5" w:rsidRPr="00DE2EC5">
          <w:rPr>
            <w:rStyle w:val="Hyperlink"/>
            <w:lang w:val="en-US"/>
          </w:rPr>
          <w:t>C24/49</w:t>
        </w:r>
      </w:hyperlink>
      <w:r w:rsidR="00DE2EC5">
        <w:rPr>
          <w:lang w:val="en-US"/>
        </w:rPr>
        <w:t>)</w:t>
      </w:r>
      <w:r w:rsidRPr="00DA7B24">
        <w:rPr>
          <w:lang w:val="en-US"/>
        </w:rPr>
        <w:t>.</w:t>
      </w:r>
    </w:p>
    <w:p w14:paraId="4EEB81D4" w14:textId="7809BE1D" w:rsidR="00DA7B24" w:rsidRPr="00DA7B24" w:rsidRDefault="00DA7B24" w:rsidP="00035544">
      <w:pPr>
        <w:numPr>
          <w:ilvl w:val="1"/>
          <w:numId w:val="4"/>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lang w:val="en-US"/>
        </w:rPr>
      </w:pPr>
      <w:r>
        <w:t xml:space="preserve">A new Transformation Team put in place to support the development </w:t>
      </w:r>
      <w:r w:rsidR="7A5891E5">
        <w:t xml:space="preserve">and implementation </w:t>
      </w:r>
      <w:r>
        <w:t>of a transformation roadmap to improve processes, and better employ capacities and resources, with some projects already ongoing</w:t>
      </w:r>
      <w:r w:rsidR="00E855AD">
        <w:t xml:space="preserve"> (see document </w:t>
      </w:r>
      <w:hyperlink r:id="rId18">
        <w:r w:rsidR="00E855AD" w:rsidRPr="2DFBDCE2">
          <w:rPr>
            <w:rStyle w:val="Hyperlink"/>
          </w:rPr>
          <w:t>C24/52</w:t>
        </w:r>
      </w:hyperlink>
      <w:r w:rsidR="00E855AD">
        <w:t>)</w:t>
      </w:r>
      <w:r>
        <w:t>:</w:t>
      </w:r>
    </w:p>
    <w:p w14:paraId="3BE09255" w14:textId="3B0B38BA" w:rsidR="00DA7B24" w:rsidRPr="00DA7B24" w:rsidRDefault="00DA7B24" w:rsidP="000D0E33">
      <w:pPr>
        <w:numPr>
          <w:ilvl w:val="2"/>
          <w:numId w:val="4"/>
        </w:numPr>
        <w:tabs>
          <w:tab w:val="clear" w:pos="567"/>
          <w:tab w:val="clear" w:pos="1134"/>
          <w:tab w:val="clear" w:pos="1701"/>
          <w:tab w:val="clear" w:pos="2268"/>
          <w:tab w:val="clear" w:pos="2835"/>
        </w:tabs>
        <w:overflowPunct/>
        <w:autoSpaceDE/>
        <w:autoSpaceDN/>
        <w:adjustRightInd/>
        <w:spacing w:after="120"/>
        <w:ind w:left="1843" w:hanging="567"/>
        <w:jc w:val="both"/>
        <w:textAlignment w:val="auto"/>
        <w:rPr>
          <w:lang w:val="en-US"/>
        </w:rPr>
      </w:pPr>
      <w:r w:rsidRPr="00DA7B24">
        <w:rPr>
          <w:lang w:val="en-US"/>
        </w:rPr>
        <w:t xml:space="preserve">Harmonization of the organization of conferences and events to provide a better and unified experience to the user -a change case proposed by the ITU </w:t>
      </w:r>
      <w:proofErr w:type="spellStart"/>
      <w:r w:rsidRPr="00DA7B24">
        <w:rPr>
          <w:lang w:val="en-US"/>
        </w:rPr>
        <w:t>ChangeMakers</w:t>
      </w:r>
      <w:proofErr w:type="spellEnd"/>
      <w:r w:rsidRPr="00DA7B24">
        <w:rPr>
          <w:lang w:val="en-US"/>
        </w:rPr>
        <w:t xml:space="preserve"> </w:t>
      </w:r>
      <w:proofErr w:type="spellStart"/>
      <w:r w:rsidRPr="00DA7B24">
        <w:rPr>
          <w:lang w:val="en-US"/>
        </w:rPr>
        <w:t>Programme</w:t>
      </w:r>
      <w:proofErr w:type="spellEnd"/>
      <w:r w:rsidRPr="00DA7B24">
        <w:rPr>
          <w:lang w:val="en-US"/>
        </w:rPr>
        <w:t>.</w:t>
      </w:r>
    </w:p>
    <w:p w14:paraId="315AAB6F" w14:textId="25229718" w:rsidR="00DA7B24" w:rsidRPr="00DA7B24" w:rsidRDefault="00DA7B24" w:rsidP="000D0E33">
      <w:pPr>
        <w:numPr>
          <w:ilvl w:val="2"/>
          <w:numId w:val="4"/>
        </w:numPr>
        <w:tabs>
          <w:tab w:val="clear" w:pos="567"/>
          <w:tab w:val="clear" w:pos="1134"/>
          <w:tab w:val="clear" w:pos="1701"/>
          <w:tab w:val="clear" w:pos="2268"/>
          <w:tab w:val="clear" w:pos="2835"/>
        </w:tabs>
        <w:overflowPunct/>
        <w:autoSpaceDE/>
        <w:autoSpaceDN/>
        <w:adjustRightInd/>
        <w:spacing w:after="120"/>
        <w:ind w:left="1843" w:hanging="567"/>
        <w:jc w:val="both"/>
        <w:textAlignment w:val="auto"/>
        <w:rPr>
          <w:lang w:val="en-US"/>
        </w:rPr>
      </w:pPr>
      <w:r w:rsidRPr="00DA7B24">
        <w:rPr>
          <w:lang w:val="en-US"/>
        </w:rPr>
        <w:t xml:space="preserve">Harmonization and improvements to document-processing, including the user experience -a change case proposed by the ITU </w:t>
      </w:r>
      <w:proofErr w:type="spellStart"/>
      <w:r w:rsidRPr="00DA7B24">
        <w:rPr>
          <w:lang w:val="en-US"/>
        </w:rPr>
        <w:t>ChangeMakers</w:t>
      </w:r>
      <w:proofErr w:type="spellEnd"/>
      <w:r w:rsidRPr="00DA7B24">
        <w:rPr>
          <w:lang w:val="en-US"/>
        </w:rPr>
        <w:t xml:space="preserve"> </w:t>
      </w:r>
      <w:proofErr w:type="spellStart"/>
      <w:r w:rsidRPr="00DA7B24">
        <w:rPr>
          <w:lang w:val="en-US"/>
        </w:rPr>
        <w:t>Programme</w:t>
      </w:r>
      <w:proofErr w:type="spellEnd"/>
      <w:r w:rsidRPr="00DA7B24">
        <w:rPr>
          <w:lang w:val="en-US"/>
        </w:rPr>
        <w:t>.</w:t>
      </w:r>
    </w:p>
    <w:p w14:paraId="7E6F9205" w14:textId="388C1C93" w:rsidR="00DA7B24" w:rsidRPr="00DA7B24" w:rsidRDefault="00DA7B24" w:rsidP="000D0E33">
      <w:pPr>
        <w:numPr>
          <w:ilvl w:val="2"/>
          <w:numId w:val="4"/>
        </w:numPr>
        <w:tabs>
          <w:tab w:val="clear" w:pos="567"/>
          <w:tab w:val="clear" w:pos="1134"/>
          <w:tab w:val="clear" w:pos="1701"/>
          <w:tab w:val="clear" w:pos="2268"/>
          <w:tab w:val="clear" w:pos="2835"/>
        </w:tabs>
        <w:overflowPunct/>
        <w:autoSpaceDE/>
        <w:autoSpaceDN/>
        <w:adjustRightInd/>
        <w:spacing w:after="120"/>
        <w:ind w:left="1843" w:hanging="567"/>
        <w:jc w:val="both"/>
        <w:textAlignment w:val="auto"/>
        <w:rPr>
          <w:lang w:val="en-US"/>
        </w:rPr>
      </w:pPr>
      <w:r w:rsidRPr="00DA7B24">
        <w:rPr>
          <w:lang w:val="en-US"/>
        </w:rPr>
        <w:t xml:space="preserve">Digitalization of internal processes -a change case proposed by the ITU </w:t>
      </w:r>
      <w:proofErr w:type="spellStart"/>
      <w:r w:rsidRPr="00DA7B24">
        <w:rPr>
          <w:lang w:val="en-US"/>
        </w:rPr>
        <w:t>ChangeMakers</w:t>
      </w:r>
      <w:proofErr w:type="spellEnd"/>
      <w:r w:rsidRPr="00DA7B24">
        <w:rPr>
          <w:lang w:val="en-US"/>
        </w:rPr>
        <w:t xml:space="preserve"> </w:t>
      </w:r>
      <w:proofErr w:type="spellStart"/>
      <w:r w:rsidRPr="00DA7B24">
        <w:rPr>
          <w:lang w:val="en-US"/>
        </w:rPr>
        <w:t>Programme</w:t>
      </w:r>
      <w:proofErr w:type="spellEnd"/>
      <w:r w:rsidRPr="00DA7B24">
        <w:rPr>
          <w:lang w:val="en-US"/>
        </w:rPr>
        <w:t>.</w:t>
      </w:r>
    </w:p>
    <w:p w14:paraId="09CAEC31" w14:textId="041BFC80" w:rsidR="00DA7B24" w:rsidRPr="00DA7B24" w:rsidRDefault="00DA7B24" w:rsidP="00035544">
      <w:pPr>
        <w:numPr>
          <w:ilvl w:val="1"/>
          <w:numId w:val="4"/>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lang w:val="en-US"/>
        </w:rPr>
      </w:pPr>
      <w:r w:rsidRPr="00DA7B24">
        <w:rPr>
          <w:lang w:val="en-US"/>
        </w:rPr>
        <w:t xml:space="preserve">Capacity and talent development, having developed ITU-wide guidelines for organizing trainings and using the ITU Academy platform for all trainings delivered by ITU, both for internal and external audiences. Together with the Learning Labs </w:t>
      </w:r>
      <w:proofErr w:type="spellStart"/>
      <w:r w:rsidRPr="00DA7B24">
        <w:rPr>
          <w:lang w:val="en-US"/>
        </w:rPr>
        <w:t>Programme</w:t>
      </w:r>
      <w:proofErr w:type="spellEnd"/>
      <w:r w:rsidRPr="00DA7B24">
        <w:rPr>
          <w:lang w:val="en-US"/>
        </w:rPr>
        <w:t xml:space="preserve"> which offers ITU Staff an experiential learning opportunity to stimulate expertise sharing and hands-on training.</w:t>
      </w:r>
    </w:p>
    <w:p w14:paraId="48D3DAAF" w14:textId="77777777" w:rsidR="00DA7B24" w:rsidRPr="00DA7B24" w:rsidRDefault="00DA7B24" w:rsidP="00035544">
      <w:pPr>
        <w:numPr>
          <w:ilvl w:val="1"/>
          <w:numId w:val="4"/>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lang w:val="en-US"/>
        </w:rPr>
      </w:pPr>
      <w:r w:rsidRPr="00DA7B24">
        <w:rPr>
          <w:lang w:val="en-US"/>
        </w:rPr>
        <w:t>Strategy to make the ITU website more secure, searchable, multilingual, harmonized and user-centric, while ensuring business continuity, member- and user-friendliness and cost savings.</w:t>
      </w:r>
    </w:p>
    <w:p w14:paraId="02793EF9" w14:textId="6C6B060F" w:rsidR="00DA7B24" w:rsidRPr="00DA7B24" w:rsidRDefault="00DA7B24" w:rsidP="00035544">
      <w:pPr>
        <w:numPr>
          <w:ilvl w:val="0"/>
          <w:numId w:val="4"/>
        </w:num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US"/>
        </w:rPr>
      </w:pPr>
      <w:r w:rsidRPr="00DA7B24">
        <w:rPr>
          <w:lang w:val="en-US"/>
        </w:rPr>
        <w:t>An ITU-wide Resource Mobilization Strategy to improve the financial health of the organization</w:t>
      </w:r>
      <w:r w:rsidR="00A93D44">
        <w:rPr>
          <w:lang w:val="en-US"/>
        </w:rPr>
        <w:t>, as being discussed in the Council Working Group on Financial and Human Resources</w:t>
      </w:r>
      <w:r w:rsidRPr="00DA7B24">
        <w:rPr>
          <w:lang w:val="en-US"/>
        </w:rPr>
        <w:t>.</w:t>
      </w:r>
    </w:p>
    <w:p w14:paraId="0071904E" w14:textId="77777777" w:rsidR="00DA7B24" w:rsidRPr="00DA7B24" w:rsidRDefault="00DA7B24" w:rsidP="00035544">
      <w:pPr>
        <w:numPr>
          <w:ilvl w:val="0"/>
          <w:numId w:val="4"/>
        </w:num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US"/>
        </w:rPr>
      </w:pPr>
      <w:r w:rsidRPr="00DA7B24">
        <w:rPr>
          <w:lang w:val="en-US"/>
        </w:rPr>
        <w:t>Partnerships and International Cooperation: ITU’s flagship convening platforms, the AI for Good Summit and the WSIS Forum organized every year; as well as the Partner2Connect Digital Coalition and SDG Digital, as instruments to advance the achievement of the strategic goals through new partnerships and investments.</w:t>
      </w:r>
    </w:p>
    <w:p w14:paraId="1FB9BC82" w14:textId="77777777" w:rsidR="00DA7B24" w:rsidRPr="00DA7B24" w:rsidRDefault="00DA7B24" w:rsidP="00035544">
      <w:pPr>
        <w:numPr>
          <w:ilvl w:val="0"/>
          <w:numId w:val="4"/>
        </w:num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US"/>
        </w:rPr>
      </w:pPr>
      <w:r w:rsidRPr="00DA7B24">
        <w:rPr>
          <w:lang w:val="en-US"/>
        </w:rPr>
        <w:t>Commitment to environmental sustainability:</w:t>
      </w:r>
    </w:p>
    <w:p w14:paraId="33818C3B" w14:textId="77777777" w:rsidR="00DA7B24" w:rsidRPr="00DA7B24" w:rsidRDefault="00DA7B24" w:rsidP="00035544">
      <w:pPr>
        <w:numPr>
          <w:ilvl w:val="1"/>
          <w:numId w:val="4"/>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lang w:val="en-US"/>
        </w:rPr>
      </w:pPr>
      <w:r w:rsidRPr="00DA7B24">
        <w:rPr>
          <w:lang w:val="en-US"/>
        </w:rPr>
        <w:t>ITU’s Environmental Sustainability Policy and Action Plan to continuously improve the operational footprint in line with the UN Sustainability Strategy Phase 1.</w:t>
      </w:r>
    </w:p>
    <w:p w14:paraId="0BED854C" w14:textId="77777777" w:rsidR="00DA7B24" w:rsidRPr="00DA7B24" w:rsidRDefault="00DA7B24" w:rsidP="00035544">
      <w:pPr>
        <w:numPr>
          <w:ilvl w:val="1"/>
          <w:numId w:val="4"/>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lang w:val="en-US"/>
        </w:rPr>
      </w:pPr>
      <w:r w:rsidRPr="00DA7B24">
        <w:rPr>
          <w:lang w:val="en-US"/>
        </w:rPr>
        <w:t>Green Digital Action initiative to scale the impact of climate activities and outputs of the Bureaus and pilot an ITU-wide climate fund.</w:t>
      </w:r>
    </w:p>
    <w:p w14:paraId="321F65E0" w14:textId="77777777" w:rsidR="00DA7B24" w:rsidRPr="00DA7B24" w:rsidRDefault="00DA7B24" w:rsidP="00E855AD">
      <w:pPr>
        <w:keepNext/>
        <w:keepLines/>
        <w:numPr>
          <w:ilvl w:val="0"/>
          <w:numId w:val="4"/>
        </w:num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US"/>
        </w:rPr>
      </w:pPr>
      <w:r w:rsidRPr="00DA7B24">
        <w:rPr>
          <w:lang w:val="en-US"/>
        </w:rPr>
        <w:lastRenderedPageBreak/>
        <w:t>Diversity and Inclusion:</w:t>
      </w:r>
    </w:p>
    <w:p w14:paraId="7994197A" w14:textId="77777777" w:rsidR="00DA7B24" w:rsidRPr="00DA7B24" w:rsidRDefault="00DA7B24" w:rsidP="00E855AD">
      <w:pPr>
        <w:keepNext/>
        <w:keepLines/>
        <w:numPr>
          <w:ilvl w:val="1"/>
          <w:numId w:val="4"/>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lang w:val="en-US"/>
        </w:rPr>
      </w:pPr>
      <w:r w:rsidRPr="00DA7B24">
        <w:rPr>
          <w:lang w:val="en-US"/>
        </w:rPr>
        <w:t xml:space="preserve">As part of the UN family, ITU commits to the </w:t>
      </w:r>
      <w:hyperlink r:id="rId19" w:history="1">
        <w:r w:rsidRPr="00DA7B24">
          <w:rPr>
            <w:rStyle w:val="Hyperlink"/>
            <w:lang w:val="en-US"/>
          </w:rPr>
          <w:t>UN Code of Conduct</w:t>
        </w:r>
      </w:hyperlink>
      <w:r w:rsidRPr="00DA7B24">
        <w:rPr>
          <w:lang w:val="en-US"/>
        </w:rPr>
        <w:t>, applying both to Staff and to members, as highlighted for every meeting, event and/or activity organized.</w:t>
      </w:r>
    </w:p>
    <w:p w14:paraId="41A2505F" w14:textId="2358B3B6" w:rsidR="00DA7B24" w:rsidRPr="00DA7B24" w:rsidRDefault="005A3572" w:rsidP="00035544">
      <w:pPr>
        <w:numPr>
          <w:ilvl w:val="1"/>
          <w:numId w:val="4"/>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lang w:val="en-US"/>
        </w:rPr>
      </w:pPr>
      <w:hyperlink r:id="rId20">
        <w:r w:rsidR="00DA7B24" w:rsidRPr="03CA3A62">
          <w:rPr>
            <w:rStyle w:val="Hyperlink"/>
            <w:lang w:val="en-US"/>
          </w:rPr>
          <w:t>ITU’s Accessibility Policy</w:t>
        </w:r>
      </w:hyperlink>
      <w:r w:rsidR="00DA7B24" w:rsidRPr="03CA3A62">
        <w:rPr>
          <w:lang w:val="en-US"/>
        </w:rPr>
        <w:t xml:space="preserve"> to set up the framework and processes to make ITU an accessible organization for Persons with Disabilities and Persons with Specific Needs including age-related disabilities; and to build-up on the accessibility-related activities, outputs, and outcomes performed by the three Sectors.</w:t>
      </w:r>
    </w:p>
    <w:p w14:paraId="0AF23617" w14:textId="77777777" w:rsidR="00DA7B24" w:rsidRPr="00DA7B24" w:rsidRDefault="005A3572" w:rsidP="00035544">
      <w:pPr>
        <w:numPr>
          <w:ilvl w:val="1"/>
          <w:numId w:val="4"/>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lang w:val="en-US"/>
        </w:rPr>
      </w:pPr>
      <w:hyperlink r:id="rId21" w:history="1">
        <w:r w:rsidR="00DA7B24" w:rsidRPr="00DA7B24">
          <w:rPr>
            <w:rStyle w:val="Hyperlink"/>
            <w:lang w:val="en-US"/>
          </w:rPr>
          <w:t>Gender Equality and Mainstreaming</w:t>
        </w:r>
      </w:hyperlink>
      <w:r w:rsidR="00DA7B24" w:rsidRPr="00DA7B24">
        <w:rPr>
          <w:lang w:val="en-US"/>
        </w:rPr>
        <w:t xml:space="preserve"> and the Network of Women now harmonized ITU-wide (e. g. </w:t>
      </w:r>
      <w:proofErr w:type="spellStart"/>
      <w:r w:rsidR="00DA7B24" w:rsidRPr="00DA7B24">
        <w:rPr>
          <w:lang w:val="en-US"/>
        </w:rPr>
        <w:t>NoW</w:t>
      </w:r>
      <w:proofErr w:type="spellEnd"/>
      <w:r w:rsidR="00DA7B24" w:rsidRPr="00DA7B24">
        <w:rPr>
          <w:lang w:val="en-US"/>
        </w:rPr>
        <w:t xml:space="preserve"> for ITU-R, ITU-</w:t>
      </w:r>
      <w:proofErr w:type="gramStart"/>
      <w:r w:rsidR="00DA7B24" w:rsidRPr="00DA7B24">
        <w:rPr>
          <w:lang w:val="en-US"/>
        </w:rPr>
        <w:t>T</w:t>
      </w:r>
      <w:proofErr w:type="gramEnd"/>
      <w:r w:rsidR="00DA7B24" w:rsidRPr="00DA7B24">
        <w:rPr>
          <w:lang w:val="en-US"/>
        </w:rPr>
        <w:t xml:space="preserve"> and ITU-D).</w:t>
      </w:r>
    </w:p>
    <w:p w14:paraId="0911C136" w14:textId="77777777" w:rsidR="00DA7B24" w:rsidRPr="00DA7B24" w:rsidRDefault="00DA7B24" w:rsidP="00035544">
      <w:pPr>
        <w:numPr>
          <w:ilvl w:val="1"/>
          <w:numId w:val="4"/>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lang w:val="en-US"/>
        </w:rPr>
      </w:pPr>
      <w:r w:rsidRPr="00DA7B24">
        <w:rPr>
          <w:lang w:val="en-US"/>
        </w:rPr>
        <w:t>Youth Task Force to give space and voice to young staff from the three Sectors and General Secretariat.</w:t>
      </w:r>
    </w:p>
    <w:p w14:paraId="6B2A054F" w14:textId="2D86924E" w:rsidR="11E390E6" w:rsidRDefault="11E390E6" w:rsidP="1BA58780">
      <w:pPr>
        <w:numPr>
          <w:ilvl w:val="1"/>
          <w:numId w:val="4"/>
        </w:numPr>
        <w:tabs>
          <w:tab w:val="clear" w:pos="567"/>
          <w:tab w:val="clear" w:pos="1134"/>
          <w:tab w:val="clear" w:pos="1701"/>
          <w:tab w:val="clear" w:pos="2268"/>
          <w:tab w:val="clear" w:pos="2835"/>
        </w:tabs>
        <w:spacing w:after="120"/>
        <w:ind w:left="1276" w:hanging="567"/>
        <w:jc w:val="both"/>
        <w:rPr>
          <w:rFonts w:ascii="Times New Roman" w:hAnsi="Times New Roman"/>
          <w:color w:val="000000" w:themeColor="text1"/>
          <w:szCs w:val="24"/>
          <w:lang w:val="en-US"/>
        </w:rPr>
      </w:pPr>
      <w:r w:rsidRPr="1BA58780">
        <w:rPr>
          <w:szCs w:val="24"/>
          <w:lang w:val="en-US"/>
        </w:rPr>
        <w:t xml:space="preserve">A new </w:t>
      </w:r>
      <w:r w:rsidR="3B1105F3" w:rsidRPr="1BA58780">
        <w:rPr>
          <w:szCs w:val="24"/>
          <w:lang w:val="en-US"/>
        </w:rPr>
        <w:t xml:space="preserve">unit </w:t>
      </w:r>
      <w:r w:rsidR="2228D294" w:rsidRPr="1BA58780">
        <w:rPr>
          <w:szCs w:val="24"/>
          <w:lang w:val="en-US"/>
        </w:rPr>
        <w:t>focusing on</w:t>
      </w:r>
      <w:r w:rsidR="3B1105F3" w:rsidRPr="1BA58780">
        <w:rPr>
          <w:szCs w:val="24"/>
          <w:lang w:val="en-US"/>
        </w:rPr>
        <w:t xml:space="preserve"> gender and youth</w:t>
      </w:r>
      <w:r w:rsidR="0A7810AF" w:rsidRPr="1BA58780">
        <w:rPr>
          <w:szCs w:val="24"/>
          <w:lang w:val="en-US"/>
        </w:rPr>
        <w:t xml:space="preserve"> </w:t>
      </w:r>
      <w:r w:rsidR="00F9183F" w:rsidRPr="1BA58780">
        <w:rPr>
          <w:szCs w:val="24"/>
          <w:lang w:val="en-US"/>
        </w:rPr>
        <w:t xml:space="preserve">has been established </w:t>
      </w:r>
      <w:r w:rsidR="58B21FAA" w:rsidRPr="1BA58780">
        <w:rPr>
          <w:szCs w:val="24"/>
          <w:lang w:val="en-US"/>
        </w:rPr>
        <w:t xml:space="preserve">(see document </w:t>
      </w:r>
      <w:hyperlink r:id="rId22" w:history="1">
        <w:r w:rsidR="58B21FAA" w:rsidRPr="1BA58780">
          <w:rPr>
            <w:rStyle w:val="Hyperlink"/>
            <w:szCs w:val="24"/>
            <w:lang w:val="en-US"/>
          </w:rPr>
          <w:t>C23/125</w:t>
        </w:r>
      </w:hyperlink>
      <w:r w:rsidR="58B21FAA" w:rsidRPr="1BA58780">
        <w:rPr>
          <w:szCs w:val="24"/>
          <w:lang w:val="en-US"/>
        </w:rPr>
        <w:t>)</w:t>
      </w:r>
      <w:r w:rsidR="5BBE935A" w:rsidRPr="1BA58780">
        <w:rPr>
          <w:szCs w:val="24"/>
          <w:lang w:val="en-US"/>
        </w:rPr>
        <w:t xml:space="preserve"> </w:t>
      </w:r>
      <w:r w:rsidR="481A8BB1" w:rsidRPr="1BA58780">
        <w:rPr>
          <w:szCs w:val="24"/>
          <w:lang w:val="en-US"/>
        </w:rPr>
        <w:t>to focus on gender mainstreaming and youth empowerment which</w:t>
      </w:r>
      <w:r w:rsidR="0EA06BA3" w:rsidRPr="1BA58780">
        <w:rPr>
          <w:szCs w:val="24"/>
          <w:lang w:val="en-US"/>
        </w:rPr>
        <w:t xml:space="preserve"> will also coordinate the Network of Women activities across the organization</w:t>
      </w:r>
      <w:r w:rsidR="6D16B26B" w:rsidRPr="1BA58780">
        <w:rPr>
          <w:szCs w:val="24"/>
          <w:lang w:val="en-US"/>
        </w:rPr>
        <w:t xml:space="preserve"> (see document </w:t>
      </w:r>
      <w:hyperlink r:id="rId23" w:history="1">
        <w:r w:rsidR="6D16B26B" w:rsidRPr="1BA58780">
          <w:rPr>
            <w:rStyle w:val="Hyperlink"/>
            <w:szCs w:val="24"/>
            <w:lang w:val="en-US"/>
          </w:rPr>
          <w:t>C23/76</w:t>
        </w:r>
      </w:hyperlink>
      <w:r w:rsidR="6D16B26B" w:rsidRPr="1BA58780">
        <w:rPr>
          <w:szCs w:val="24"/>
          <w:lang w:val="en-US"/>
        </w:rPr>
        <w:t>).</w:t>
      </w:r>
    </w:p>
    <w:p w14:paraId="092DF895" w14:textId="77777777" w:rsidR="00DA7B24" w:rsidRPr="00DA7B24" w:rsidRDefault="00DA7B24" w:rsidP="00035544">
      <w:pPr>
        <w:numPr>
          <w:ilvl w:val="0"/>
          <w:numId w:val="4"/>
        </w:num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US"/>
        </w:rPr>
      </w:pPr>
      <w:r w:rsidRPr="4C6DD88D">
        <w:rPr>
          <w:lang w:val="en-US"/>
        </w:rPr>
        <w:t>Regional Presence</w:t>
      </w:r>
    </w:p>
    <w:p w14:paraId="43A615F0" w14:textId="5D55D669" w:rsidR="00DA7B24" w:rsidRPr="00DA7B24" w:rsidRDefault="00DA7B24" w:rsidP="00035544">
      <w:pPr>
        <w:numPr>
          <w:ilvl w:val="1"/>
          <w:numId w:val="4"/>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lang w:val="en-US"/>
        </w:rPr>
      </w:pPr>
      <w:r w:rsidRPr="00DA7B24">
        <w:rPr>
          <w:lang w:val="en-US"/>
        </w:rPr>
        <w:t>The implementation of region-specific action plans aligned with the Union’s Strategic Plan, to facilitate the overarching objective of achieving ITU’s strategic goals, while ensuring effective representation of the Union's work by considering geographical diversity and the region’s specific needs</w:t>
      </w:r>
      <w:r w:rsidR="00E855AD">
        <w:rPr>
          <w:lang w:val="en-US"/>
        </w:rPr>
        <w:t xml:space="preserve"> (see document </w:t>
      </w:r>
      <w:hyperlink r:id="rId24" w:history="1">
        <w:r w:rsidR="00E855AD" w:rsidRPr="00E855AD">
          <w:rPr>
            <w:rStyle w:val="Hyperlink"/>
            <w:lang w:val="en-US"/>
          </w:rPr>
          <w:t>C24/25</w:t>
        </w:r>
      </w:hyperlink>
      <w:r w:rsidR="00E855AD">
        <w:rPr>
          <w:lang w:val="en-US"/>
        </w:rPr>
        <w:t>)</w:t>
      </w:r>
      <w:r w:rsidRPr="00DA7B24">
        <w:rPr>
          <w:lang w:val="en-US"/>
        </w:rPr>
        <w:t>.</w:t>
      </w:r>
    </w:p>
    <w:p w14:paraId="55A47FAA" w14:textId="77777777" w:rsidR="00DA7B24" w:rsidRPr="00DA7B24" w:rsidRDefault="00DA7B24" w:rsidP="00035544">
      <w:pPr>
        <w:numPr>
          <w:ilvl w:val="1"/>
          <w:numId w:val="4"/>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lang w:val="en-US"/>
        </w:rPr>
      </w:pPr>
      <w:r w:rsidRPr="00DA7B24">
        <w:rPr>
          <w:lang w:val="en-US"/>
        </w:rPr>
        <w:t>Coordination in the organization of events to avoid overlapping at the regional level.</w:t>
      </w:r>
    </w:p>
    <w:p w14:paraId="22C270AE" w14:textId="77777777" w:rsidR="00DA7B24" w:rsidRPr="00DA7B24" w:rsidRDefault="00DA7B24" w:rsidP="00035544">
      <w:pPr>
        <w:numPr>
          <w:ilvl w:val="0"/>
          <w:numId w:val="4"/>
        </w:numPr>
        <w:tabs>
          <w:tab w:val="clear" w:pos="567"/>
          <w:tab w:val="clear" w:pos="1134"/>
          <w:tab w:val="clear" w:pos="1701"/>
          <w:tab w:val="clear" w:pos="2268"/>
          <w:tab w:val="clear" w:pos="2835"/>
        </w:tabs>
        <w:overflowPunct/>
        <w:autoSpaceDE/>
        <w:autoSpaceDN/>
        <w:adjustRightInd/>
        <w:spacing w:after="120"/>
        <w:ind w:left="709" w:hanging="425"/>
        <w:jc w:val="both"/>
        <w:textAlignment w:val="auto"/>
        <w:rPr>
          <w:lang w:val="en-US"/>
        </w:rPr>
      </w:pPr>
      <w:r w:rsidRPr="00DA7B24">
        <w:rPr>
          <w:lang w:val="en-US"/>
        </w:rPr>
        <w:t>Membership-driven</w:t>
      </w:r>
    </w:p>
    <w:p w14:paraId="18698779" w14:textId="37CDCD0A" w:rsidR="00DA7B24" w:rsidRPr="00DA7B24" w:rsidRDefault="02919F6D" w:rsidP="00035544">
      <w:pPr>
        <w:numPr>
          <w:ilvl w:val="1"/>
          <w:numId w:val="4"/>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lang w:val="en-US"/>
        </w:rPr>
      </w:pPr>
      <w:r w:rsidRPr="63F1349D">
        <w:rPr>
          <w:lang w:val="en-US"/>
        </w:rPr>
        <w:t>A</w:t>
      </w:r>
      <w:r w:rsidR="592A0F22" w:rsidRPr="63F1349D">
        <w:rPr>
          <w:lang w:val="en-US"/>
        </w:rPr>
        <w:t xml:space="preserve"> sector</w:t>
      </w:r>
      <w:r w:rsidRPr="63F1349D">
        <w:rPr>
          <w:lang w:val="en-US"/>
        </w:rPr>
        <w:t xml:space="preserve"> membership dashboard </w:t>
      </w:r>
      <w:r w:rsidR="579053D7">
        <w:t>is</w:t>
      </w:r>
      <w:r w:rsidR="592A0F22">
        <w:t xml:space="preserve"> available on the </w:t>
      </w:r>
      <w:hyperlink r:id="rId25">
        <w:r w:rsidR="592A0F22" w:rsidRPr="63F1349D">
          <w:rPr>
            <w:rStyle w:val="Hyperlink"/>
          </w:rPr>
          <w:t>Council website</w:t>
        </w:r>
      </w:hyperlink>
      <w:r w:rsidRPr="63F1349D">
        <w:rPr>
          <w:lang w:val="en-US"/>
        </w:rPr>
        <w:t xml:space="preserve">, containing </w:t>
      </w:r>
      <w:r w:rsidR="138A4292" w:rsidRPr="63F1349D">
        <w:rPr>
          <w:lang w:val="en-US"/>
        </w:rPr>
        <w:t>Sector Member</w:t>
      </w:r>
      <w:r w:rsidRPr="63F1349D">
        <w:rPr>
          <w:lang w:val="en-US"/>
        </w:rPr>
        <w:t xml:space="preserve"> participation by category and Sector.</w:t>
      </w:r>
    </w:p>
    <w:p w14:paraId="237EF2A4" w14:textId="77777777" w:rsidR="00DA7B24" w:rsidRPr="00DA7B24" w:rsidRDefault="00DA7B24" w:rsidP="00035544">
      <w:pPr>
        <w:numPr>
          <w:ilvl w:val="1"/>
          <w:numId w:val="4"/>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lang w:val="en-US"/>
        </w:rPr>
      </w:pPr>
      <w:r w:rsidRPr="00DA7B24">
        <w:rPr>
          <w:lang w:val="en-US"/>
        </w:rPr>
        <w:t xml:space="preserve">The </w:t>
      </w:r>
      <w:hyperlink r:id="rId26" w:history="1">
        <w:r w:rsidRPr="00DA7B24">
          <w:rPr>
            <w:rStyle w:val="Hyperlink"/>
            <w:lang w:val="en-US"/>
          </w:rPr>
          <w:t>Inter-Sector Coordination Group (ISCG)</w:t>
        </w:r>
      </w:hyperlink>
      <w:r w:rsidRPr="00DA7B24">
        <w:rPr>
          <w:lang w:val="en-US"/>
        </w:rPr>
        <w:t xml:space="preserve"> as the instrument members have to propose ways to optimize coordination and collaboration between the three Sectors and the General Secretariat.</w:t>
      </w:r>
    </w:p>
    <w:p w14:paraId="582F5492" w14:textId="77777777" w:rsidR="00DA7B24" w:rsidRPr="00DA7B24" w:rsidRDefault="00DA7B24" w:rsidP="00035544">
      <w:pPr>
        <w:numPr>
          <w:ilvl w:val="1"/>
          <w:numId w:val="4"/>
        </w:numPr>
        <w:tabs>
          <w:tab w:val="clear" w:pos="567"/>
          <w:tab w:val="clear" w:pos="1134"/>
          <w:tab w:val="clear" w:pos="1701"/>
          <w:tab w:val="clear" w:pos="2268"/>
          <w:tab w:val="clear" w:pos="2835"/>
        </w:tabs>
        <w:overflowPunct/>
        <w:autoSpaceDE/>
        <w:autoSpaceDN/>
        <w:adjustRightInd/>
        <w:spacing w:after="120"/>
        <w:ind w:left="1276" w:hanging="567"/>
        <w:jc w:val="both"/>
        <w:textAlignment w:val="auto"/>
        <w:rPr>
          <w:b/>
          <w:bCs/>
          <w:lang w:val="en-US"/>
        </w:rPr>
      </w:pPr>
      <w:r w:rsidRPr="00DA7B24">
        <w:rPr>
          <w:lang w:val="en-US"/>
        </w:rPr>
        <w:t xml:space="preserve">Study Groups efforts to align the work, coordinate internally and optimize the use of resources (e. g. </w:t>
      </w:r>
      <w:hyperlink r:id="rId27" w:history="1">
        <w:r w:rsidRPr="00DA7B24">
          <w:rPr>
            <w:rStyle w:val="Hyperlink"/>
            <w:lang w:val="en-US"/>
          </w:rPr>
          <w:t>ITU-R Resolution 75</w:t>
        </w:r>
      </w:hyperlink>
      <w:r w:rsidRPr="00DA7B24">
        <w:rPr>
          <w:lang w:val="en-US"/>
        </w:rPr>
        <w:t>)</w:t>
      </w:r>
    </w:p>
    <w:p w14:paraId="2ACC3A75" w14:textId="77777777"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rPr>
          <w:b/>
          <w:bCs/>
          <w:lang w:val="en-US"/>
        </w:rPr>
      </w:pPr>
      <w:r w:rsidRPr="00DA7B24">
        <w:rPr>
          <w:b/>
          <w:bCs/>
          <w:lang w:val="en-US"/>
        </w:rPr>
        <w:t xml:space="preserve">“One ITU” approach to align the financial and operational </w:t>
      </w:r>
      <w:proofErr w:type="gramStart"/>
      <w:r w:rsidRPr="00DA7B24">
        <w:rPr>
          <w:b/>
          <w:bCs/>
          <w:lang w:val="en-US"/>
        </w:rPr>
        <w:t>plans</w:t>
      </w:r>
      <w:proofErr w:type="gramEnd"/>
      <w:r w:rsidRPr="00DA7B24">
        <w:rPr>
          <w:b/>
          <w:bCs/>
          <w:lang w:val="en-US"/>
        </w:rPr>
        <w:t xml:space="preserve"> </w:t>
      </w:r>
    </w:p>
    <w:p w14:paraId="77EB770A" w14:textId="77777777"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pPr>
      <w:r w:rsidRPr="00DA7B24">
        <w:t xml:space="preserve">Annually, a report on the implementation of ITU's Strategic Plan aligned with the Union's Financial Statements is presented to the Council. </w:t>
      </w:r>
    </w:p>
    <w:p w14:paraId="1F42A0FD" w14:textId="3AF2DE25"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pPr>
      <w:r w:rsidRPr="00DA7B24">
        <w:t>By intertwining these elements – which can only be done through close collaboration among the three Bureau</w:t>
      </w:r>
      <w:r w:rsidR="00DE2EC5">
        <w:t>x</w:t>
      </w:r>
      <w:r w:rsidRPr="00DA7B24">
        <w:t xml:space="preserve"> and the General Secretariat - the ITU ensures transparency and accountability in its financial management while providing a comprehensive overview of progress made in realizing strategic objectives. </w:t>
      </w:r>
    </w:p>
    <w:p w14:paraId="5A26C22E" w14:textId="77777777" w:rsidR="00DA7B24" w:rsidRPr="00DA7B24" w:rsidRDefault="00DA7B24" w:rsidP="000D0E33">
      <w:pPr>
        <w:keepNext/>
        <w:keepLines/>
        <w:numPr>
          <w:ilvl w:val="0"/>
          <w:numId w:val="2"/>
        </w:numPr>
        <w:tabs>
          <w:tab w:val="clear" w:pos="567"/>
          <w:tab w:val="clear" w:pos="720"/>
          <w:tab w:val="clear" w:pos="1134"/>
          <w:tab w:val="clear" w:pos="1701"/>
          <w:tab w:val="clear" w:pos="2268"/>
          <w:tab w:val="clear" w:pos="2835"/>
        </w:tabs>
        <w:overflowPunct/>
        <w:autoSpaceDE/>
        <w:autoSpaceDN/>
        <w:adjustRightInd/>
        <w:spacing w:before="360" w:after="120"/>
        <w:ind w:left="0" w:firstLine="0"/>
        <w:jc w:val="both"/>
        <w:textAlignment w:val="auto"/>
        <w:rPr>
          <w:b/>
          <w:bCs/>
          <w:lang w:val="en-US"/>
        </w:rPr>
      </w:pPr>
      <w:r w:rsidRPr="474660B3">
        <w:rPr>
          <w:b/>
          <w:bCs/>
          <w:lang w:val="en-US"/>
        </w:rPr>
        <w:lastRenderedPageBreak/>
        <w:t xml:space="preserve">Assessment, monitoring progress and next steps </w:t>
      </w:r>
    </w:p>
    <w:p w14:paraId="1BF4485D" w14:textId="7869819F" w:rsidR="00DA7B24" w:rsidRPr="00DA7B24" w:rsidRDefault="00DA7B24" w:rsidP="000D0E33">
      <w:pPr>
        <w:keepNext/>
        <w:keepLines/>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DA7B24">
        <w:rPr>
          <w:lang w:val="en-US"/>
        </w:rPr>
        <w:t xml:space="preserve">Council Document </w:t>
      </w:r>
      <w:hyperlink r:id="rId28" w:history="1">
        <w:r w:rsidR="00E855AD" w:rsidRPr="00E855AD">
          <w:rPr>
            <w:rStyle w:val="Hyperlink"/>
            <w:lang w:val="en-US"/>
          </w:rPr>
          <w:t>C24/</w:t>
        </w:r>
        <w:r w:rsidRPr="00DA7B24">
          <w:rPr>
            <w:rStyle w:val="Hyperlink"/>
            <w:lang w:val="en-US"/>
          </w:rPr>
          <w:t>35</w:t>
        </w:r>
      </w:hyperlink>
      <w:r w:rsidRPr="00DA7B24">
        <w:rPr>
          <w:lang w:val="en-US"/>
        </w:rPr>
        <w:t xml:space="preserve">, which demonstrates the “One ITU” approach of working as one, presents the progress in the implementation of the ITU's Strategic Plan. It highlights achievements, challenges, and areas for improvement linked to the thematic priorities, product and service offerings, and enablers. </w:t>
      </w:r>
    </w:p>
    <w:p w14:paraId="0588CF9C" w14:textId="77777777"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DA7B24">
        <w:rPr>
          <w:lang w:val="en-US"/>
        </w:rPr>
        <w:t>Monitoring targets and evaluating outcomes are also essential for steering ITU's activities to reflect the work of the Union and the progress towards achieving ITU’s strategic goals.</w:t>
      </w:r>
    </w:p>
    <w:p w14:paraId="6C915382" w14:textId="5123FEAE" w:rsidR="00DA7B24" w:rsidRPr="00035544" w:rsidRDefault="00DA7B24" w:rsidP="00E855AD">
      <w:pPr>
        <w:pStyle w:val="ListParagraph"/>
        <w:numPr>
          <w:ilvl w:val="0"/>
          <w:numId w:val="2"/>
        </w:numPr>
        <w:tabs>
          <w:tab w:val="clear" w:pos="567"/>
          <w:tab w:val="clear" w:pos="720"/>
          <w:tab w:val="clear" w:pos="1134"/>
          <w:tab w:val="clear" w:pos="1701"/>
          <w:tab w:val="clear" w:pos="2268"/>
          <w:tab w:val="clear" w:pos="2835"/>
        </w:tabs>
        <w:overflowPunct/>
        <w:autoSpaceDE/>
        <w:autoSpaceDN/>
        <w:adjustRightInd/>
        <w:spacing w:before="360" w:after="120"/>
        <w:ind w:left="0" w:firstLine="0"/>
        <w:jc w:val="both"/>
        <w:textAlignment w:val="auto"/>
        <w:rPr>
          <w:b/>
          <w:bCs/>
          <w:lang w:val="en-US"/>
        </w:rPr>
      </w:pPr>
      <w:r w:rsidRPr="474660B3">
        <w:rPr>
          <w:b/>
          <w:bCs/>
          <w:lang w:val="en-US"/>
        </w:rPr>
        <w:t>Conclusion</w:t>
      </w:r>
    </w:p>
    <w:p w14:paraId="1E3D9924" w14:textId="77777777"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pPr>
      <w:r w:rsidRPr="00DA7B24">
        <w:rPr>
          <w:lang w:val="en-US"/>
        </w:rPr>
        <w:t xml:space="preserve">The examples and approaches highlighted in this report demonstrate how the work of the organization is carried out using the “One ITU” approach. </w:t>
      </w:r>
    </w:p>
    <w:p w14:paraId="3C28B7BF" w14:textId="77777777"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DA7B24">
        <w:rPr>
          <w:lang w:val="en-US"/>
        </w:rPr>
        <w:t xml:space="preserve">Moving forward, as 2024 marks the beginning of a new strategic cycle (ITU’s Strategic Plan for 2024-2027), it is also an opportunity to focus on prioritization, coordination, and harmonization within the new strategic plan framework. Through the “One ITU” approach which calls for effective planning and reporting mechanisms, ITU can continue to improve alignment, good governance, and work towards a healthy and sustainable budget. </w:t>
      </w:r>
    </w:p>
    <w:p w14:paraId="011DE0AC" w14:textId="77777777" w:rsidR="00DA7B24" w:rsidRPr="00DA7B24" w:rsidRDefault="00DA7B24" w:rsidP="00DA7B24">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sidRPr="00DA7B24">
        <w:rPr>
          <w:lang w:val="en-US"/>
        </w:rPr>
        <w:t>The ITU Council is invited to consider the report and present proposals to improve the implementation process, ensuring the realization of the "One ITU" vision by the Plenipotentiary Conference in 2026.</w:t>
      </w:r>
    </w:p>
    <w:p w14:paraId="257674B4" w14:textId="606025FC" w:rsidR="00A514A4" w:rsidRPr="00441909" w:rsidRDefault="00035544" w:rsidP="00035544">
      <w:pPr>
        <w:tabs>
          <w:tab w:val="clear" w:pos="567"/>
          <w:tab w:val="clear" w:pos="1134"/>
          <w:tab w:val="clear" w:pos="1701"/>
          <w:tab w:val="clear" w:pos="2268"/>
          <w:tab w:val="clear" w:pos="2835"/>
        </w:tabs>
        <w:overflowPunct/>
        <w:autoSpaceDE/>
        <w:autoSpaceDN/>
        <w:adjustRightInd/>
        <w:spacing w:before="840"/>
        <w:jc w:val="center"/>
        <w:textAlignment w:val="auto"/>
        <w:rPr>
          <w:lang w:val="en-US"/>
        </w:rPr>
      </w:pPr>
      <w:r>
        <w:rPr>
          <w:lang w:val="en-US"/>
        </w:rPr>
        <w:t>________________</w:t>
      </w:r>
    </w:p>
    <w:sectPr w:rsidR="00A514A4" w:rsidRPr="00441909" w:rsidSect="008867D3">
      <w:footerReference w:type="default" r:id="rId29"/>
      <w:headerReference w:type="first" r:id="rId30"/>
      <w:footerReference w:type="first" r:id="rId3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6A0E" w14:textId="77777777" w:rsidR="008867D3" w:rsidRDefault="008867D3">
      <w:r>
        <w:separator/>
      </w:r>
    </w:p>
  </w:endnote>
  <w:endnote w:type="continuationSeparator" w:id="0">
    <w:p w14:paraId="3474B2D8" w14:textId="77777777" w:rsidR="008867D3" w:rsidRDefault="008867D3">
      <w:r>
        <w:continuationSeparator/>
      </w:r>
    </w:p>
  </w:endnote>
  <w:endnote w:type="continuationNotice" w:id="1">
    <w:p w14:paraId="53E2F943" w14:textId="77777777" w:rsidR="008867D3" w:rsidRDefault="008867D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E973C1">
      <w:trPr>
        <w:jc w:val="center"/>
      </w:trPr>
      <w:tc>
        <w:tcPr>
          <w:tcW w:w="1803" w:type="dxa"/>
          <w:vAlign w:val="center"/>
        </w:tcPr>
        <w:p w14:paraId="727FD637" w14:textId="3CA8D1C9" w:rsidR="00EE49E8" w:rsidRDefault="005A3572" w:rsidP="00EE49E8">
          <w:pPr>
            <w:pStyle w:val="Header"/>
            <w:jc w:val="left"/>
            <w:rPr>
              <w:noProof/>
            </w:rPr>
          </w:pPr>
          <w:r>
            <w:rPr>
              <w:noProof/>
            </w:rPr>
            <w:t>R</w:t>
          </w:r>
          <w:r w:rsidRPr="005A3572">
            <w:rPr>
              <w:noProof/>
            </w:rPr>
            <w:t>2400706</w:t>
          </w:r>
        </w:p>
      </w:tc>
      <w:tc>
        <w:tcPr>
          <w:tcW w:w="8261" w:type="dxa"/>
        </w:tcPr>
        <w:p w14:paraId="2D49E76E" w14:textId="6AD6509D"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1A575F">
            <w:rPr>
              <w:bCs/>
            </w:rPr>
            <w:t>17</w:t>
          </w:r>
          <w:r w:rsidRPr="00623AE3">
            <w:rPr>
              <w:bCs/>
            </w:rPr>
            <w:t>-E</w:t>
          </w:r>
          <w:r>
            <w:rPr>
              <w:bCs/>
            </w:rPr>
            <w:tab/>
          </w:r>
          <w:r w:rsidRPr="000D0E33">
            <w:rPr>
              <w:color w:val="2B579A"/>
            </w:rPr>
            <w:fldChar w:fldCharType="begin"/>
          </w:r>
          <w:r w:rsidRPr="000D0E33">
            <w:instrText>PAGE</w:instrText>
          </w:r>
          <w:r w:rsidRPr="000D0E33">
            <w:rPr>
              <w:color w:val="2B579A"/>
            </w:rPr>
            <w:fldChar w:fldCharType="separate"/>
          </w:r>
          <w:r w:rsidRPr="000D0E33">
            <w:t>1</w:t>
          </w:r>
          <w:r w:rsidRPr="000D0E33">
            <w:rPr>
              <w:noProof/>
              <w:color w:val="2B579A"/>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5A357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7D1B229C"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1A575F">
            <w:rPr>
              <w:bCs/>
            </w:rPr>
            <w:t>17</w:t>
          </w:r>
          <w:r w:rsidRPr="00623AE3">
            <w:rPr>
              <w:bCs/>
            </w:rPr>
            <w:t>-E</w:t>
          </w:r>
          <w:r>
            <w:rPr>
              <w:bCs/>
            </w:rPr>
            <w:tab/>
          </w:r>
          <w:r w:rsidRPr="000D0E33">
            <w:rPr>
              <w:color w:val="2B579A"/>
            </w:rPr>
            <w:fldChar w:fldCharType="begin"/>
          </w:r>
          <w:r w:rsidRPr="000D0E33">
            <w:instrText>PAGE</w:instrText>
          </w:r>
          <w:r w:rsidRPr="000D0E33">
            <w:rPr>
              <w:color w:val="2B579A"/>
            </w:rPr>
            <w:fldChar w:fldCharType="separate"/>
          </w:r>
          <w:r w:rsidRPr="000D0E33">
            <w:t>1</w:t>
          </w:r>
          <w:r w:rsidRPr="000D0E33">
            <w:rPr>
              <w:noProof/>
              <w:color w:val="2B579A"/>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0EBFC" w14:textId="77777777" w:rsidR="008867D3" w:rsidRDefault="008867D3">
      <w:r>
        <w:t>____________________</w:t>
      </w:r>
    </w:p>
  </w:footnote>
  <w:footnote w:type="continuationSeparator" w:id="0">
    <w:p w14:paraId="48B42D7C" w14:textId="77777777" w:rsidR="008867D3" w:rsidRDefault="008867D3">
      <w:r>
        <w:continuationSeparator/>
      </w:r>
    </w:p>
  </w:footnote>
  <w:footnote w:type="continuationNotice" w:id="1">
    <w:p w14:paraId="4F55ED59" w14:textId="77777777" w:rsidR="008867D3" w:rsidRDefault="008867D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0D0E33" w:rsidRPr="000D0E33" w14:paraId="0E230FB5" w14:textId="77777777" w:rsidTr="00BC288D">
      <w:trPr>
        <w:trHeight w:val="1104"/>
        <w:jc w:val="center"/>
      </w:trPr>
      <w:tc>
        <w:tcPr>
          <w:tcW w:w="4390" w:type="dxa"/>
          <w:vAlign w:val="center"/>
        </w:tcPr>
        <w:p w14:paraId="1B68BBC5" w14:textId="77777777" w:rsidR="000D0E33" w:rsidRPr="000D0E33" w:rsidRDefault="000D0E33" w:rsidP="000D0E33">
          <w:pPr>
            <w:pStyle w:val="Header"/>
            <w:rPr>
              <w:rFonts w:eastAsia="Times New Roman" w:cs="Times New Roman"/>
              <w:b/>
              <w:bCs/>
              <w:szCs w:val="20"/>
            </w:rPr>
          </w:pPr>
          <w:bookmarkStart w:id="11" w:name="_Hlk133422111"/>
          <w:r w:rsidRPr="000D0E33">
            <w:rPr>
              <w:noProof/>
            </w:rPr>
            <w:drawing>
              <wp:inline distT="0" distB="0" distL="0" distR="0" wp14:anchorId="721E54FD" wp14:editId="10AF5DA2">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1BF8354F" w14:textId="77777777" w:rsidR="000D0E33" w:rsidRPr="000D0E33" w:rsidRDefault="000D0E33" w:rsidP="000D0E33">
          <w:pPr>
            <w:pStyle w:val="Header"/>
            <w:rPr>
              <w:rFonts w:eastAsia="Times New Roman" w:cs="Times New Roman"/>
              <w:b/>
              <w:bCs/>
              <w:szCs w:val="20"/>
            </w:rPr>
          </w:pPr>
        </w:p>
        <w:p w14:paraId="1C21C8C8" w14:textId="77777777" w:rsidR="000D0E33" w:rsidRPr="000D0E33" w:rsidRDefault="000D0E33" w:rsidP="000D0E33">
          <w:pPr>
            <w:pStyle w:val="Header"/>
            <w:rPr>
              <w:rFonts w:eastAsia="Times New Roman" w:cs="Times New Roman"/>
              <w:b/>
              <w:bCs/>
              <w:szCs w:val="20"/>
            </w:rPr>
          </w:pPr>
        </w:p>
        <w:p w14:paraId="57205328" w14:textId="77777777" w:rsidR="000D0E33" w:rsidRPr="000D0E33" w:rsidRDefault="000D0E33" w:rsidP="000D0E33">
          <w:pPr>
            <w:pStyle w:val="Header"/>
            <w:rPr>
              <w:rFonts w:eastAsia="Times New Roman" w:cs="Times New Roman"/>
              <w:szCs w:val="20"/>
            </w:rPr>
          </w:pPr>
          <w:r w:rsidRPr="000D0E33">
            <w:rPr>
              <w:rFonts w:eastAsia="Times New Roman" w:cs="Times New Roman"/>
              <w:b/>
              <w:bCs/>
              <w:szCs w:val="20"/>
            </w:rPr>
            <w:t xml:space="preserve"> </w:t>
          </w:r>
        </w:p>
      </w:tc>
    </w:tr>
  </w:tbl>
  <w:bookmarkEnd w:id="11"/>
  <w:p w14:paraId="0D24EB89" w14:textId="4136AD56" w:rsidR="00AD3606" w:rsidRDefault="00AD3606">
    <w:pPr>
      <w:pStyle w:val="Header"/>
    </w:pPr>
    <w:r w:rsidRPr="00802C2C">
      <w:rPr>
        <w:rFonts w:ascii="Avenir Nxt2 W1G Medium" w:eastAsia="Avenir Nxt2 W1G Medium" w:hAnsi="Avenir Nxt2 W1G Medium" w:cs="Avenir Nxt2 W1G Medium"/>
        <w:noProof/>
        <w:color w:val="2B579A"/>
        <w:shd w:val="clear" w:color="auto" w:fill="E6E6E6"/>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15496"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3D3560"/>
    <w:multiLevelType w:val="hybridMultilevel"/>
    <w:tmpl w:val="B10207B8"/>
    <w:lvl w:ilvl="0" w:tplc="8A02FB36">
      <w:start w:val="1"/>
      <w:numFmt w:val="decimal"/>
      <w:lvlText w:val="%1."/>
      <w:lvlJc w:val="left"/>
      <w:pPr>
        <w:tabs>
          <w:tab w:val="num" w:pos="720"/>
        </w:tabs>
        <w:ind w:left="720" w:hanging="360"/>
      </w:pPr>
      <w:rPr>
        <w:b/>
        <w:bCs/>
      </w:rPr>
    </w:lvl>
    <w:lvl w:ilvl="1" w:tplc="FF865C16">
      <w:start w:val="1"/>
      <w:numFmt w:val="bullet"/>
      <w:lvlText w:val=""/>
      <w:lvlJc w:val="left"/>
      <w:pPr>
        <w:tabs>
          <w:tab w:val="num" w:pos="1440"/>
        </w:tabs>
        <w:ind w:left="1440" w:hanging="360"/>
      </w:pPr>
      <w:rPr>
        <w:rFonts w:ascii="Symbol" w:hAnsi="Symbol" w:hint="default"/>
        <w:sz w:val="20"/>
      </w:rPr>
    </w:lvl>
    <w:lvl w:ilvl="2" w:tplc="33327CF0">
      <w:start w:val="1"/>
      <w:numFmt w:val="decimal"/>
      <w:lvlText w:val="%3."/>
      <w:lvlJc w:val="left"/>
      <w:pPr>
        <w:tabs>
          <w:tab w:val="num" w:pos="2160"/>
        </w:tabs>
        <w:ind w:left="2160" w:hanging="360"/>
      </w:pPr>
    </w:lvl>
    <w:lvl w:ilvl="3" w:tplc="6F84B4E2" w:tentative="1">
      <w:start w:val="1"/>
      <w:numFmt w:val="decimal"/>
      <w:lvlText w:val="%4."/>
      <w:lvlJc w:val="left"/>
      <w:pPr>
        <w:tabs>
          <w:tab w:val="num" w:pos="2880"/>
        </w:tabs>
        <w:ind w:left="2880" w:hanging="360"/>
      </w:pPr>
    </w:lvl>
    <w:lvl w:ilvl="4" w:tplc="C3A8AEEA" w:tentative="1">
      <w:start w:val="1"/>
      <w:numFmt w:val="decimal"/>
      <w:lvlText w:val="%5."/>
      <w:lvlJc w:val="left"/>
      <w:pPr>
        <w:tabs>
          <w:tab w:val="num" w:pos="3600"/>
        </w:tabs>
        <w:ind w:left="3600" w:hanging="360"/>
      </w:pPr>
    </w:lvl>
    <w:lvl w:ilvl="5" w:tplc="BC3E240C" w:tentative="1">
      <w:start w:val="1"/>
      <w:numFmt w:val="decimal"/>
      <w:lvlText w:val="%6."/>
      <w:lvlJc w:val="left"/>
      <w:pPr>
        <w:tabs>
          <w:tab w:val="num" w:pos="4320"/>
        </w:tabs>
        <w:ind w:left="4320" w:hanging="360"/>
      </w:pPr>
    </w:lvl>
    <w:lvl w:ilvl="6" w:tplc="6D00013C" w:tentative="1">
      <w:start w:val="1"/>
      <w:numFmt w:val="decimal"/>
      <w:lvlText w:val="%7."/>
      <w:lvlJc w:val="left"/>
      <w:pPr>
        <w:tabs>
          <w:tab w:val="num" w:pos="5040"/>
        </w:tabs>
        <w:ind w:left="5040" w:hanging="360"/>
      </w:pPr>
    </w:lvl>
    <w:lvl w:ilvl="7" w:tplc="C19AD4C4" w:tentative="1">
      <w:start w:val="1"/>
      <w:numFmt w:val="decimal"/>
      <w:lvlText w:val="%8."/>
      <w:lvlJc w:val="left"/>
      <w:pPr>
        <w:tabs>
          <w:tab w:val="num" w:pos="5760"/>
        </w:tabs>
        <w:ind w:left="5760" w:hanging="360"/>
      </w:pPr>
    </w:lvl>
    <w:lvl w:ilvl="8" w:tplc="E912F5F8" w:tentative="1">
      <w:start w:val="1"/>
      <w:numFmt w:val="decimal"/>
      <w:lvlText w:val="%9."/>
      <w:lvlJc w:val="left"/>
      <w:pPr>
        <w:tabs>
          <w:tab w:val="num" w:pos="6480"/>
        </w:tabs>
        <w:ind w:left="6480" w:hanging="360"/>
      </w:pPr>
    </w:lvl>
  </w:abstractNum>
  <w:abstractNum w:abstractNumId="2" w15:restartNumberingAfterBreak="0">
    <w:nsid w:val="34753510"/>
    <w:multiLevelType w:val="hybridMultilevel"/>
    <w:tmpl w:val="BF26CB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15C1D2E"/>
    <w:multiLevelType w:val="hybridMultilevel"/>
    <w:tmpl w:val="4D5AE7CC"/>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57EC3A0F"/>
    <w:multiLevelType w:val="hybridMultilevel"/>
    <w:tmpl w:val="27D4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025C3"/>
    <w:multiLevelType w:val="hybridMultilevel"/>
    <w:tmpl w:val="78B673A4"/>
    <w:lvl w:ilvl="0" w:tplc="08090019">
      <w:start w:val="1"/>
      <w:numFmt w:val="lowerLetter"/>
      <w:lvlText w:val="%1."/>
      <w:lvlJc w:val="left"/>
      <w:pPr>
        <w:ind w:left="720" w:hanging="360"/>
      </w:pPr>
      <w:rPr>
        <w:rFonts w:hint="default"/>
      </w:rPr>
    </w:lvl>
    <w:lvl w:ilvl="1" w:tplc="08090019">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1149204526">
    <w:abstractNumId w:val="1"/>
  </w:num>
  <w:num w:numId="3" w16cid:durableId="1774015402">
    <w:abstractNumId w:val="4"/>
  </w:num>
  <w:num w:numId="4" w16cid:durableId="1084642363">
    <w:abstractNumId w:val="2"/>
  </w:num>
  <w:num w:numId="5" w16cid:durableId="1325166133">
    <w:abstractNumId w:val="5"/>
  </w:num>
  <w:num w:numId="6" w16cid:durableId="1606383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455D"/>
    <w:rsid w:val="00025505"/>
    <w:rsid w:val="00035544"/>
    <w:rsid w:val="00036125"/>
    <w:rsid w:val="000421E5"/>
    <w:rsid w:val="0004698E"/>
    <w:rsid w:val="00063016"/>
    <w:rsid w:val="00066795"/>
    <w:rsid w:val="00073F07"/>
    <w:rsid w:val="00076AF6"/>
    <w:rsid w:val="00085CF2"/>
    <w:rsid w:val="000B1705"/>
    <w:rsid w:val="000B3955"/>
    <w:rsid w:val="000C2A88"/>
    <w:rsid w:val="000D0E33"/>
    <w:rsid w:val="000D75B2"/>
    <w:rsid w:val="000E0408"/>
    <w:rsid w:val="000F1071"/>
    <w:rsid w:val="001121F5"/>
    <w:rsid w:val="00131C62"/>
    <w:rsid w:val="001400DC"/>
    <w:rsid w:val="00140CE1"/>
    <w:rsid w:val="001533BC"/>
    <w:rsid w:val="0017539C"/>
    <w:rsid w:val="00175AC2"/>
    <w:rsid w:val="0017609F"/>
    <w:rsid w:val="001A38C0"/>
    <w:rsid w:val="001A575F"/>
    <w:rsid w:val="001A7D1D"/>
    <w:rsid w:val="001B3DCD"/>
    <w:rsid w:val="001B51DD"/>
    <w:rsid w:val="001C628E"/>
    <w:rsid w:val="001E0F7B"/>
    <w:rsid w:val="002119FD"/>
    <w:rsid w:val="002130E0"/>
    <w:rsid w:val="0025180C"/>
    <w:rsid w:val="00264425"/>
    <w:rsid w:val="00265875"/>
    <w:rsid w:val="0027303B"/>
    <w:rsid w:val="0028109B"/>
    <w:rsid w:val="00286D06"/>
    <w:rsid w:val="002A2188"/>
    <w:rsid w:val="002B1F58"/>
    <w:rsid w:val="002C1C7A"/>
    <w:rsid w:val="002C54E2"/>
    <w:rsid w:val="0030160F"/>
    <w:rsid w:val="00320223"/>
    <w:rsid w:val="00322D0D"/>
    <w:rsid w:val="00346B31"/>
    <w:rsid w:val="00353E8C"/>
    <w:rsid w:val="00361465"/>
    <w:rsid w:val="003877F5"/>
    <w:rsid w:val="003942D4"/>
    <w:rsid w:val="003958A8"/>
    <w:rsid w:val="003C2533"/>
    <w:rsid w:val="003D5A7F"/>
    <w:rsid w:val="003E1472"/>
    <w:rsid w:val="003F601E"/>
    <w:rsid w:val="004016E2"/>
    <w:rsid w:val="0040435A"/>
    <w:rsid w:val="00412529"/>
    <w:rsid w:val="00416A24"/>
    <w:rsid w:val="00431D9E"/>
    <w:rsid w:val="00433CE8"/>
    <w:rsid w:val="004340DC"/>
    <w:rsid w:val="004348CE"/>
    <w:rsid w:val="00434A5C"/>
    <w:rsid w:val="00441909"/>
    <w:rsid w:val="004544D9"/>
    <w:rsid w:val="0047198D"/>
    <w:rsid w:val="00472BAD"/>
    <w:rsid w:val="00484009"/>
    <w:rsid w:val="00490E72"/>
    <w:rsid w:val="00491157"/>
    <w:rsid w:val="004921C8"/>
    <w:rsid w:val="00495B0B"/>
    <w:rsid w:val="004977DF"/>
    <w:rsid w:val="004A1B8B"/>
    <w:rsid w:val="004D1851"/>
    <w:rsid w:val="004D599D"/>
    <w:rsid w:val="004E2EA5"/>
    <w:rsid w:val="004E3AEB"/>
    <w:rsid w:val="004F76A5"/>
    <w:rsid w:val="0050223C"/>
    <w:rsid w:val="005243FF"/>
    <w:rsid w:val="00527307"/>
    <w:rsid w:val="00564FBC"/>
    <w:rsid w:val="005800BC"/>
    <w:rsid w:val="00582442"/>
    <w:rsid w:val="00585B71"/>
    <w:rsid w:val="005A3572"/>
    <w:rsid w:val="005C1D18"/>
    <w:rsid w:val="005D49C7"/>
    <w:rsid w:val="005F3269"/>
    <w:rsid w:val="00623AE3"/>
    <w:rsid w:val="0063516F"/>
    <w:rsid w:val="0064737F"/>
    <w:rsid w:val="00651D83"/>
    <w:rsid w:val="006535F1"/>
    <w:rsid w:val="0065557D"/>
    <w:rsid w:val="00660D50"/>
    <w:rsid w:val="00662984"/>
    <w:rsid w:val="00662B60"/>
    <w:rsid w:val="0066545D"/>
    <w:rsid w:val="006716BB"/>
    <w:rsid w:val="006850BE"/>
    <w:rsid w:val="006B1859"/>
    <w:rsid w:val="006B6680"/>
    <w:rsid w:val="006B6DCC"/>
    <w:rsid w:val="006D23F7"/>
    <w:rsid w:val="00702DEF"/>
    <w:rsid w:val="00706861"/>
    <w:rsid w:val="00706D48"/>
    <w:rsid w:val="007136AB"/>
    <w:rsid w:val="007170F1"/>
    <w:rsid w:val="007348C1"/>
    <w:rsid w:val="00742BB4"/>
    <w:rsid w:val="0075051B"/>
    <w:rsid w:val="007576A9"/>
    <w:rsid w:val="00793188"/>
    <w:rsid w:val="00794D34"/>
    <w:rsid w:val="007A2778"/>
    <w:rsid w:val="007C1EAE"/>
    <w:rsid w:val="007D3B4B"/>
    <w:rsid w:val="007F3F1D"/>
    <w:rsid w:val="00813E5E"/>
    <w:rsid w:val="0083581B"/>
    <w:rsid w:val="00863874"/>
    <w:rsid w:val="00864AFF"/>
    <w:rsid w:val="00865925"/>
    <w:rsid w:val="008867D3"/>
    <w:rsid w:val="00895AE6"/>
    <w:rsid w:val="008B4A6A"/>
    <w:rsid w:val="008C2D09"/>
    <w:rsid w:val="008C7E27"/>
    <w:rsid w:val="008F7448"/>
    <w:rsid w:val="0090147A"/>
    <w:rsid w:val="009173EF"/>
    <w:rsid w:val="00932906"/>
    <w:rsid w:val="0095334C"/>
    <w:rsid w:val="00961B0B"/>
    <w:rsid w:val="00962D33"/>
    <w:rsid w:val="009B38C3"/>
    <w:rsid w:val="009E17BD"/>
    <w:rsid w:val="009E485A"/>
    <w:rsid w:val="00A04CEC"/>
    <w:rsid w:val="00A27F92"/>
    <w:rsid w:val="00A32257"/>
    <w:rsid w:val="00A35569"/>
    <w:rsid w:val="00A36D20"/>
    <w:rsid w:val="00A450C0"/>
    <w:rsid w:val="00A514A4"/>
    <w:rsid w:val="00A55622"/>
    <w:rsid w:val="00A83502"/>
    <w:rsid w:val="00A93D44"/>
    <w:rsid w:val="00AD15B3"/>
    <w:rsid w:val="00AD3606"/>
    <w:rsid w:val="00AD4A3D"/>
    <w:rsid w:val="00AF6E49"/>
    <w:rsid w:val="00B0180D"/>
    <w:rsid w:val="00B04A67"/>
    <w:rsid w:val="00B0583C"/>
    <w:rsid w:val="00B12FEA"/>
    <w:rsid w:val="00B40A81"/>
    <w:rsid w:val="00B44910"/>
    <w:rsid w:val="00B72267"/>
    <w:rsid w:val="00B76EB6"/>
    <w:rsid w:val="00B7737B"/>
    <w:rsid w:val="00B80F94"/>
    <w:rsid w:val="00B824C8"/>
    <w:rsid w:val="00B84B9D"/>
    <w:rsid w:val="00BC251A"/>
    <w:rsid w:val="00BC3518"/>
    <w:rsid w:val="00BD032B"/>
    <w:rsid w:val="00BE2640"/>
    <w:rsid w:val="00C01189"/>
    <w:rsid w:val="00C10963"/>
    <w:rsid w:val="00C11DDD"/>
    <w:rsid w:val="00C27F38"/>
    <w:rsid w:val="00C374DE"/>
    <w:rsid w:val="00C41848"/>
    <w:rsid w:val="00C47AD4"/>
    <w:rsid w:val="00C52775"/>
    <w:rsid w:val="00C52D81"/>
    <w:rsid w:val="00C55198"/>
    <w:rsid w:val="00C82D53"/>
    <w:rsid w:val="00CA6393"/>
    <w:rsid w:val="00CB18FF"/>
    <w:rsid w:val="00CC7D01"/>
    <w:rsid w:val="00CD0C08"/>
    <w:rsid w:val="00CE03FB"/>
    <w:rsid w:val="00CE433C"/>
    <w:rsid w:val="00CE5F6A"/>
    <w:rsid w:val="00CF0161"/>
    <w:rsid w:val="00CF33F3"/>
    <w:rsid w:val="00D06183"/>
    <w:rsid w:val="00D22C42"/>
    <w:rsid w:val="00D247E5"/>
    <w:rsid w:val="00D54A49"/>
    <w:rsid w:val="00D55EDD"/>
    <w:rsid w:val="00D65041"/>
    <w:rsid w:val="00D97D51"/>
    <w:rsid w:val="00DA7B24"/>
    <w:rsid w:val="00DB1936"/>
    <w:rsid w:val="00DB384B"/>
    <w:rsid w:val="00DC724D"/>
    <w:rsid w:val="00DE2EC5"/>
    <w:rsid w:val="00DF0189"/>
    <w:rsid w:val="00E035B0"/>
    <w:rsid w:val="00E06FD5"/>
    <w:rsid w:val="00E10E80"/>
    <w:rsid w:val="00E124F0"/>
    <w:rsid w:val="00E20EA7"/>
    <w:rsid w:val="00E227F3"/>
    <w:rsid w:val="00E23618"/>
    <w:rsid w:val="00E369C8"/>
    <w:rsid w:val="00E5306F"/>
    <w:rsid w:val="00E545C6"/>
    <w:rsid w:val="00E60F04"/>
    <w:rsid w:val="00E65B24"/>
    <w:rsid w:val="00E71F3B"/>
    <w:rsid w:val="00E854E4"/>
    <w:rsid w:val="00E855AD"/>
    <w:rsid w:val="00E86DBF"/>
    <w:rsid w:val="00E973C1"/>
    <w:rsid w:val="00EB0D6F"/>
    <w:rsid w:val="00EB2232"/>
    <w:rsid w:val="00EB35E5"/>
    <w:rsid w:val="00EC5337"/>
    <w:rsid w:val="00EE4407"/>
    <w:rsid w:val="00EE49E8"/>
    <w:rsid w:val="00EF1F29"/>
    <w:rsid w:val="00F16BAB"/>
    <w:rsid w:val="00F2150A"/>
    <w:rsid w:val="00F231D8"/>
    <w:rsid w:val="00F32E4D"/>
    <w:rsid w:val="00F3675F"/>
    <w:rsid w:val="00F44C00"/>
    <w:rsid w:val="00F45D2C"/>
    <w:rsid w:val="00F46C5F"/>
    <w:rsid w:val="00F632C0"/>
    <w:rsid w:val="00F74710"/>
    <w:rsid w:val="00F9183F"/>
    <w:rsid w:val="00F93F52"/>
    <w:rsid w:val="00F94A63"/>
    <w:rsid w:val="00FA1C28"/>
    <w:rsid w:val="00FB1279"/>
    <w:rsid w:val="00FB52F4"/>
    <w:rsid w:val="00FB6B76"/>
    <w:rsid w:val="00FB7596"/>
    <w:rsid w:val="00FE4077"/>
    <w:rsid w:val="00FE500D"/>
    <w:rsid w:val="00FE77D2"/>
    <w:rsid w:val="02919F6D"/>
    <w:rsid w:val="036F309F"/>
    <w:rsid w:val="03CA3A62"/>
    <w:rsid w:val="06367BF7"/>
    <w:rsid w:val="0A7810AF"/>
    <w:rsid w:val="0ADADF9D"/>
    <w:rsid w:val="0C4BA919"/>
    <w:rsid w:val="0EA06BA3"/>
    <w:rsid w:val="0FA7E81C"/>
    <w:rsid w:val="1016CDE8"/>
    <w:rsid w:val="11E390E6"/>
    <w:rsid w:val="138A4292"/>
    <w:rsid w:val="14859CD8"/>
    <w:rsid w:val="15BC9B11"/>
    <w:rsid w:val="17536E8B"/>
    <w:rsid w:val="17BD3D9A"/>
    <w:rsid w:val="1B839C56"/>
    <w:rsid w:val="1BA58780"/>
    <w:rsid w:val="1CA69341"/>
    <w:rsid w:val="1EF43CDE"/>
    <w:rsid w:val="1FFA8914"/>
    <w:rsid w:val="20BF6393"/>
    <w:rsid w:val="21BB869C"/>
    <w:rsid w:val="2228D294"/>
    <w:rsid w:val="222D9EFA"/>
    <w:rsid w:val="2461A354"/>
    <w:rsid w:val="25F00827"/>
    <w:rsid w:val="27EB60D7"/>
    <w:rsid w:val="28E762A6"/>
    <w:rsid w:val="29873138"/>
    <w:rsid w:val="2C8BE5B1"/>
    <w:rsid w:val="2DFBDCE2"/>
    <w:rsid w:val="2FE689C7"/>
    <w:rsid w:val="303602F1"/>
    <w:rsid w:val="3132D32B"/>
    <w:rsid w:val="31EB0F31"/>
    <w:rsid w:val="348AB2D7"/>
    <w:rsid w:val="365F8301"/>
    <w:rsid w:val="381F6377"/>
    <w:rsid w:val="398F65E8"/>
    <w:rsid w:val="3AD3AAFE"/>
    <w:rsid w:val="3B1105F3"/>
    <w:rsid w:val="3B55B15C"/>
    <w:rsid w:val="3CF181BD"/>
    <w:rsid w:val="4143806F"/>
    <w:rsid w:val="418D7F7F"/>
    <w:rsid w:val="43A4F0E2"/>
    <w:rsid w:val="440EBFF1"/>
    <w:rsid w:val="474660B3"/>
    <w:rsid w:val="481A8BB1"/>
    <w:rsid w:val="4A4C5B3B"/>
    <w:rsid w:val="4C67DB6A"/>
    <w:rsid w:val="4C6DD88D"/>
    <w:rsid w:val="50FB95DB"/>
    <w:rsid w:val="52C2D338"/>
    <w:rsid w:val="543CE32E"/>
    <w:rsid w:val="54E33191"/>
    <w:rsid w:val="579053D7"/>
    <w:rsid w:val="58B21FAA"/>
    <w:rsid w:val="592A0F22"/>
    <w:rsid w:val="5A250C5C"/>
    <w:rsid w:val="5A25B618"/>
    <w:rsid w:val="5BBE935A"/>
    <w:rsid w:val="5BF8163B"/>
    <w:rsid w:val="608DAACE"/>
    <w:rsid w:val="63A0D211"/>
    <w:rsid w:val="63F1349D"/>
    <w:rsid w:val="6429CFE5"/>
    <w:rsid w:val="651CA2E2"/>
    <w:rsid w:val="65E220B0"/>
    <w:rsid w:val="676338DE"/>
    <w:rsid w:val="677B0973"/>
    <w:rsid w:val="68261265"/>
    <w:rsid w:val="68469A8F"/>
    <w:rsid w:val="6D16B26B"/>
    <w:rsid w:val="6D8236E8"/>
    <w:rsid w:val="721404E6"/>
    <w:rsid w:val="74D8B26F"/>
    <w:rsid w:val="763D43C1"/>
    <w:rsid w:val="76C66D5C"/>
    <w:rsid w:val="7A5891E5"/>
    <w:rsid w:val="7A775297"/>
    <w:rsid w:val="7B1FFD83"/>
    <w:rsid w:val="7EE28D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8842B19D-6A41-42B1-8A0C-AC25EAD5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95AE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66545D"/>
  </w:style>
  <w:style w:type="character" w:styleId="UnresolvedMention">
    <w:name w:val="Unresolved Mention"/>
    <w:basedOn w:val="DefaultParagraphFont"/>
    <w:uiPriority w:val="99"/>
    <w:semiHidden/>
    <w:unhideWhenUsed/>
    <w:rsid w:val="007A2778"/>
    <w:rPr>
      <w:color w:val="605E5C"/>
      <w:shd w:val="clear" w:color="auto" w:fill="E1DFDD"/>
    </w:rPr>
  </w:style>
  <w:style w:type="character" w:styleId="CommentReference">
    <w:name w:val="annotation reference"/>
    <w:basedOn w:val="DefaultParagraphFont"/>
    <w:semiHidden/>
    <w:unhideWhenUsed/>
    <w:rsid w:val="003F601E"/>
    <w:rPr>
      <w:sz w:val="16"/>
      <w:szCs w:val="16"/>
    </w:rPr>
  </w:style>
  <w:style w:type="paragraph" w:styleId="CommentText">
    <w:name w:val="annotation text"/>
    <w:basedOn w:val="Normal"/>
    <w:link w:val="CommentTextChar"/>
    <w:unhideWhenUsed/>
    <w:rsid w:val="003F601E"/>
    <w:rPr>
      <w:sz w:val="20"/>
    </w:rPr>
  </w:style>
  <w:style w:type="character" w:customStyle="1" w:styleId="CommentTextChar">
    <w:name w:val="Comment Text Char"/>
    <w:basedOn w:val="DefaultParagraphFont"/>
    <w:link w:val="CommentText"/>
    <w:rsid w:val="003F601E"/>
    <w:rPr>
      <w:rFonts w:ascii="Calibri" w:hAnsi="Calibri"/>
      <w:lang w:val="en-GB" w:eastAsia="en-US"/>
    </w:rPr>
  </w:style>
  <w:style w:type="paragraph" w:styleId="CommentSubject">
    <w:name w:val="annotation subject"/>
    <w:basedOn w:val="CommentText"/>
    <w:next w:val="CommentText"/>
    <w:link w:val="CommentSubjectChar"/>
    <w:semiHidden/>
    <w:unhideWhenUsed/>
    <w:rsid w:val="003F601E"/>
    <w:rPr>
      <w:b/>
      <w:bCs/>
    </w:rPr>
  </w:style>
  <w:style w:type="character" w:customStyle="1" w:styleId="CommentSubjectChar">
    <w:name w:val="Comment Subject Char"/>
    <w:basedOn w:val="CommentTextChar"/>
    <w:link w:val="CommentSubject"/>
    <w:semiHidden/>
    <w:rsid w:val="003F601E"/>
    <w:rPr>
      <w:rFonts w:ascii="Calibri" w:hAnsi="Calibri"/>
      <w:b/>
      <w:bCs/>
      <w:lang w:val="en-GB" w:eastAsia="en-US"/>
    </w:rPr>
  </w:style>
  <w:style w:type="paragraph" w:styleId="ListParagraph">
    <w:name w:val="List Paragraph"/>
    <w:basedOn w:val="Normal"/>
    <w:uiPriority w:val="34"/>
    <w:qFormat/>
    <w:rsid w:val="00035544"/>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06D48"/>
    <w:rPr>
      <w:rFonts w:ascii="Calibri" w:hAnsi="Calibri"/>
      <w:sz w:val="24"/>
      <w:lang w:val="en-GB" w:eastAsia="en-US"/>
    </w:rPr>
  </w:style>
  <w:style w:type="paragraph" w:customStyle="1" w:styleId="Subtitle1">
    <w:name w:val="Subtitle1"/>
    <w:basedOn w:val="Title1"/>
    <w:qFormat/>
    <w:rsid w:val="00353E8C"/>
    <w:pPr>
      <w:framePr w:wrap="around" w:vAnchor="margin" w:hAnchor="text"/>
      <w:spacing w:before="12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191-E.pdf" TargetMode="External"/><Relationship Id="rId18" Type="http://schemas.openxmlformats.org/officeDocument/2006/relationships/hyperlink" Target="https://www.itu.int/md/S24-CL-C-0052/en" TargetMode="External"/><Relationship Id="rId26" Type="http://schemas.openxmlformats.org/officeDocument/2006/relationships/hyperlink" Target="https://www.itu.int/en/general-secretariat/Pages/ISCG/default.aspx" TargetMode="External"/><Relationship Id="rId3" Type="http://schemas.openxmlformats.org/officeDocument/2006/relationships/customXml" Target="../customXml/item3.xml"/><Relationship Id="rId21" Type="http://schemas.openxmlformats.org/officeDocument/2006/relationships/hyperlink" Target="https://www.itu.int/en/action/gender-equality/Pages/default.aspx" TargetMode="External"/><Relationship Id="rId7" Type="http://schemas.openxmlformats.org/officeDocument/2006/relationships/settings" Target="settings.xml"/><Relationship Id="rId12" Type="http://schemas.openxmlformats.org/officeDocument/2006/relationships/hyperlink" Target="https://www.itu.int/en/council/Documents/basic-texts-2023/RES-025-E.pdf" TargetMode="External"/><Relationship Id="rId17" Type="http://schemas.openxmlformats.org/officeDocument/2006/relationships/hyperlink" Target="https://www.itu.int/md/S24-CL-C-0049/en" TargetMode="External"/><Relationship Id="rId25" Type="http://schemas.openxmlformats.org/officeDocument/2006/relationships/hyperlink" Target="https://council.itu.int/2024/en/networking/resourc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24-CL-INF-0004/en" TargetMode="External"/><Relationship Id="rId20" Type="http://schemas.openxmlformats.org/officeDocument/2006/relationships/hyperlink" Target="https://www.itu.int/en/action/accessibility/Documents/ITU%20Accessibility%20Policy.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71-E.pdf" TargetMode="External"/><Relationship Id="rId24" Type="http://schemas.openxmlformats.org/officeDocument/2006/relationships/hyperlink" Target="https://www.itu.int/md/S24-CL-C-0025/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3-CWGFHR16-C-0013/en" TargetMode="External"/><Relationship Id="rId23" Type="http://schemas.openxmlformats.org/officeDocument/2006/relationships/hyperlink" Target="https://www.itu.int/md/S23-CL-C-0076/" TargetMode="External"/><Relationship Id="rId28" Type="http://schemas.openxmlformats.org/officeDocument/2006/relationships/hyperlink" Target="https://www.itu.int/md/S24-CL-C-0035/en" TargetMode="External"/><Relationship Id="rId10" Type="http://schemas.openxmlformats.org/officeDocument/2006/relationships/endnotes" Target="endnotes.xml"/><Relationship Id="rId19" Type="http://schemas.openxmlformats.org/officeDocument/2006/relationships/hyperlink" Target="https://www.un.org/management/sites/www.un.org.management/files/un-system-model-code-conduct.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DEC-005-E.pdf" TargetMode="External"/><Relationship Id="rId22" Type="http://schemas.openxmlformats.org/officeDocument/2006/relationships/hyperlink" Target="https://www.itu.int/md/S23-CL-C-0125/en" TargetMode="External"/><Relationship Id="rId27" Type="http://schemas.openxmlformats.org/officeDocument/2006/relationships/hyperlink" Target="https://view.officeapps.live.com/op/view.aspx?src=https://www.itu.int/dms_pub/itu-r/opb/res/R-RES-R.75-2023-MSW-E.docx&amp;wdOrigin=BROWSELINK"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8b04e1e-0540-4930-9623-702d547a0a33">
      <UserInfo>
        <DisplayName>Bereaux, Stephen</DisplayName>
        <AccountId>26</AccountId>
        <AccountType/>
      </UserInfo>
      <UserInfo>
        <DisplayName>Erol, Yasmin</DisplayName>
        <AccountId>91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F943B-F8CA-4CE9-B458-E289D5B39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A56309C1-0589-4D84-BD49-6DC0B63DA612}">
  <ds:schemaRefs>
    <ds:schemaRef ds:uri="085b46e1-7f22-4e81-9ba5-912dc5a5fd9a"/>
    <ds:schemaRef ds:uri="http://purl.org/dc/dcmitype/"/>
    <ds:schemaRef ds:uri="http://schemas.openxmlformats.org/package/2006/metadata/core-properties"/>
    <ds:schemaRef ds:uri="http://www.w3.org/XML/1998/namespace"/>
    <ds:schemaRef ds:uri="http://purl.org/dc/terms/"/>
    <ds:schemaRef ds:uri="98b04e1e-0540-4930-9623-702d547a0a33"/>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8AF875B-F338-45DC-BE13-78A74FE8C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1896</Words>
  <Characters>12407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the "One ITU" concept</dc:title>
  <dc:subject>Council 2024</dc:subject>
  <dc:creator>author</dc:creator>
  <cp:keywords>C2024, C24, Council-24</cp:keywords>
  <dc:description/>
  <cp:lastModifiedBy>Brouard, Ricarda</cp:lastModifiedBy>
  <cp:revision>2</cp:revision>
  <cp:lastPrinted>2000-07-18T13:30:00Z</cp:lastPrinted>
  <dcterms:created xsi:type="dcterms:W3CDTF">2024-05-15T08:47:00Z</dcterms:created>
  <dcterms:modified xsi:type="dcterms:W3CDTF">2024-05-15T08:47:00Z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y fmtid="{D5CDD505-2E9C-101B-9397-08002B2CF9AE}" pid="9" name="MediaServiceImageTags">
    <vt:lpwstr/>
  </property>
</Properties>
</file>