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C6EEC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4B47DEED" w:rsidR="00796BD3" w:rsidRPr="00CC6EEC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CC6EEC">
              <w:rPr>
                <w:b/>
                <w:lang w:val="ru-RU"/>
              </w:rPr>
              <w:t>Пункт повестки дня:</w:t>
            </w:r>
            <w:r w:rsidR="002A6F9C" w:rsidRPr="00CC6EEC">
              <w:rPr>
                <w:b/>
                <w:bCs/>
                <w:sz w:val="24"/>
                <w:lang w:val="ru-RU"/>
              </w:rPr>
              <w:t xml:space="preserve"> </w:t>
            </w:r>
            <w:r w:rsidR="002A6F9C" w:rsidRPr="00CC6EEC">
              <w:rPr>
                <w:b/>
                <w:bCs/>
                <w:lang w:val="ru-RU"/>
              </w:rPr>
              <w:t>PL 2</w:t>
            </w:r>
          </w:p>
        </w:tc>
        <w:tc>
          <w:tcPr>
            <w:tcW w:w="5245" w:type="dxa"/>
          </w:tcPr>
          <w:p w14:paraId="1A229E63" w14:textId="59AB70A6" w:rsidR="00796BD3" w:rsidRPr="00CC6EE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C6EEC">
              <w:rPr>
                <w:b/>
                <w:lang w:val="ru-RU"/>
              </w:rPr>
              <w:t xml:space="preserve">Документ </w:t>
            </w:r>
            <w:r w:rsidR="00796BD3" w:rsidRPr="00CC6EEC">
              <w:rPr>
                <w:b/>
                <w:lang w:val="ru-RU"/>
              </w:rPr>
              <w:t>C2</w:t>
            </w:r>
            <w:r w:rsidR="00660449" w:rsidRPr="00CC6EEC">
              <w:rPr>
                <w:b/>
                <w:lang w:val="ru-RU"/>
              </w:rPr>
              <w:t>4</w:t>
            </w:r>
            <w:r w:rsidR="00796BD3" w:rsidRPr="00CC6EEC">
              <w:rPr>
                <w:b/>
                <w:lang w:val="ru-RU"/>
              </w:rPr>
              <w:t>/</w:t>
            </w:r>
            <w:r w:rsidR="002A6F9C" w:rsidRPr="00CC6EEC">
              <w:rPr>
                <w:b/>
                <w:lang w:val="ru-RU"/>
              </w:rPr>
              <w:t>17</w:t>
            </w:r>
            <w:r w:rsidR="00796BD3" w:rsidRPr="00CC6EEC">
              <w:rPr>
                <w:b/>
                <w:lang w:val="ru-RU"/>
              </w:rPr>
              <w:t>-R</w:t>
            </w:r>
          </w:p>
        </w:tc>
      </w:tr>
      <w:tr w:rsidR="00796BD3" w:rsidRPr="00CC6EEC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CC6EE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5655639D" w:rsidR="00796BD3" w:rsidRPr="00CC6EEC" w:rsidRDefault="002A6F9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C6EEC">
              <w:rPr>
                <w:b/>
                <w:lang w:val="ru-RU"/>
              </w:rPr>
              <w:t>6</w:t>
            </w:r>
            <w:r w:rsidR="00796BD3" w:rsidRPr="00CC6EEC">
              <w:rPr>
                <w:b/>
                <w:lang w:val="ru-RU"/>
              </w:rPr>
              <w:t xml:space="preserve"> </w:t>
            </w:r>
            <w:r w:rsidRPr="00CC6EEC">
              <w:rPr>
                <w:b/>
                <w:lang w:val="ru-RU"/>
              </w:rPr>
              <w:t>мая</w:t>
            </w:r>
            <w:r w:rsidR="00796BD3" w:rsidRPr="00CC6EEC">
              <w:rPr>
                <w:b/>
                <w:lang w:val="ru-RU"/>
              </w:rPr>
              <w:t xml:space="preserve"> 202</w:t>
            </w:r>
            <w:r w:rsidR="00660449" w:rsidRPr="00CC6EEC">
              <w:rPr>
                <w:b/>
                <w:lang w:val="ru-RU"/>
              </w:rPr>
              <w:t>4</w:t>
            </w:r>
            <w:r w:rsidRPr="00CC6EEC">
              <w:rPr>
                <w:b/>
                <w:lang w:val="ru-RU"/>
              </w:rPr>
              <w:t xml:space="preserve"> года</w:t>
            </w:r>
          </w:p>
        </w:tc>
      </w:tr>
      <w:tr w:rsidR="00796BD3" w:rsidRPr="00CC6EEC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CC6EE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CC6EE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C6EE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C6EEC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CC6EE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CC6EEC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C6EEC" w14:paraId="76139E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4DD5E5" w14:textId="77777777" w:rsidR="00796BD3" w:rsidRPr="00CC6EEC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C6EEC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CC6EEC" w14:paraId="3A9139C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C1601D" w14:textId="51270E9B" w:rsidR="00796BD3" w:rsidRPr="00CC6EEC" w:rsidRDefault="002A6F9C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C6EEC">
              <w:rPr>
                <w:rFonts w:cstheme="minorHAnsi"/>
                <w:sz w:val="32"/>
                <w:szCs w:val="32"/>
                <w:lang w:val="ru-RU"/>
              </w:rPr>
              <w:t>РЕАЛИЗАЦИЯ КОНЦЕПЦИИ "ЕДИНЫЙ МСЭ"</w:t>
            </w:r>
          </w:p>
        </w:tc>
      </w:tr>
      <w:tr w:rsidR="00796BD3" w:rsidRPr="00CC6EEC" w14:paraId="180715E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62BA85" w14:textId="538535C9" w:rsidR="00796BD3" w:rsidRPr="00CC6EE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C6EE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69A6CBE" w14:textId="11BB20BF" w:rsidR="00796BD3" w:rsidRPr="00CC6EEC" w:rsidRDefault="002A6F9C" w:rsidP="00E31DCE">
            <w:pPr>
              <w:rPr>
                <w:lang w:val="ru-RU"/>
              </w:rPr>
            </w:pPr>
            <w:r w:rsidRPr="00CC6EEC">
              <w:rPr>
                <w:lang w:val="ru-RU"/>
              </w:rPr>
              <w:t>Настоящий отчет посвящен реализации концепции "Единый МСЭ" и представляется сессии Совета 2024 года в соответствии с Рекомендацией Полномочной конференции 2022 года (ПК</w:t>
            </w:r>
            <w:r w:rsidRPr="00CC6EEC">
              <w:rPr>
                <w:lang w:val="ru-RU"/>
              </w:rPr>
              <w:noBreakHyphen/>
              <w:t>22).</w:t>
            </w:r>
          </w:p>
          <w:p w14:paraId="3D4A6235" w14:textId="77777777" w:rsidR="00796BD3" w:rsidRPr="00CC6EE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C6EE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A65308" w14:textId="6B343BEC" w:rsidR="00796BD3" w:rsidRPr="00CC6EEC" w:rsidRDefault="002A6F9C" w:rsidP="00E31DCE">
            <w:pPr>
              <w:rPr>
                <w:lang w:val="ru-RU"/>
              </w:rPr>
            </w:pPr>
            <w:r w:rsidRPr="00CC6EEC">
              <w:rPr>
                <w:lang w:val="ru-RU"/>
              </w:rPr>
              <w:t xml:space="preserve">По поручению ПК-22 Совету предлагается </w:t>
            </w:r>
            <w:r w:rsidRPr="00CC6EEC">
              <w:rPr>
                <w:b/>
                <w:bCs/>
                <w:lang w:val="ru-RU"/>
              </w:rPr>
              <w:t>рассмотреть</w:t>
            </w:r>
            <w:r w:rsidRPr="00CC6EEC">
              <w:rPr>
                <w:lang w:val="ru-RU"/>
              </w:rPr>
              <w:t xml:space="preserve"> этот отчет и </w:t>
            </w:r>
            <w:r w:rsidRPr="00CC6EEC">
              <w:rPr>
                <w:b/>
                <w:bCs/>
                <w:lang w:val="ru-RU"/>
              </w:rPr>
              <w:t>представить</w:t>
            </w:r>
            <w:r w:rsidRPr="00CC6EEC">
              <w:rPr>
                <w:lang w:val="ru-RU"/>
              </w:rPr>
              <w:t xml:space="preserve"> отчет о реализации концепции "Единый МСЭ" следующей Полномочной конференции (ПК-26).</w:t>
            </w:r>
          </w:p>
          <w:p w14:paraId="2CCC5A8F" w14:textId="77777777" w:rsidR="00796BD3" w:rsidRPr="00CC6EE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C6EEC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6BAF512" w14:textId="769633C4" w:rsidR="00796BD3" w:rsidRPr="00CC6EEC" w:rsidRDefault="002A6F9C" w:rsidP="00E31DCE">
            <w:pPr>
              <w:rPr>
                <w:lang w:val="ru-RU"/>
              </w:rPr>
            </w:pPr>
            <w:r w:rsidRPr="00CC6EEC">
              <w:rPr>
                <w:lang w:val="ru-RU"/>
              </w:rPr>
              <w:t>Стратегический план является основным правовым инструментом Союза, согласно которому три Сектора, региональные отделения и Генеральный секретариат должны работать совместно для обеспечения согласованности и координации внутри Организации.</w:t>
            </w:r>
          </w:p>
          <w:p w14:paraId="3D587434" w14:textId="5070E2EF" w:rsidR="00796BD3" w:rsidRPr="00CC6EEC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CC6EEC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5F837FC" w14:textId="7857ED61" w:rsidR="002A6F9C" w:rsidRPr="00CC6EEC" w:rsidRDefault="002A6F9C" w:rsidP="002A6F9C">
            <w:pPr>
              <w:rPr>
                <w:lang w:val="ru-RU"/>
              </w:rPr>
            </w:pPr>
            <w:r w:rsidRPr="00CC6EEC">
              <w:rPr>
                <w:lang w:val="ru-RU"/>
              </w:rPr>
              <w:t>В рамках выделенного бюджета на 2024−2025 годы.</w:t>
            </w:r>
          </w:p>
          <w:p w14:paraId="056EBF5E" w14:textId="77777777" w:rsidR="00796BD3" w:rsidRPr="00CC6EEC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C6EEC">
              <w:rPr>
                <w:sz w:val="20"/>
                <w:szCs w:val="18"/>
                <w:lang w:val="ru-RU"/>
              </w:rPr>
              <w:t>__________________</w:t>
            </w:r>
          </w:p>
          <w:p w14:paraId="04B02FC6" w14:textId="77777777" w:rsidR="00796BD3" w:rsidRPr="00CC6EEC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C6EE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625825D" w14:textId="26C9BCA2" w:rsidR="00796BD3" w:rsidRPr="00CC6EEC" w:rsidRDefault="00E0485C" w:rsidP="00E31DCE">
            <w:pPr>
              <w:spacing w:after="160"/>
              <w:rPr>
                <w:lang w:val="ru-RU"/>
              </w:rPr>
            </w:pPr>
            <w:hyperlink r:id="rId7" w:history="1">
              <w:r w:rsidR="002A6F9C" w:rsidRPr="00CC6EEC">
                <w:rPr>
                  <w:rStyle w:val="Hyperlink"/>
                  <w:i/>
                  <w:iCs/>
                  <w:lang w:val="ru-RU"/>
                </w:rPr>
                <w:t>Резолюция 71</w:t>
              </w:r>
            </w:hyperlink>
            <w:r w:rsidR="002A6F9C" w:rsidRPr="00CC6EEC">
              <w:rPr>
                <w:i/>
                <w:iCs/>
                <w:lang w:val="ru-RU"/>
              </w:rPr>
              <w:t xml:space="preserve"> (Пересм. Бухарест, 2022 г.), </w:t>
            </w:r>
            <w:hyperlink r:id="rId8" w:history="1">
              <w:r w:rsidR="002A6F9C" w:rsidRPr="00CC6EEC">
                <w:rPr>
                  <w:rStyle w:val="Hyperlink"/>
                  <w:i/>
                  <w:iCs/>
                  <w:lang w:val="ru-RU"/>
                </w:rPr>
                <w:t>Резолюция 25</w:t>
              </w:r>
            </w:hyperlink>
            <w:r w:rsidR="002A6F9C" w:rsidRPr="00CC6EEC">
              <w:rPr>
                <w:i/>
                <w:iCs/>
                <w:lang w:val="ru-RU"/>
              </w:rPr>
              <w:t xml:space="preserve"> (Пересм. Бухарест, 2022 г.), </w:t>
            </w:r>
            <w:hyperlink r:id="rId9" w:history="1">
              <w:r w:rsidR="002A6F9C" w:rsidRPr="00CC6EEC">
                <w:rPr>
                  <w:rStyle w:val="Hyperlink"/>
                  <w:i/>
                  <w:iCs/>
                  <w:lang w:val="ru-RU"/>
                </w:rPr>
                <w:t>Резолюция 191</w:t>
              </w:r>
            </w:hyperlink>
            <w:r w:rsidR="002A6F9C" w:rsidRPr="00CC6EEC">
              <w:rPr>
                <w:i/>
                <w:iCs/>
                <w:lang w:val="ru-RU"/>
              </w:rPr>
              <w:t xml:space="preserve"> (Пересм. Бухарест, 2022 г.), </w:t>
            </w:r>
            <w:hyperlink r:id="rId10" w:history="1">
              <w:r w:rsidR="002A6F9C" w:rsidRPr="00CC6EEC">
                <w:rPr>
                  <w:rStyle w:val="Hyperlink"/>
                  <w:i/>
                  <w:iCs/>
                  <w:lang w:val="ru-RU"/>
                </w:rPr>
                <w:t>Решение 5</w:t>
              </w:r>
            </w:hyperlink>
            <w:r w:rsidR="002A6F9C" w:rsidRPr="00CC6EEC">
              <w:rPr>
                <w:i/>
                <w:iCs/>
                <w:lang w:val="ru-RU"/>
              </w:rPr>
              <w:t xml:space="preserve"> (Пересм. Бухарест, 2022 г.) Полномочной конференции</w:t>
            </w:r>
          </w:p>
        </w:tc>
      </w:tr>
      <w:bookmarkEnd w:id="2"/>
      <w:bookmarkEnd w:id="6"/>
    </w:tbl>
    <w:p w14:paraId="62E04350" w14:textId="77777777" w:rsidR="00796BD3" w:rsidRPr="00CC6EEC" w:rsidRDefault="00796BD3" w:rsidP="00796BD3">
      <w:pPr>
        <w:rPr>
          <w:lang w:val="ru-RU"/>
        </w:rPr>
      </w:pPr>
    </w:p>
    <w:p w14:paraId="508352B1" w14:textId="77777777" w:rsidR="00165D06" w:rsidRPr="00CC6EE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C6EEC">
        <w:rPr>
          <w:lang w:val="ru-RU"/>
        </w:rPr>
        <w:br w:type="page"/>
      </w:r>
    </w:p>
    <w:p w14:paraId="4E3E7074" w14:textId="28896B18" w:rsidR="002A6F9C" w:rsidRPr="00CC6EEC" w:rsidRDefault="002A6F9C" w:rsidP="000E04A0">
      <w:pPr>
        <w:pStyle w:val="Annextitle"/>
        <w:rPr>
          <w:lang w:val="ru-RU"/>
        </w:rPr>
      </w:pPr>
      <w:r w:rsidRPr="00CC6EEC">
        <w:rPr>
          <w:lang w:val="ru-RU"/>
        </w:rPr>
        <w:lastRenderedPageBreak/>
        <w:t>ОТЧЕТ О РЕАЛИЗАЦИИ КОНЦЕПЦИИ "</w:t>
      </w:r>
      <w:r w:rsidR="00703333" w:rsidRPr="00CC6EEC">
        <w:rPr>
          <w:lang w:val="ru-RU"/>
        </w:rPr>
        <w:t xml:space="preserve">ЕДИНЫЙ </w:t>
      </w:r>
      <w:r w:rsidRPr="00CC6EEC">
        <w:rPr>
          <w:lang w:val="ru-RU"/>
        </w:rPr>
        <w:t>МСЭ"</w:t>
      </w:r>
    </w:p>
    <w:p w14:paraId="4C6CE9E2" w14:textId="79B04080" w:rsidR="002A6F9C" w:rsidRPr="00CC6EEC" w:rsidRDefault="002A6F9C" w:rsidP="002A6F9C">
      <w:pPr>
        <w:pStyle w:val="Heading1"/>
        <w:rPr>
          <w:lang w:val="ru-RU"/>
        </w:rPr>
      </w:pPr>
      <w:r w:rsidRPr="00CC6EEC">
        <w:rPr>
          <w:lang w:val="ru-RU"/>
        </w:rPr>
        <w:t>1</w:t>
      </w:r>
      <w:r w:rsidRPr="00CC6EEC">
        <w:rPr>
          <w:lang w:val="ru-RU"/>
        </w:rPr>
        <w:tab/>
        <w:t>Введение</w:t>
      </w:r>
    </w:p>
    <w:p w14:paraId="0955517B" w14:textId="77777777" w:rsidR="002A6F9C" w:rsidRPr="00CC6EEC" w:rsidRDefault="002A6F9C" w:rsidP="002A6F9C">
      <w:pPr>
        <w:pStyle w:val="Headingb"/>
        <w:rPr>
          <w:lang w:val="ru-RU"/>
        </w:rPr>
      </w:pPr>
      <w:r w:rsidRPr="00CC6EEC">
        <w:rPr>
          <w:lang w:val="ru-RU"/>
        </w:rPr>
        <w:t>Базовая информация</w:t>
      </w:r>
    </w:p>
    <w:p w14:paraId="29238F03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Полномочная конференция 2022 года (Бухарест, 2022 г.) поручила Генеральному секретарю в координации с Директорами Бюро представить сессии Совета 2024 года отчет о реализации концепции "Единый МСЭ".</w:t>
      </w:r>
    </w:p>
    <w:p w14:paraId="543229D3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Одновременно Совету было поручено оценить этот отчет и представить отчет о реализации концепции "Единый МСЭ" следующей Полномочной конференции (ПК-26).</w:t>
      </w:r>
    </w:p>
    <w:p w14:paraId="237B6549" w14:textId="77777777" w:rsidR="002A6F9C" w:rsidRPr="00CC6EEC" w:rsidRDefault="002A6F9C" w:rsidP="002A6F9C">
      <w:pPr>
        <w:pStyle w:val="Headingb"/>
        <w:rPr>
          <w:lang w:val="ru-RU"/>
        </w:rPr>
      </w:pPr>
      <w:r w:rsidRPr="00CC6EEC">
        <w:rPr>
          <w:lang w:val="ru-RU"/>
        </w:rPr>
        <w:t>Онлайновые консультации и определение понятия "Единый МСЭ"</w:t>
      </w:r>
    </w:p>
    <w:p w14:paraId="4FE96EFF" w14:textId="65783FA0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В соответствии с рекомендацией ПК-22 в августе</w:t>
      </w:r>
      <w:r w:rsidR="000E04A0" w:rsidRPr="00CC6EEC">
        <w:rPr>
          <w:lang w:val="ru-RU"/>
        </w:rPr>
        <w:sym w:font="Symbol" w:char="F02D"/>
      </w:r>
      <w:r w:rsidRPr="00CC6EEC">
        <w:rPr>
          <w:lang w:val="ru-RU"/>
        </w:rPr>
        <w:t xml:space="preserve">сентябре 2023 года в рамках Рабочей группы Совета по финансовым и людским ресурсам (РГС-ФЛР) были проведены онлайновые консультации. В ходе консультаций удалось получить ценную информацию о том, как члены воспринимают эффективность деятельности МСЭ и реализации концепции "Единый МСЭ" (Документ </w:t>
      </w:r>
      <w:hyperlink r:id="rId11" w:history="1">
        <w:r w:rsidRPr="00CC6EEC">
          <w:rPr>
            <w:rStyle w:val="Hyperlink"/>
            <w:lang w:val="ru-RU"/>
          </w:rPr>
          <w:t>CWG-FHR-16/13(Add.1)</w:t>
        </w:r>
      </w:hyperlink>
      <w:r w:rsidRPr="00CC6EEC">
        <w:rPr>
          <w:lang w:val="ru-RU"/>
        </w:rPr>
        <w:t>).</w:t>
      </w:r>
    </w:p>
    <w:p w14:paraId="4953FF6F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По итогам консультации было выработано следующее определение понятия "Единый МСЭ":</w:t>
      </w:r>
    </w:p>
    <w:p w14:paraId="367B1426" w14:textId="1021D89E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"</w:t>
      </w:r>
      <w:r w:rsidRPr="00CC6EEC">
        <w:rPr>
          <w:b/>
          <w:bCs/>
          <w:lang w:val="ru-RU"/>
        </w:rPr>
        <w:t>Единый МСЭ</w:t>
      </w:r>
      <w:r w:rsidRPr="00CC6EEC">
        <w:rPr>
          <w:lang w:val="ru-RU"/>
        </w:rPr>
        <w:t xml:space="preserve"> </w:t>
      </w:r>
      <w:r w:rsidRPr="00CC6EEC">
        <w:rPr>
          <w:rFonts w:cs="Calibri"/>
          <w:lang w:val="ru-RU"/>
        </w:rPr>
        <w:t>−</w:t>
      </w:r>
      <w:r w:rsidRPr="00CC6EEC">
        <w:rPr>
          <w:lang w:val="ru-RU"/>
        </w:rPr>
        <w:t xml:space="preserve"> это </w:t>
      </w:r>
      <w:r w:rsidRPr="00CC6EEC">
        <w:rPr>
          <w:b/>
          <w:bCs/>
          <w:lang w:val="ru-RU"/>
        </w:rPr>
        <w:t>стратегический подход</w:t>
      </w:r>
      <w:r w:rsidRPr="00CC6EEC">
        <w:rPr>
          <w:lang w:val="ru-RU"/>
        </w:rPr>
        <w:t xml:space="preserve"> Международного союза электросвязи (МСЭ), направленный на </w:t>
      </w:r>
      <w:r w:rsidRPr="00CC6EEC">
        <w:rPr>
          <w:b/>
          <w:bCs/>
          <w:lang w:val="ru-RU"/>
        </w:rPr>
        <w:t>улучшение координации</w:t>
      </w:r>
      <w:r w:rsidRPr="00CC6EEC">
        <w:rPr>
          <w:lang w:val="ru-RU"/>
        </w:rPr>
        <w:t xml:space="preserve">, </w:t>
      </w:r>
      <w:r w:rsidRPr="00CC6EEC">
        <w:rPr>
          <w:b/>
          <w:bCs/>
          <w:lang w:val="ru-RU"/>
        </w:rPr>
        <w:t>сотрудничества</w:t>
      </w:r>
      <w:r w:rsidRPr="00CC6EEC">
        <w:rPr>
          <w:lang w:val="ru-RU"/>
        </w:rPr>
        <w:t xml:space="preserve"> и </w:t>
      </w:r>
      <w:r w:rsidRPr="00CC6EEC">
        <w:rPr>
          <w:b/>
          <w:bCs/>
          <w:lang w:val="ru-RU"/>
        </w:rPr>
        <w:t>согласованности действий трех его Секторов</w:t>
      </w:r>
      <w:r w:rsidRPr="00CC6EEC">
        <w:rPr>
          <w:lang w:val="ru-RU"/>
        </w:rPr>
        <w:t xml:space="preserve">, </w:t>
      </w:r>
      <w:r w:rsidRPr="00CC6EEC">
        <w:rPr>
          <w:b/>
          <w:bCs/>
          <w:lang w:val="ru-RU"/>
        </w:rPr>
        <w:t>региональных отделений</w:t>
      </w:r>
      <w:r w:rsidRPr="00CC6EEC">
        <w:rPr>
          <w:lang w:val="ru-RU"/>
        </w:rPr>
        <w:t xml:space="preserve"> и Генерального секретариата. Эта концепция </w:t>
      </w:r>
      <w:r w:rsidRPr="00CC6EEC">
        <w:rPr>
          <w:b/>
          <w:bCs/>
          <w:lang w:val="ru-RU"/>
        </w:rPr>
        <w:t>ориентирована на более эффективное и результативное выполнение миссии МСЭ</w:t>
      </w:r>
      <w:r w:rsidRPr="00CC6EEC">
        <w:rPr>
          <w:lang w:val="ru-RU"/>
        </w:rPr>
        <w:t xml:space="preserve"> путем </w:t>
      </w:r>
      <w:r w:rsidRPr="00CC6EEC">
        <w:rPr>
          <w:b/>
          <w:bCs/>
          <w:lang w:val="ru-RU"/>
        </w:rPr>
        <w:t>предотвращения дублирования</w:t>
      </w:r>
      <w:r w:rsidRPr="00CC6EEC">
        <w:rPr>
          <w:lang w:val="ru-RU"/>
        </w:rPr>
        <w:t xml:space="preserve"> усилий, </w:t>
      </w:r>
      <w:r w:rsidRPr="00CC6EEC">
        <w:rPr>
          <w:b/>
          <w:bCs/>
          <w:lang w:val="ru-RU"/>
        </w:rPr>
        <w:t>обеспечения максимальной синергии</w:t>
      </w:r>
      <w:r w:rsidRPr="00CC6EEC">
        <w:rPr>
          <w:lang w:val="ru-RU"/>
        </w:rPr>
        <w:t xml:space="preserve"> и </w:t>
      </w:r>
      <w:r w:rsidRPr="00CC6EEC">
        <w:rPr>
          <w:b/>
          <w:bCs/>
          <w:lang w:val="ru-RU"/>
        </w:rPr>
        <w:t>реализации единого стратегического плана</w:t>
      </w:r>
      <w:r w:rsidRPr="00CC6EEC">
        <w:rPr>
          <w:lang w:val="ru-RU"/>
        </w:rPr>
        <w:t xml:space="preserve"> для </w:t>
      </w:r>
      <w:r w:rsidRPr="00CC6EEC">
        <w:rPr>
          <w:b/>
          <w:bCs/>
          <w:lang w:val="ru-RU"/>
        </w:rPr>
        <w:t>выполнения целей и задач Организации</w:t>
      </w:r>
      <w:r w:rsidRPr="00CC6EEC">
        <w:rPr>
          <w:lang w:val="ru-RU"/>
        </w:rPr>
        <w:t xml:space="preserve"> в непрерывно меняющейся глобальной среде электросвязи".</w:t>
      </w:r>
    </w:p>
    <w:p w14:paraId="2AC0D2F1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Онлайновые консультации ясно показали, что, по мнению членов, для реализации Стратегического плана Союза и поддержки всех членов с целью достижения организационной эффективности важно работать как "Единый МСЭ".</w:t>
      </w:r>
    </w:p>
    <w:p w14:paraId="426938EC" w14:textId="333A51E7" w:rsidR="002A6F9C" w:rsidRPr="00CC6EEC" w:rsidRDefault="002A6F9C" w:rsidP="002A6F9C">
      <w:pPr>
        <w:pStyle w:val="Heading1"/>
        <w:rPr>
          <w:rFonts w:eastAsia="Calibri" w:cs="Calibri"/>
          <w:szCs w:val="24"/>
          <w:lang w:val="ru-RU"/>
        </w:rPr>
      </w:pPr>
      <w:r w:rsidRPr="00CC6EEC">
        <w:rPr>
          <w:lang w:val="ru-RU"/>
        </w:rPr>
        <w:t>2</w:t>
      </w:r>
      <w:r w:rsidRPr="00CC6EEC">
        <w:rPr>
          <w:lang w:val="ru-RU"/>
        </w:rPr>
        <w:tab/>
        <w:t>Работать как "Единый МСЭ"</w:t>
      </w:r>
    </w:p>
    <w:p w14:paraId="59B9999D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С практической точки зрения концепция "Единый МСЭ" предполагает улучшение координации во всех областях работы МСЭ внутри Организации.</w:t>
      </w:r>
    </w:p>
    <w:p w14:paraId="4046FABF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Это предполагает обмен информацией, своевременные ответы одного Бюро на запросы другого (включая Генеральный секретариат), а также работу межсекторальных групп в штаб-квартире и на местах (региональные отделения).</w:t>
      </w:r>
    </w:p>
    <w:p w14:paraId="7E0E3BA3" w14:textId="77777777" w:rsidR="002A6F9C" w:rsidRPr="00CC6EEC" w:rsidRDefault="002A6F9C" w:rsidP="002A6F9C">
      <w:pPr>
        <w:rPr>
          <w:lang w:val="ru-RU"/>
        </w:rPr>
      </w:pPr>
      <w:r w:rsidRPr="00CC6EEC">
        <w:rPr>
          <w:lang w:val="ru-RU"/>
        </w:rPr>
        <w:t>Примеры работы секретариата в соответствии с концепцией "Единый МСЭ":</w:t>
      </w:r>
    </w:p>
    <w:p w14:paraId="0312DCA5" w14:textId="035A64B4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a)</w:t>
      </w:r>
      <w:r w:rsidRPr="00CC6EEC">
        <w:rPr>
          <w:lang w:val="ru-RU"/>
        </w:rPr>
        <w:tab/>
        <w:t>регулярное проведение собраний Координационного комитета (КК) для координации на стратегическом уровне и Руководящей координационной группы (РКГ) (с участием директоров региональных отделений (РКГ+)) для координации на уровне программ;</w:t>
      </w:r>
    </w:p>
    <w:p w14:paraId="05A7664F" w14:textId="5D020412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b)</w:t>
      </w:r>
      <w:r w:rsidRPr="00CC6EEC">
        <w:rPr>
          <w:lang w:val="ru-RU"/>
        </w:rPr>
        <w:tab/>
        <w:t>Межсекторальная целевая группа по координации (ЦГ-МСК), целью которой является улучшение координации и сотрудничества трех Бюро и Генерального секретариата, для того чтобы не допускать внутреннего дублирования усилий и оптимизировать использование ресурсов, определила более 40 тем, которые требуют межсекторальной координации и учреждения межсекторальных групп для координации работы;</w:t>
      </w:r>
    </w:p>
    <w:p w14:paraId="020C994E" w14:textId="1BF8C773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lastRenderedPageBreak/>
        <w:t>c)</w:t>
      </w:r>
      <w:r w:rsidRPr="00CC6EEC">
        <w:rPr>
          <w:lang w:val="ru-RU"/>
        </w:rPr>
        <w:tab/>
        <w:t>межсекторальные группы, оказывающие поддержку в вопросах проведения всех глобальных конференций МСЭ, трансформации МСЭ, финансового планирования и управления, процессов и процедур управления людскими ресурсами, управления изменениями внутри Организации, а также целевые группы по гендерным вопросам и молодежи;</w:t>
      </w:r>
    </w:p>
    <w:p w14:paraId="3861FD13" w14:textId="4120F8E7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d)</w:t>
      </w:r>
      <w:r w:rsidRPr="00CC6EEC">
        <w:rPr>
          <w:lang w:val="ru-RU"/>
        </w:rPr>
        <w:tab/>
        <w:t>подготовка к собраниям Совета и рабочих групп Совета, в рамках которой объединяются материалы разных Секторов по всем вкладам, подготавливаемым секретариатом для представления Генеральным секретарем и избираемыми должностными лицами;</w:t>
      </w:r>
    </w:p>
    <w:p w14:paraId="223691E2" w14:textId="14C63EE3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e)</w:t>
      </w:r>
      <w:r w:rsidRPr="00CC6EEC">
        <w:rPr>
          <w:lang w:val="ru-RU"/>
        </w:rPr>
        <w:tab/>
        <w:t>ежегодное выездное совещание старших руководителей продолжительностью два</w:t>
      </w:r>
      <w:r w:rsidR="00915250" w:rsidRPr="00CC6EEC">
        <w:rPr>
          <w:lang w:val="ru-RU"/>
        </w:rPr>
        <w:t>−</w:t>
      </w:r>
      <w:r w:rsidRPr="00CC6EEC">
        <w:rPr>
          <w:lang w:val="ru-RU"/>
        </w:rPr>
        <w:t>три дня, в котором участвуют около 50 старших руководителей МСЭ из всех Бюро и Генерального секретариата для обсуждения и решения таких ключевых вопросов, как планирование и определение приоритетов, социальное обеспечение персонала: в этом году выездное совещание было посвящено решению вопросов социального обеспечения персонала и улучшения условий труда, при этом в качестве основы для обсуждений использовались результаты Обследования о благополучии персонала системы ООН (данные по МСЭ);</w:t>
      </w:r>
    </w:p>
    <w:p w14:paraId="228755BB" w14:textId="5341CA96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f)</w:t>
      </w:r>
      <w:r w:rsidRPr="00CC6EEC">
        <w:rPr>
          <w:lang w:val="ru-RU"/>
        </w:rPr>
        <w:tab/>
        <w:t>регулярные общие собрания с целью держать персонал в курсе событий в Организации и обеспечить учет беспокоящих их вопросов и предложений по улучшению;</w:t>
      </w:r>
    </w:p>
    <w:p w14:paraId="3CF0BD7A" w14:textId="20BB4233" w:rsidR="002A6F9C" w:rsidRPr="00CC6EEC" w:rsidRDefault="002A6F9C" w:rsidP="002A6F9C">
      <w:pPr>
        <w:pStyle w:val="enumlev1"/>
        <w:rPr>
          <w:lang w:val="ru-RU"/>
        </w:rPr>
      </w:pPr>
      <w:r w:rsidRPr="00CC6EEC">
        <w:rPr>
          <w:lang w:val="ru-RU"/>
        </w:rPr>
        <w:t>g)</w:t>
      </w:r>
      <w:r w:rsidRPr="00CC6EEC">
        <w:rPr>
          <w:lang w:val="ru-RU"/>
        </w:rPr>
        <w:tab/>
        <w:t>персонал Бюро стандартизации электросвязи (БСЭ), находящийся в региональных отделениях, оказывает помощь Государствам-Членам на местах.</w:t>
      </w:r>
    </w:p>
    <w:p w14:paraId="7AA1C34A" w14:textId="77777777" w:rsidR="002A6F9C" w:rsidRPr="00CC6EEC" w:rsidRDefault="002A6F9C" w:rsidP="004F6A06">
      <w:pPr>
        <w:pStyle w:val="Headingb"/>
        <w:rPr>
          <w:lang w:val="ru-RU"/>
        </w:rPr>
      </w:pPr>
      <w:r w:rsidRPr="00CC6EEC">
        <w:rPr>
          <w:lang w:val="ru-RU"/>
        </w:rPr>
        <w:t>Обязательства высшего руководящего состава на 2024 год</w:t>
      </w:r>
    </w:p>
    <w:p w14:paraId="2ACDE326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 xml:space="preserve">Как уже было отмечено, раз в год высшее руководство МСЭ собирается для анализа хода своей работы, выявления новых проблем и определения наилучшего способа их решения. В марте 2024 года обсуждалась тема "Создание МСЭ, отвечающего требованиям будущего, с помощью лидерства, подотчетности и организационной культуры", и в результате высшее руководство обязалось: </w:t>
      </w:r>
    </w:p>
    <w:p w14:paraId="378FE69F" w14:textId="21162E65" w:rsidR="002A6F9C" w:rsidRPr="00CC6EEC" w:rsidRDefault="004F6A06" w:rsidP="004F6A06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определить приоритеты и согласовать ресурсы с приоритетами;</w:t>
      </w:r>
    </w:p>
    <w:p w14:paraId="268F35FC" w14:textId="6B2E41F0" w:rsidR="002A6F9C" w:rsidRPr="00CC6EEC" w:rsidRDefault="004F6A06" w:rsidP="004F6A06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определить общие/продуманные ценности и сделать их известными для всей Организации;</w:t>
      </w:r>
    </w:p>
    <w:p w14:paraId="5F16BE51" w14:textId="68A49703" w:rsidR="002A6F9C" w:rsidRPr="00CC6EEC" w:rsidRDefault="004F6A06" w:rsidP="004F6A06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говорить откровенно на неудобные и сложные темы;</w:t>
      </w:r>
    </w:p>
    <w:p w14:paraId="5E1C3666" w14:textId="6E0B4D0D" w:rsidR="002A6F9C" w:rsidRPr="00CC6EEC" w:rsidRDefault="004F6A06" w:rsidP="004F6A06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расширить права и возможности персонала благодаря доверию и надлежащему управлению людьми, </w:t>
      </w:r>
      <w:r w:rsidR="00CE6EFD" w:rsidRPr="00CC6EEC">
        <w:rPr>
          <w:rFonts w:cs="Calibri"/>
          <w:lang w:val="ru-RU"/>
        </w:rPr>
        <w:t xml:space="preserve">− </w:t>
      </w:r>
      <w:r w:rsidR="002A6F9C" w:rsidRPr="00CC6EEC">
        <w:rPr>
          <w:lang w:val="ru-RU"/>
        </w:rPr>
        <w:t>и все это в рамках психологически безопасной среды для всех.</w:t>
      </w:r>
    </w:p>
    <w:p w14:paraId="7B5FD4BF" w14:textId="62F5156F" w:rsidR="002A6F9C" w:rsidRPr="00CC6EEC" w:rsidRDefault="004F6A06" w:rsidP="004F6A06">
      <w:pPr>
        <w:pStyle w:val="Heading1"/>
        <w:rPr>
          <w:lang w:val="ru-RU"/>
        </w:rPr>
      </w:pPr>
      <w:r w:rsidRPr="00CC6EEC">
        <w:rPr>
          <w:lang w:val="ru-RU"/>
        </w:rPr>
        <w:t>3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"Единый МСЭ" в действии</w:t>
      </w:r>
    </w:p>
    <w:p w14:paraId="2671A098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То, как Организация работает над выполнением своей миссии, целей и приоритетных задач, находит свое отражение в средствах достижения целей, изложенных в Стратегическом плане. Для этого секретариат продолжает работать над эффективным и своевременным предоставлением надежных стандартизированных данных. Например:</w:t>
      </w:r>
    </w:p>
    <w:p w14:paraId="702AAEC6" w14:textId="77A27D33" w:rsidR="002A6F9C" w:rsidRPr="00CC6EEC" w:rsidRDefault="004F6A06" w:rsidP="004F6A06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Развитие людских ресурсов и организационные инновации</w:t>
      </w:r>
    </w:p>
    <w:p w14:paraId="307FCDAE" w14:textId="512DDA2E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Программа МСЭ "Проводники перемен" </w:t>
      </w:r>
      <w:r w:rsidRPr="00CC6EEC">
        <w:rPr>
          <w:rFonts w:cs="Calibri"/>
          <w:lang w:val="ru-RU"/>
        </w:rPr>
        <w:t>−</w:t>
      </w:r>
      <w:r w:rsidR="002A6F9C" w:rsidRPr="00CC6EEC">
        <w:rPr>
          <w:lang w:val="ru-RU"/>
        </w:rPr>
        <w:t xml:space="preserve"> инициатива, начатая в ответ на результаты нескольких диагностических исследований, проведенных МСЭ в последние годы, которая направлена на определение областей, требующих улучшения в целях достижения организационной эффективности. В апреле 2023</w:t>
      </w:r>
      <w:r w:rsidR="00915250" w:rsidRPr="00CC6EEC">
        <w:rPr>
          <w:lang w:val="ru-RU"/>
        </w:rPr>
        <w:t> </w:t>
      </w:r>
      <w:r w:rsidR="002A6F9C" w:rsidRPr="00CC6EEC">
        <w:rPr>
          <w:lang w:val="ru-RU"/>
        </w:rPr>
        <w:t xml:space="preserve">года сотрудники Организации выразили желание присоединиться к </w:t>
      </w:r>
      <w:r w:rsidR="002A6F9C" w:rsidRPr="00CC6EEC">
        <w:rPr>
          <w:lang w:val="ru-RU"/>
        </w:rPr>
        <w:lastRenderedPageBreak/>
        <w:t>программе и подготовить десять примеров перемен для формирования МСЭ изнутри.</w:t>
      </w:r>
    </w:p>
    <w:p w14:paraId="3202477B" w14:textId="1D5CF86C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Совету ежегодно предоставляются сведения об информационной панели (см.</w:t>
      </w:r>
      <w:r w:rsidR="000E04A0" w:rsidRPr="00CC6EEC">
        <w:rPr>
          <w:lang w:val="ru-RU"/>
        </w:rPr>
        <w:t> </w:t>
      </w:r>
      <w:r w:rsidR="002A6F9C" w:rsidRPr="00CC6EEC">
        <w:rPr>
          <w:lang w:val="ru-RU"/>
        </w:rPr>
        <w:t xml:space="preserve">Документ </w:t>
      </w:r>
      <w:hyperlink r:id="rId12" w:history="1">
        <w:r w:rsidR="002A6F9C" w:rsidRPr="00CC6EEC">
          <w:rPr>
            <w:rStyle w:val="Hyperlink"/>
            <w:lang w:val="ru-RU"/>
          </w:rPr>
          <w:t>C24/INF/4</w:t>
        </w:r>
      </w:hyperlink>
      <w:r w:rsidR="002A6F9C" w:rsidRPr="00CC6EEC">
        <w:rPr>
          <w:lang w:val="ru-RU"/>
        </w:rPr>
        <w:t>), на которой в режиме реального времени доступна информация о персонале, в том числе гендерное и географическое распределение, а также о достигнутом прогрессе в отношении персонала, работающего в интересах Секторов на местах (в региональных отделениях).</w:t>
      </w:r>
    </w:p>
    <w:p w14:paraId="1C7D0729" w14:textId="3D54C2C9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Текущая работа по унификации таких процессов, как набор персонала и управление SSA, управление производительностью, а также пересмотренная политика в области функциональной мобильности </w:t>
      </w:r>
      <w:r w:rsidRPr="00CC6EEC">
        <w:rPr>
          <w:lang w:val="ru-RU"/>
        </w:rPr>
        <w:t>−</w:t>
      </w:r>
      <w:r w:rsidR="002A6F9C" w:rsidRPr="00CC6EEC">
        <w:rPr>
          <w:lang w:val="ru-RU"/>
        </w:rPr>
        <w:t xml:space="preserve"> пример перемен, предложенный в рамках Программы МСЭ "Проводники перемен".</w:t>
      </w:r>
    </w:p>
    <w:p w14:paraId="038882B2" w14:textId="78EF76C6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Единый подход к управлению рисками для обновления политики в области управления рисками и соответствующих процессов, а также реестра рисков (см.</w:t>
      </w:r>
      <w:r w:rsidR="000E04A0" w:rsidRPr="00CC6EEC">
        <w:rPr>
          <w:lang w:val="ru-RU"/>
        </w:rPr>
        <w:t> </w:t>
      </w:r>
      <w:r w:rsidR="002A6F9C" w:rsidRPr="00CC6EEC">
        <w:rPr>
          <w:lang w:val="ru-RU"/>
        </w:rPr>
        <w:t xml:space="preserve">Документ </w:t>
      </w:r>
      <w:hyperlink r:id="rId13" w:history="1">
        <w:r w:rsidR="002A6F9C" w:rsidRPr="00CC6EEC">
          <w:rPr>
            <w:rStyle w:val="Hyperlink"/>
            <w:lang w:val="ru-RU"/>
          </w:rPr>
          <w:t>C24/49</w:t>
        </w:r>
      </w:hyperlink>
      <w:r w:rsidR="002A6F9C" w:rsidRPr="00CC6EEC">
        <w:rPr>
          <w:lang w:val="ru-RU"/>
        </w:rPr>
        <w:t>).</w:t>
      </w:r>
    </w:p>
    <w:p w14:paraId="270A8F21" w14:textId="117C6394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Создана новая Группа по трансформации в целях содействия разработке и реализации дорожной карты трансформации для улучшения процессов и более эффективного использования потенциала и ресурсов; некоторые проекты уже ведутся (см. Документ </w:t>
      </w:r>
      <w:hyperlink r:id="rId14" w:history="1">
        <w:r w:rsidR="002A6F9C" w:rsidRPr="00CC6EEC">
          <w:rPr>
            <w:rStyle w:val="Hyperlink"/>
            <w:lang w:val="ru-RU"/>
          </w:rPr>
          <w:t>C24/52</w:t>
        </w:r>
      </w:hyperlink>
      <w:r w:rsidR="002A6F9C" w:rsidRPr="00CC6EEC">
        <w:rPr>
          <w:lang w:val="ru-RU"/>
        </w:rPr>
        <w:t>):</w:t>
      </w:r>
    </w:p>
    <w:p w14:paraId="5B219BC2" w14:textId="4AABEFBC" w:rsidR="002A6F9C" w:rsidRPr="00CC6EEC" w:rsidRDefault="00CE6EFD" w:rsidP="00CE6EFD">
      <w:pPr>
        <w:pStyle w:val="enumlev3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согласованность в организации конференций и мероприятий для обеспечения лучшего комплексного опыта пользователей </w:t>
      </w:r>
      <w:r w:rsidRPr="00CC6EEC">
        <w:rPr>
          <w:lang w:val="ru-RU"/>
        </w:rPr>
        <w:t>−</w:t>
      </w:r>
      <w:r w:rsidR="002A6F9C" w:rsidRPr="00CC6EEC">
        <w:rPr>
          <w:lang w:val="ru-RU"/>
        </w:rPr>
        <w:t xml:space="preserve"> пример перемен, предложенный в рамках Программы МСЭ "Проводники перемен";</w:t>
      </w:r>
    </w:p>
    <w:p w14:paraId="33615937" w14:textId="73E6E782" w:rsidR="002A6F9C" w:rsidRPr="00CC6EEC" w:rsidRDefault="00CE6EFD" w:rsidP="00CE6EFD">
      <w:pPr>
        <w:pStyle w:val="enumlev3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гармонизация и улучшение обработки документов, в том числе улучшение опыта пользователя, </w:t>
      </w:r>
      <w:r w:rsidRPr="00CC6EEC">
        <w:rPr>
          <w:lang w:val="ru-RU"/>
        </w:rPr>
        <w:t>−</w:t>
      </w:r>
      <w:r w:rsidR="002A6F9C" w:rsidRPr="00CC6EEC">
        <w:rPr>
          <w:lang w:val="ru-RU"/>
        </w:rPr>
        <w:t xml:space="preserve"> пример перемен, предложенный в рамках Программы МСЭ "Проводники перемен";</w:t>
      </w:r>
    </w:p>
    <w:p w14:paraId="38A8507F" w14:textId="1B023020" w:rsidR="002A6F9C" w:rsidRPr="00CC6EEC" w:rsidRDefault="00CE6EFD" w:rsidP="00CE6EFD">
      <w:pPr>
        <w:pStyle w:val="enumlev3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цифровизация внутренних процессов </w:t>
      </w:r>
      <w:r w:rsidRPr="00CC6EEC">
        <w:rPr>
          <w:lang w:val="ru-RU"/>
        </w:rPr>
        <w:t>−</w:t>
      </w:r>
      <w:r w:rsidR="002A6F9C" w:rsidRPr="00CC6EEC">
        <w:rPr>
          <w:lang w:val="ru-RU"/>
        </w:rPr>
        <w:t xml:space="preserve"> пример перемен, предложенный в рамках Программы МСЭ "Проводники перемен".</w:t>
      </w:r>
    </w:p>
    <w:p w14:paraId="2C24F6D9" w14:textId="5F1157B5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Развитие потенциала и подготовка кадрового резерва путем разработки для всего МСЭ руководящих указаний по организации учебных занятий, а также использования платформы Академии МСЭ для всех учебных занятий, проводимых МСЭ как для внутренней, так и для внешней аудитории. Также ведется программа "Learning Labs", которая предлагает сотрудникам МСЭ возможность эмпирического обучения, что позволит стимулировать обмен опытом и обеспечение практической подготовки.</w:t>
      </w:r>
    </w:p>
    <w:p w14:paraId="211EAD17" w14:textId="375EA035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Стратегия, направленная на повышение уровня безопасности веб-сайта МСЭ и обеспечение удобства поиска, многоязычия, единообразия и ориентированности на пользователя, при условии гарантии непрерывности деятельности, удобства для членов и пользователей и экономии средств.</w:t>
      </w:r>
    </w:p>
    <w:p w14:paraId="30E2FF0F" w14:textId="1022BBF0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Стратегия в области мобилизации ресурсов в масштабе всего МСЭ для улучшения финансового состояния Организации, обсуждаемая в Рабочей группе Совета по финансовым и людским ресурсам.</w:t>
      </w:r>
    </w:p>
    <w:p w14:paraId="0F5FA2AB" w14:textId="1F909791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Партнерство и международное сотрудничество: передовые платформы для созыва мероприятий МСЭ, Саммит "ИИ во благо" и Форум ВВУИО, организуемые ежегодно; цифровая коалиция "Партнерства для подключения" (Partner2Connect) и цифровые ЦУР как инструменты, способствующие достижению стратегических целей посредством новых партнерств и инвестиций.</w:t>
      </w:r>
    </w:p>
    <w:p w14:paraId="62F020C8" w14:textId="0913640E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Приверженность экологической устойчивости</w:t>
      </w:r>
    </w:p>
    <w:p w14:paraId="31268E5F" w14:textId="2E966F9F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lastRenderedPageBreak/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Политика и план действий МСЭ в области экологической устойчивости, направленные на постоянное улучшение операционного следа Организации в соответствии с этапом 1 Стратегии устойчивости в системе ООН.</w:t>
      </w:r>
    </w:p>
    <w:p w14:paraId="2F3093B3" w14:textId="5C44E075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Инициатива "«Зеленые» цифровые действия", направленная на масштабирование деятельности в области климата и результатов Бюро, а также пилотный проект по созданию общеорганизационного климатического фонда МСЭ.</w:t>
      </w:r>
    </w:p>
    <w:p w14:paraId="759F14EA" w14:textId="15AC91B4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Разнообразие и интеграция</w:t>
      </w:r>
    </w:p>
    <w:p w14:paraId="72F23B82" w14:textId="6801E782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Являясь частью системы ООН, МСЭ соблюдает </w:t>
      </w:r>
      <w:hyperlink r:id="rId15" w:history="1">
        <w:r w:rsidR="002A6F9C" w:rsidRPr="00CC6EEC">
          <w:rPr>
            <w:rStyle w:val="Hyperlink"/>
            <w:lang w:val="ru-RU"/>
          </w:rPr>
          <w:t>Кодекс поведения ООН</w:t>
        </w:r>
      </w:hyperlink>
      <w:r w:rsidR="002A6F9C" w:rsidRPr="00CC6EEC">
        <w:rPr>
          <w:lang w:val="ru-RU"/>
        </w:rPr>
        <w:t>, распространяющийся на персонал и членов, что подчеркивается на каждом собрании, мероприятии и/или в рамках любого вида деятельности.</w:t>
      </w:r>
    </w:p>
    <w:p w14:paraId="51E1D6A6" w14:textId="2C1B5978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hyperlink r:id="rId16" w:history="1">
        <w:r w:rsidR="002A6F9C" w:rsidRPr="00CC6EEC">
          <w:rPr>
            <w:rStyle w:val="Hyperlink"/>
            <w:lang w:val="ru-RU"/>
          </w:rPr>
          <w:t>Политика МСЭ по обеспечению доступности</w:t>
        </w:r>
      </w:hyperlink>
      <w:r w:rsidR="002A6F9C" w:rsidRPr="00CC6EEC">
        <w:rPr>
          <w:lang w:val="ru-RU"/>
        </w:rPr>
        <w:t xml:space="preserve"> для создания механизмов и процессов, которые сделают МСЭ доступной организацией для людей с ограниченными возможностями и с особыми потребностями, в том числе лиц с возрастными нарушениями, а также для расширения деятельности, связанной с доступностью, и увеличения числа соответствующих конечных результатов и намеченных результатов деятельности трех Секторов.</w:t>
      </w:r>
    </w:p>
    <w:p w14:paraId="5FF471D9" w14:textId="30441202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Согласование в масштабах всего МСЭ деятельности в области </w:t>
      </w:r>
      <w:hyperlink r:id="rId17" w:history="1">
        <w:r w:rsidR="002A6F9C" w:rsidRPr="00CC6EEC">
          <w:rPr>
            <w:rStyle w:val="Hyperlink"/>
            <w:lang w:val="ru-RU"/>
          </w:rPr>
          <w:t>обеспечения гендерного равенства и учета гендерных аспектов</w:t>
        </w:r>
      </w:hyperlink>
      <w:r w:rsidR="002A6F9C" w:rsidRPr="00CC6EEC">
        <w:rPr>
          <w:lang w:val="ru-RU"/>
        </w:rPr>
        <w:t>, а также работы Сети женщин (например, NoW для МСЭ-R, МСЭ-T и МСЭ-D).</w:t>
      </w:r>
    </w:p>
    <w:p w14:paraId="3FC07FFA" w14:textId="3E73A028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Молодежная целевая группа, которая обеспечивает место и возможность озвучить свое мнение молодым сотрудникам трех Секторов и Генерального секретариата.</w:t>
      </w:r>
    </w:p>
    <w:p w14:paraId="56FA741C" w14:textId="7651FCAB" w:rsidR="002A6F9C" w:rsidRPr="00CC6EEC" w:rsidRDefault="00CE6EFD" w:rsidP="00CE6EFD">
      <w:pPr>
        <w:pStyle w:val="enumlev2"/>
        <w:rPr>
          <w:rFonts w:ascii="Times New Roman" w:hAnsi="Times New Roman"/>
          <w:color w:val="000000" w:themeColor="text1"/>
          <w:szCs w:val="24"/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szCs w:val="24"/>
          <w:lang w:val="ru-RU"/>
        </w:rPr>
        <w:t xml:space="preserve">Было создано новое подразделение, занимающееся гендерными вопросами и вопросами молодежи (см. Документ </w:t>
      </w:r>
      <w:hyperlink r:id="rId18" w:history="1">
        <w:r w:rsidR="002A6F9C" w:rsidRPr="00CC6EEC">
          <w:rPr>
            <w:rStyle w:val="Hyperlink"/>
            <w:szCs w:val="24"/>
            <w:lang w:val="ru-RU"/>
          </w:rPr>
          <w:t>C23/125</w:t>
        </w:r>
      </w:hyperlink>
      <w:r w:rsidR="002A6F9C" w:rsidRPr="00CC6EEC">
        <w:rPr>
          <w:szCs w:val="24"/>
          <w:lang w:val="ru-RU"/>
        </w:rPr>
        <w:t xml:space="preserve">), </w:t>
      </w:r>
      <w:r w:rsidR="002A6F9C" w:rsidRPr="00CC6EEC">
        <w:rPr>
          <w:rFonts w:cs="Calibri"/>
          <w:szCs w:val="24"/>
          <w:lang w:val="ru-RU"/>
        </w:rPr>
        <w:t>–</w:t>
      </w:r>
      <w:r w:rsidR="002A6F9C" w:rsidRPr="00CC6EEC">
        <w:rPr>
          <w:szCs w:val="24"/>
          <w:lang w:val="ru-RU"/>
        </w:rPr>
        <w:t xml:space="preserve"> вопросами учета гендерной проблематики и расширения прав и возможностей молодежи,</w:t>
      </w:r>
      <w:r w:rsidR="002A6F9C" w:rsidRPr="00CC6EEC">
        <w:rPr>
          <w:lang w:val="ru-RU"/>
        </w:rPr>
        <w:t xml:space="preserve"> </w:t>
      </w:r>
      <w:r w:rsidR="002A6F9C" w:rsidRPr="00CC6EEC">
        <w:rPr>
          <w:szCs w:val="24"/>
          <w:lang w:val="ru-RU"/>
        </w:rPr>
        <w:t>– которое также будет координировать деятельность Сети женщин в рамках Организации (см.</w:t>
      </w:r>
      <w:r w:rsidR="00CC6EEC">
        <w:rPr>
          <w:szCs w:val="24"/>
          <w:lang w:val="en-US"/>
        </w:rPr>
        <w:t> </w:t>
      </w:r>
      <w:r w:rsidR="002A6F9C" w:rsidRPr="00CC6EEC">
        <w:rPr>
          <w:szCs w:val="24"/>
          <w:lang w:val="ru-RU"/>
        </w:rPr>
        <w:t xml:space="preserve">Документ </w:t>
      </w:r>
      <w:hyperlink r:id="rId19" w:history="1">
        <w:r w:rsidR="002A6F9C" w:rsidRPr="00CC6EEC">
          <w:rPr>
            <w:rStyle w:val="Hyperlink"/>
            <w:szCs w:val="24"/>
            <w:lang w:val="ru-RU"/>
          </w:rPr>
          <w:t>C23/76</w:t>
        </w:r>
      </w:hyperlink>
      <w:r w:rsidR="002A6F9C" w:rsidRPr="00CC6EEC">
        <w:rPr>
          <w:szCs w:val="24"/>
          <w:lang w:val="ru-RU"/>
        </w:rPr>
        <w:t>).</w:t>
      </w:r>
    </w:p>
    <w:p w14:paraId="61452B4A" w14:textId="7BEA65DA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Региональное присутствие</w:t>
      </w:r>
    </w:p>
    <w:p w14:paraId="359A9CE9" w14:textId="0ADB0825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Реализация региональных планов действий, согласованных со Стратегическим планом Союза, для содействия выполнению общей задачи достижения стратегических целей МСЭ при обеспечении реальной представленности в работе Союза путем учета географического разнообразия и конкретных потребностей региона (см. Документ </w:t>
      </w:r>
      <w:hyperlink r:id="rId20" w:history="1">
        <w:r w:rsidR="002A6F9C" w:rsidRPr="00CC6EEC">
          <w:rPr>
            <w:rStyle w:val="Hyperlink"/>
            <w:lang w:val="ru-RU"/>
          </w:rPr>
          <w:t>C24/25</w:t>
        </w:r>
      </w:hyperlink>
      <w:r w:rsidR="002A6F9C" w:rsidRPr="00CC6EEC">
        <w:rPr>
          <w:lang w:val="ru-RU"/>
        </w:rPr>
        <w:t>).</w:t>
      </w:r>
    </w:p>
    <w:p w14:paraId="0782671F" w14:textId="0FD41CCE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Координация при проведении мероприятий во избежание дублирования на региональном уровне.</w:t>
      </w:r>
    </w:p>
    <w:p w14:paraId="30BAC6E3" w14:textId="6A525258" w:rsidR="002A6F9C" w:rsidRPr="00CC6EEC" w:rsidRDefault="00CE6EFD" w:rsidP="00CE6EFD">
      <w:pPr>
        <w:pStyle w:val="enumlev1"/>
        <w:rPr>
          <w:lang w:val="ru-RU"/>
        </w:rPr>
      </w:pPr>
      <w:r w:rsidRPr="00CC6EEC">
        <w:rPr>
          <w:lang w:val="ru-RU"/>
        </w:rPr>
        <w:t>•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Ориентация на интересы членов </w:t>
      </w:r>
    </w:p>
    <w:p w14:paraId="086CB5E7" w14:textId="2449C704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На </w:t>
      </w:r>
      <w:hyperlink r:id="rId21" w:anchor="/ru" w:history="1">
        <w:r w:rsidR="002A6F9C" w:rsidRPr="00CC6EEC">
          <w:rPr>
            <w:rStyle w:val="Hyperlink"/>
            <w:lang w:val="ru-RU"/>
          </w:rPr>
          <w:t xml:space="preserve">веб-сайте </w:t>
        </w:r>
        <w:r w:rsidR="002A6F9C" w:rsidRPr="00CC6EEC">
          <w:rPr>
            <w:rStyle w:val="Hyperlink"/>
            <w:lang w:val="ru-RU"/>
          </w:rPr>
          <w:t>С</w:t>
        </w:r>
        <w:r w:rsidR="002A6F9C" w:rsidRPr="00CC6EEC">
          <w:rPr>
            <w:rStyle w:val="Hyperlink"/>
            <w:lang w:val="ru-RU"/>
          </w:rPr>
          <w:t>овета</w:t>
        </w:r>
      </w:hyperlink>
      <w:r w:rsidR="002A6F9C" w:rsidRPr="00CC6EEC">
        <w:rPr>
          <w:lang w:val="ru-RU"/>
        </w:rPr>
        <w:t xml:space="preserve"> доступна информационная панель для Членов Секторов, на которой отображаются статистические данные о Членах Секторов в разбивке по категориям и Секторам.</w:t>
      </w:r>
    </w:p>
    <w:p w14:paraId="4D8B24AD" w14:textId="12AC11E4" w:rsidR="002A6F9C" w:rsidRPr="00CC6EEC" w:rsidRDefault="00CE6EFD" w:rsidP="00CE6EFD">
      <w:pPr>
        <w:pStyle w:val="enumlev2"/>
        <w:rPr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hyperlink r:id="rId22" w:history="1">
        <w:r w:rsidR="002A6F9C" w:rsidRPr="00CC6EEC">
          <w:rPr>
            <w:rStyle w:val="Hyperlink"/>
            <w:lang w:val="ru-RU"/>
          </w:rPr>
          <w:t>Межсекторальная координационная группа (МСКГ)</w:t>
        </w:r>
      </w:hyperlink>
      <w:r w:rsidR="002A6F9C" w:rsidRPr="00CC6EEC">
        <w:rPr>
          <w:lang w:val="ru-RU"/>
        </w:rPr>
        <w:t>, дающая возможность сторонам, имеющим договоры, которые предусматривают их членство в МСЭ, предлагать пути оптимизации координации и сотрудничества между тремя Секторами и Генеральным секретариатом.</w:t>
      </w:r>
    </w:p>
    <w:p w14:paraId="6E0ADECE" w14:textId="073BB639" w:rsidR="002A6F9C" w:rsidRPr="00CC6EEC" w:rsidRDefault="00CE6EFD" w:rsidP="00CE6EFD">
      <w:pPr>
        <w:pStyle w:val="enumlev2"/>
        <w:rPr>
          <w:b/>
          <w:bCs/>
          <w:lang w:val="ru-RU"/>
        </w:rPr>
      </w:pPr>
      <w:r w:rsidRPr="00CC6EEC">
        <w:rPr>
          <w:lang w:val="ru-RU"/>
        </w:rPr>
        <w:t>−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 xml:space="preserve">Усилия исследовательских комиссий по обеспечению согласованности работы, внутренней координации и оптимизации использования ресурсов (например, </w:t>
      </w:r>
      <w:hyperlink r:id="rId23" w:history="1">
        <w:r w:rsidR="002A6F9C" w:rsidRPr="00CC6EEC">
          <w:rPr>
            <w:rStyle w:val="Hyperlink"/>
            <w:lang w:val="ru-RU"/>
          </w:rPr>
          <w:t>Резолюция М</w:t>
        </w:r>
        <w:r w:rsidR="002A6F9C" w:rsidRPr="00CC6EEC">
          <w:rPr>
            <w:rStyle w:val="Hyperlink"/>
            <w:lang w:val="ru-RU"/>
          </w:rPr>
          <w:t>С</w:t>
        </w:r>
        <w:r w:rsidR="002A6F9C" w:rsidRPr="00CC6EEC">
          <w:rPr>
            <w:rStyle w:val="Hyperlink"/>
            <w:lang w:val="ru-RU"/>
          </w:rPr>
          <w:t>Э-R 75</w:t>
        </w:r>
      </w:hyperlink>
      <w:r w:rsidR="002A6F9C" w:rsidRPr="00CC6EEC">
        <w:rPr>
          <w:lang w:val="ru-RU"/>
        </w:rPr>
        <w:t>).</w:t>
      </w:r>
    </w:p>
    <w:p w14:paraId="32127C7F" w14:textId="250D00BF" w:rsidR="002A6F9C" w:rsidRPr="00CC6EEC" w:rsidRDefault="002A6F9C" w:rsidP="004F6A06">
      <w:pPr>
        <w:pStyle w:val="Headingb"/>
        <w:rPr>
          <w:lang w:val="ru-RU"/>
        </w:rPr>
      </w:pPr>
      <w:r w:rsidRPr="00CC6EEC">
        <w:rPr>
          <w:lang w:val="ru-RU"/>
        </w:rPr>
        <w:lastRenderedPageBreak/>
        <w:t>Концепция "Единый МСЭ" в обеспечении согласованности финансовых и оперативных</w:t>
      </w:r>
      <w:r w:rsidR="00CC6EEC">
        <w:rPr>
          <w:lang w:val="en-US"/>
        </w:rPr>
        <w:t> </w:t>
      </w:r>
      <w:r w:rsidRPr="00CC6EEC">
        <w:rPr>
          <w:lang w:val="ru-RU"/>
        </w:rPr>
        <w:t>планов</w:t>
      </w:r>
    </w:p>
    <w:p w14:paraId="0A3EF120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Ежегодно Совету представляется отчет о выполнении Стратегического плана МСЭ, согласованный с финансовой отчетностью Союза.</w:t>
      </w:r>
    </w:p>
    <w:p w14:paraId="2BB51C10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Сочетание этих аспектов, которое может быть достигнуто только посредством тесного сотрудничества между тремя Бюро и Генеральным секретариатом, обеспечивает для МСЭ прозрачность и подотчетность в финансовом управлении, а также всесторонний обзор хода работы по выполнению стратегических задач.</w:t>
      </w:r>
    </w:p>
    <w:p w14:paraId="5E025792" w14:textId="71D0F8F4" w:rsidR="002A6F9C" w:rsidRPr="00CC6EEC" w:rsidRDefault="004F6A06" w:rsidP="004F6A06">
      <w:pPr>
        <w:pStyle w:val="Heading1"/>
        <w:rPr>
          <w:lang w:val="ru-RU"/>
        </w:rPr>
      </w:pPr>
      <w:r w:rsidRPr="00CC6EEC">
        <w:rPr>
          <w:lang w:val="ru-RU"/>
        </w:rPr>
        <w:t>4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Оценка, мониторинг хода работы и последующие шаги</w:t>
      </w:r>
    </w:p>
    <w:p w14:paraId="1AE65A00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 xml:space="preserve">В Документе </w:t>
      </w:r>
      <w:hyperlink r:id="rId24" w:history="1">
        <w:r w:rsidRPr="00CC6EEC">
          <w:rPr>
            <w:rStyle w:val="Hyperlink"/>
            <w:lang w:val="ru-RU"/>
          </w:rPr>
          <w:t>C24/35</w:t>
        </w:r>
      </w:hyperlink>
      <w:r w:rsidRPr="00CC6EEC">
        <w:rPr>
          <w:lang w:val="ru-RU"/>
        </w:rPr>
        <w:t xml:space="preserve"> Совета, который подготовлен с ориентацией на концепцию "Единый МСЭ", заключающуюся в работе, как единое целое, описан ход выполнения Стратегического плана МСЭ. В нем освещаются достижения, проблемы и области для улучшения, связанные с тематическими приоритетами, предлагаемые продукты и услуги, а также средства достижения целей.</w:t>
      </w:r>
    </w:p>
    <w:p w14:paraId="1217834D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Мониторинг задач и оценка конечных результатов также важны для деятельности по управлению МСЭ, чтобы она соотносилась с функционированием Союза и прогрессом в достижении стратегических целей МСЭ.</w:t>
      </w:r>
    </w:p>
    <w:p w14:paraId="2B14D786" w14:textId="3391F030" w:rsidR="002A6F9C" w:rsidRPr="00CC6EEC" w:rsidRDefault="004F6A06" w:rsidP="004F6A06">
      <w:pPr>
        <w:pStyle w:val="Heading1"/>
        <w:rPr>
          <w:lang w:val="ru-RU"/>
        </w:rPr>
      </w:pPr>
      <w:r w:rsidRPr="00CC6EEC">
        <w:rPr>
          <w:lang w:val="ru-RU"/>
        </w:rPr>
        <w:t>5</w:t>
      </w:r>
      <w:r w:rsidRPr="00CC6EEC">
        <w:rPr>
          <w:lang w:val="ru-RU"/>
        </w:rPr>
        <w:tab/>
      </w:r>
      <w:r w:rsidR="002A6F9C" w:rsidRPr="00CC6EEC">
        <w:rPr>
          <w:lang w:val="ru-RU"/>
        </w:rPr>
        <w:t>Заключение</w:t>
      </w:r>
    </w:p>
    <w:p w14:paraId="599CEC25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Примеры и методы, освещенные в этом отчете, демонстрируют работу Организации с использованием концепции "Единый МСЭ".</w:t>
      </w:r>
    </w:p>
    <w:p w14:paraId="741C37AE" w14:textId="0F9E8E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В перспективе, поскольку 2024 год знаменует собой начало нового стратегического цикла (Стратегический план МСЭ на 2024</w:t>
      </w:r>
      <w:r w:rsidR="004F6A06" w:rsidRPr="00CC6EEC">
        <w:rPr>
          <w:lang w:val="ru-RU"/>
        </w:rPr>
        <w:t>−</w:t>
      </w:r>
      <w:r w:rsidRPr="00CC6EEC">
        <w:rPr>
          <w:lang w:val="ru-RU"/>
        </w:rPr>
        <w:t>2027 годы), это также дает возможность сосредоточиться на определении приоритетов, координации и обеспечения согласованности в рамках нового Стратегического плана. Благодаря концепции "Единый МСЭ", которая требует эффективных механизмов планирования и отчетности, МСЭ может продолжать совершенствовать согласованность и эффективное управление и работать над созданием рационального и устойчивого бюджета.</w:t>
      </w:r>
    </w:p>
    <w:p w14:paraId="79911228" w14:textId="77777777" w:rsidR="002A6F9C" w:rsidRPr="00CC6EEC" w:rsidRDefault="002A6F9C" w:rsidP="004F6A06">
      <w:pPr>
        <w:rPr>
          <w:lang w:val="ru-RU"/>
        </w:rPr>
      </w:pPr>
      <w:r w:rsidRPr="00CC6EEC">
        <w:rPr>
          <w:lang w:val="ru-RU"/>
        </w:rPr>
        <w:t>Совету МСЭ предлагается рассмотреть отчет и представить предложения по совершенствованию процесса внедрения концепции "Единый МСЭ", чтобы обеспечить ее реализацию до Полномочной конференции в 2026 году.</w:t>
      </w:r>
    </w:p>
    <w:p w14:paraId="11FA2ED8" w14:textId="77777777" w:rsidR="002A6F9C" w:rsidRPr="00CC6EEC" w:rsidRDefault="002A6F9C" w:rsidP="002A6F9C">
      <w:pPr>
        <w:spacing w:before="720"/>
        <w:jc w:val="center"/>
        <w:rPr>
          <w:lang w:val="ru-RU"/>
        </w:rPr>
      </w:pPr>
      <w:r w:rsidRPr="00CC6EEC">
        <w:rPr>
          <w:lang w:val="ru-RU"/>
        </w:rPr>
        <w:t>______________</w:t>
      </w:r>
    </w:p>
    <w:sectPr w:rsidR="002A6F9C" w:rsidRPr="00CC6EEC" w:rsidSect="00796BD3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399" w14:textId="77777777" w:rsidR="002A6F9C" w:rsidRDefault="002A6F9C">
      <w:r>
        <w:separator/>
      </w:r>
    </w:p>
  </w:endnote>
  <w:endnote w:type="continuationSeparator" w:id="0">
    <w:p w14:paraId="7D2B13E4" w14:textId="77777777" w:rsidR="002A6F9C" w:rsidRDefault="002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3D5A1B" w14:textId="77777777" w:rsidTr="00E31DCE">
      <w:trPr>
        <w:jc w:val="center"/>
      </w:trPr>
      <w:tc>
        <w:tcPr>
          <w:tcW w:w="1803" w:type="dxa"/>
          <w:vAlign w:val="center"/>
        </w:tcPr>
        <w:p w14:paraId="3D8DE184" w14:textId="27AD5F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7116431" w14:textId="785D204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A6F9C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B6A16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F68BF2" w14:textId="77777777" w:rsidTr="00E31DCE">
      <w:trPr>
        <w:jc w:val="center"/>
      </w:trPr>
      <w:tc>
        <w:tcPr>
          <w:tcW w:w="1803" w:type="dxa"/>
          <w:vAlign w:val="center"/>
        </w:tcPr>
        <w:p w14:paraId="29347DC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DC9EF84" w14:textId="14D0A9E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A6F9C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399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6CAB" w14:textId="77777777" w:rsidR="002A6F9C" w:rsidRDefault="002A6F9C">
      <w:r>
        <w:t>____________________</w:t>
      </w:r>
    </w:p>
  </w:footnote>
  <w:footnote w:type="continuationSeparator" w:id="0">
    <w:p w14:paraId="72A76AEB" w14:textId="77777777" w:rsidR="002A6F9C" w:rsidRDefault="002A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BA92B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C2F200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F8B4A73" wp14:editId="3DB3EB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CA9C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D7453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863B9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3F311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C4FCC" wp14:editId="1C9E20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5B6A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149204526">
    <w:abstractNumId w:val="1"/>
  </w:num>
  <w:num w:numId="3" w16cid:durableId="1774015402">
    <w:abstractNumId w:val="3"/>
  </w:num>
  <w:num w:numId="4" w16cid:durableId="1084642363">
    <w:abstractNumId w:val="2"/>
  </w:num>
  <w:num w:numId="5" w16cid:durableId="132516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04A0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3054"/>
    <w:rsid w:val="00225368"/>
    <w:rsid w:val="00227FF0"/>
    <w:rsid w:val="00291EB6"/>
    <w:rsid w:val="002A6F9C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6A06"/>
    <w:rsid w:val="005A64D5"/>
    <w:rsid w:val="005B3DEC"/>
    <w:rsid w:val="00601994"/>
    <w:rsid w:val="00660449"/>
    <w:rsid w:val="00672F8A"/>
    <w:rsid w:val="006E2D42"/>
    <w:rsid w:val="00703333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5250"/>
    <w:rsid w:val="00940E96"/>
    <w:rsid w:val="009B0BAE"/>
    <w:rsid w:val="009C1C89"/>
    <w:rsid w:val="009D25B7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C6EEC"/>
    <w:rsid w:val="00CD2009"/>
    <w:rsid w:val="00CE6EFD"/>
    <w:rsid w:val="00CF629C"/>
    <w:rsid w:val="00D92EEA"/>
    <w:rsid w:val="00DA5D4E"/>
    <w:rsid w:val="00E0485C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25-R.pdf" TargetMode="External"/><Relationship Id="rId13" Type="http://schemas.openxmlformats.org/officeDocument/2006/relationships/hyperlink" Target="https://www.itu.int/md/S24-CL-C-0049/en" TargetMode="External"/><Relationship Id="rId18" Type="http://schemas.openxmlformats.org/officeDocument/2006/relationships/hyperlink" Target="https://www.itu.int/md/S23-CL-C-0125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ouncil.itu.int/2024/en/networking/resources/" TargetMode="External"/><Relationship Id="rId7" Type="http://schemas.openxmlformats.org/officeDocument/2006/relationships/hyperlink" Target="https://www.itu.int/en/council/Documents/basic-texts-2023/RES-071-R.pdf" TargetMode="External"/><Relationship Id="rId12" Type="http://schemas.openxmlformats.org/officeDocument/2006/relationships/hyperlink" Target="https://www.itu.int/md/S24-CL-INF-0004/en" TargetMode="External"/><Relationship Id="rId17" Type="http://schemas.openxmlformats.org/officeDocument/2006/relationships/hyperlink" Target="https://www.itu.int/en/action/gender-equality/Pages/default.asp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en/action/accessibility/Documents/ITU%20Accessibility%20Policy.pdf" TargetMode="External"/><Relationship Id="rId20" Type="http://schemas.openxmlformats.org/officeDocument/2006/relationships/hyperlink" Target="https://www.itu.int/md/S24-CL-C-0025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WGFHR16-C-0013/en" TargetMode="External"/><Relationship Id="rId24" Type="http://schemas.openxmlformats.org/officeDocument/2006/relationships/hyperlink" Target="https://www.itu.int/md/S24-CL-C-003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.org/management/sites/www.un.org.management/files/un-system-model-code-conduct.pdf" TargetMode="External"/><Relationship Id="rId23" Type="http://schemas.openxmlformats.org/officeDocument/2006/relationships/hyperlink" Target="https://view.officeapps.live.com/op/view.aspx?src=https://www.itu.int/dms_pub/itu-r/opb/res/R-RES-R.75-2023-MSW-R.docx&amp;wdOrigin=BROWSELI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DEC-005-R.pdf" TargetMode="External"/><Relationship Id="rId19" Type="http://schemas.openxmlformats.org/officeDocument/2006/relationships/hyperlink" Target="https://www.itu.int/md/S23-CL-C-00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91-R.pdf" TargetMode="External"/><Relationship Id="rId14" Type="http://schemas.openxmlformats.org/officeDocument/2006/relationships/hyperlink" Target="https://www.itu.int/md/S24-CL-C-0052/en" TargetMode="External"/><Relationship Id="rId22" Type="http://schemas.openxmlformats.org/officeDocument/2006/relationships/hyperlink" Target="https://www.itu.int/en/general-secretariat/Pages/ISCG/default.aspx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</TotalTime>
  <Pages>6</Pages>
  <Words>1782</Words>
  <Characters>14007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Sikacheva, Violetta</cp:lastModifiedBy>
  <cp:revision>4</cp:revision>
  <cp:lastPrinted>2006-03-28T16:12:00Z</cp:lastPrinted>
  <dcterms:created xsi:type="dcterms:W3CDTF">2024-05-24T10:56:00Z</dcterms:created>
  <dcterms:modified xsi:type="dcterms:W3CDTF">2024-05-24T11:47:00Z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