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F627CF" w14:paraId="16C8DD02" w14:textId="77777777" w:rsidTr="00C538FC">
        <w:trPr>
          <w:cantSplit/>
          <w:trHeight w:val="23"/>
        </w:trPr>
        <w:tc>
          <w:tcPr>
            <w:tcW w:w="3969" w:type="dxa"/>
            <w:vMerge w:val="restart"/>
            <w:tcMar>
              <w:left w:w="0" w:type="dxa"/>
            </w:tcMar>
          </w:tcPr>
          <w:p w14:paraId="380780FF" w14:textId="079EEBEC" w:rsidR="00FE57F6" w:rsidRPr="00F627CF" w:rsidRDefault="00E2301A" w:rsidP="00C538FC">
            <w:pPr>
              <w:tabs>
                <w:tab w:val="left" w:pos="851"/>
              </w:tabs>
              <w:spacing w:before="0" w:line="240" w:lineRule="atLeast"/>
              <w:rPr>
                <w:b/>
              </w:rPr>
            </w:pPr>
            <w:bookmarkStart w:id="0" w:name="_Hlk133421839"/>
            <w:r w:rsidRPr="00F627CF">
              <w:rPr>
                <w:b/>
              </w:rPr>
              <w:t>Punto del orden del día: ADM 1</w:t>
            </w:r>
          </w:p>
        </w:tc>
        <w:tc>
          <w:tcPr>
            <w:tcW w:w="5245" w:type="dxa"/>
          </w:tcPr>
          <w:p w14:paraId="12EC8577" w14:textId="05E3D11F" w:rsidR="00FE57F6" w:rsidRPr="00F627CF" w:rsidRDefault="00FE57F6" w:rsidP="00C538FC">
            <w:pPr>
              <w:tabs>
                <w:tab w:val="left" w:pos="851"/>
              </w:tabs>
              <w:spacing w:before="0" w:line="240" w:lineRule="atLeast"/>
              <w:jc w:val="right"/>
              <w:rPr>
                <w:b/>
              </w:rPr>
            </w:pPr>
            <w:r w:rsidRPr="00F627CF">
              <w:rPr>
                <w:b/>
              </w:rPr>
              <w:t>Document</w:t>
            </w:r>
            <w:r w:rsidR="00F24B71" w:rsidRPr="00F627CF">
              <w:rPr>
                <w:b/>
              </w:rPr>
              <w:t>o</w:t>
            </w:r>
            <w:r w:rsidRPr="00F627CF">
              <w:rPr>
                <w:b/>
              </w:rPr>
              <w:t xml:space="preserve"> C2</w:t>
            </w:r>
            <w:r w:rsidR="0064481D" w:rsidRPr="00F627CF">
              <w:rPr>
                <w:b/>
              </w:rPr>
              <w:t>4</w:t>
            </w:r>
            <w:r w:rsidRPr="00F627CF">
              <w:rPr>
                <w:b/>
              </w:rPr>
              <w:t>/</w:t>
            </w:r>
            <w:r w:rsidR="00E2301A" w:rsidRPr="00F627CF">
              <w:rPr>
                <w:b/>
              </w:rPr>
              <w:t>19</w:t>
            </w:r>
            <w:r w:rsidRPr="00F627CF">
              <w:rPr>
                <w:b/>
              </w:rPr>
              <w:t>-</w:t>
            </w:r>
            <w:r w:rsidR="00F24B71" w:rsidRPr="00F627CF">
              <w:rPr>
                <w:b/>
              </w:rPr>
              <w:t>S</w:t>
            </w:r>
          </w:p>
        </w:tc>
      </w:tr>
      <w:tr w:rsidR="00FE57F6" w:rsidRPr="00F627CF" w14:paraId="2F7BAD0F" w14:textId="77777777" w:rsidTr="00C538FC">
        <w:trPr>
          <w:cantSplit/>
        </w:trPr>
        <w:tc>
          <w:tcPr>
            <w:tcW w:w="3969" w:type="dxa"/>
            <w:vMerge/>
          </w:tcPr>
          <w:p w14:paraId="32D340BD" w14:textId="77777777" w:rsidR="00FE57F6" w:rsidRPr="00F627CF" w:rsidRDefault="00FE57F6" w:rsidP="00C538FC">
            <w:pPr>
              <w:tabs>
                <w:tab w:val="left" w:pos="851"/>
              </w:tabs>
              <w:spacing w:line="240" w:lineRule="atLeast"/>
              <w:rPr>
                <w:b/>
              </w:rPr>
            </w:pPr>
          </w:p>
        </w:tc>
        <w:tc>
          <w:tcPr>
            <w:tcW w:w="5245" w:type="dxa"/>
          </w:tcPr>
          <w:p w14:paraId="6D67502D" w14:textId="61ED5AC2" w:rsidR="00FE57F6" w:rsidRPr="00F627CF" w:rsidRDefault="00E2301A" w:rsidP="00C538FC">
            <w:pPr>
              <w:tabs>
                <w:tab w:val="left" w:pos="851"/>
              </w:tabs>
              <w:spacing w:before="0"/>
              <w:jc w:val="right"/>
              <w:rPr>
                <w:b/>
              </w:rPr>
            </w:pPr>
            <w:r w:rsidRPr="00F627CF">
              <w:rPr>
                <w:b/>
              </w:rPr>
              <w:t>9 de abril de</w:t>
            </w:r>
            <w:r w:rsidR="00FE57F6" w:rsidRPr="00F627CF">
              <w:rPr>
                <w:b/>
              </w:rPr>
              <w:t xml:space="preserve"> 202</w:t>
            </w:r>
            <w:r w:rsidR="0064481D" w:rsidRPr="00F627CF">
              <w:rPr>
                <w:b/>
              </w:rPr>
              <w:t>4</w:t>
            </w:r>
          </w:p>
        </w:tc>
      </w:tr>
      <w:tr w:rsidR="00FE57F6" w:rsidRPr="00F627CF" w14:paraId="14ED61B8" w14:textId="77777777" w:rsidTr="00C538FC">
        <w:trPr>
          <w:cantSplit/>
          <w:trHeight w:val="23"/>
        </w:trPr>
        <w:tc>
          <w:tcPr>
            <w:tcW w:w="3969" w:type="dxa"/>
            <w:vMerge/>
          </w:tcPr>
          <w:p w14:paraId="36AAE2B4" w14:textId="77777777" w:rsidR="00FE57F6" w:rsidRPr="00F627CF" w:rsidRDefault="00FE57F6" w:rsidP="00C538FC">
            <w:pPr>
              <w:tabs>
                <w:tab w:val="left" w:pos="851"/>
              </w:tabs>
              <w:spacing w:line="240" w:lineRule="atLeast"/>
              <w:rPr>
                <w:b/>
              </w:rPr>
            </w:pPr>
          </w:p>
        </w:tc>
        <w:tc>
          <w:tcPr>
            <w:tcW w:w="5245" w:type="dxa"/>
          </w:tcPr>
          <w:p w14:paraId="54C7ED74" w14:textId="77777777" w:rsidR="00FE57F6" w:rsidRPr="00F627CF" w:rsidRDefault="00F24B71" w:rsidP="00C538FC">
            <w:pPr>
              <w:tabs>
                <w:tab w:val="left" w:pos="851"/>
              </w:tabs>
              <w:spacing w:before="0" w:line="240" w:lineRule="atLeast"/>
              <w:jc w:val="right"/>
              <w:rPr>
                <w:b/>
                <w:bCs/>
              </w:rPr>
            </w:pPr>
            <w:r w:rsidRPr="00F627CF">
              <w:rPr>
                <w:rFonts w:cstheme="minorHAnsi"/>
                <w:b/>
                <w:bCs/>
              </w:rPr>
              <w:t>Original: inglés</w:t>
            </w:r>
          </w:p>
        </w:tc>
      </w:tr>
      <w:tr w:rsidR="00FE57F6" w:rsidRPr="00F627CF" w14:paraId="28C23F0D" w14:textId="77777777" w:rsidTr="00C538FC">
        <w:trPr>
          <w:cantSplit/>
          <w:trHeight w:val="23"/>
        </w:trPr>
        <w:tc>
          <w:tcPr>
            <w:tcW w:w="3969" w:type="dxa"/>
          </w:tcPr>
          <w:p w14:paraId="71CA9CDE" w14:textId="77777777" w:rsidR="00FE57F6" w:rsidRPr="00F627CF" w:rsidRDefault="00FE57F6" w:rsidP="00C538FC">
            <w:pPr>
              <w:tabs>
                <w:tab w:val="left" w:pos="851"/>
              </w:tabs>
              <w:spacing w:line="240" w:lineRule="atLeast"/>
              <w:rPr>
                <w:b/>
              </w:rPr>
            </w:pPr>
          </w:p>
        </w:tc>
        <w:tc>
          <w:tcPr>
            <w:tcW w:w="5245" w:type="dxa"/>
          </w:tcPr>
          <w:p w14:paraId="04F0E65D" w14:textId="77777777" w:rsidR="00FE57F6" w:rsidRPr="00F627CF" w:rsidRDefault="00FE57F6" w:rsidP="00C538FC">
            <w:pPr>
              <w:tabs>
                <w:tab w:val="left" w:pos="851"/>
              </w:tabs>
              <w:spacing w:before="0" w:line="240" w:lineRule="atLeast"/>
              <w:jc w:val="right"/>
              <w:rPr>
                <w:b/>
              </w:rPr>
            </w:pPr>
          </w:p>
        </w:tc>
      </w:tr>
      <w:tr w:rsidR="00FE57F6" w:rsidRPr="00F627CF" w14:paraId="0744CD5D" w14:textId="77777777" w:rsidTr="00C538FC">
        <w:trPr>
          <w:cantSplit/>
        </w:trPr>
        <w:tc>
          <w:tcPr>
            <w:tcW w:w="9214" w:type="dxa"/>
            <w:gridSpan w:val="2"/>
            <w:tcMar>
              <w:left w:w="0" w:type="dxa"/>
            </w:tcMar>
          </w:tcPr>
          <w:p w14:paraId="3EF99137" w14:textId="77777777" w:rsidR="00FE57F6" w:rsidRPr="00F627CF" w:rsidRDefault="00F24B71" w:rsidP="00C538FC">
            <w:pPr>
              <w:pStyle w:val="Source"/>
              <w:jc w:val="left"/>
              <w:rPr>
                <w:sz w:val="34"/>
                <w:szCs w:val="34"/>
              </w:rPr>
            </w:pPr>
            <w:r w:rsidRPr="00F627CF">
              <w:rPr>
                <w:rFonts w:cstheme="minorHAnsi"/>
                <w:sz w:val="34"/>
                <w:szCs w:val="34"/>
              </w:rPr>
              <w:t>Informe de</w:t>
            </w:r>
            <w:r w:rsidR="004B5D49" w:rsidRPr="00F627CF">
              <w:rPr>
                <w:rFonts w:cstheme="minorHAnsi"/>
                <w:sz w:val="34"/>
                <w:szCs w:val="34"/>
              </w:rPr>
              <w:t xml:space="preserve"> </w:t>
            </w:r>
            <w:r w:rsidRPr="00F627CF">
              <w:rPr>
                <w:rFonts w:cstheme="minorHAnsi"/>
                <w:sz w:val="34"/>
                <w:szCs w:val="34"/>
              </w:rPr>
              <w:t>l</w:t>
            </w:r>
            <w:r w:rsidR="004B5D49" w:rsidRPr="00F627CF">
              <w:rPr>
                <w:rFonts w:cstheme="minorHAnsi"/>
                <w:sz w:val="34"/>
                <w:szCs w:val="34"/>
              </w:rPr>
              <w:t>a</w:t>
            </w:r>
            <w:r w:rsidRPr="00F627CF">
              <w:rPr>
                <w:rFonts w:cstheme="minorHAnsi"/>
                <w:sz w:val="34"/>
                <w:szCs w:val="34"/>
              </w:rPr>
              <w:t xml:space="preserve"> Secretari</w:t>
            </w:r>
            <w:r w:rsidR="004B5D49" w:rsidRPr="00F627CF">
              <w:rPr>
                <w:rFonts w:cstheme="minorHAnsi"/>
                <w:sz w:val="34"/>
                <w:szCs w:val="34"/>
              </w:rPr>
              <w:t>a</w:t>
            </w:r>
            <w:r w:rsidRPr="00F627CF">
              <w:rPr>
                <w:rFonts w:cstheme="minorHAnsi"/>
                <w:sz w:val="34"/>
                <w:szCs w:val="34"/>
              </w:rPr>
              <w:t xml:space="preserve"> General</w:t>
            </w:r>
          </w:p>
        </w:tc>
      </w:tr>
      <w:tr w:rsidR="00FE57F6" w:rsidRPr="00F627CF" w14:paraId="5E2B474A" w14:textId="77777777" w:rsidTr="00C538FC">
        <w:trPr>
          <w:cantSplit/>
        </w:trPr>
        <w:tc>
          <w:tcPr>
            <w:tcW w:w="9214" w:type="dxa"/>
            <w:gridSpan w:val="2"/>
            <w:tcMar>
              <w:left w:w="0" w:type="dxa"/>
            </w:tcMar>
          </w:tcPr>
          <w:p w14:paraId="75872F37" w14:textId="2E3EF1EA" w:rsidR="00FE57F6" w:rsidRPr="001246E2" w:rsidRDefault="00E2301A" w:rsidP="00C538FC">
            <w:pPr>
              <w:pStyle w:val="Subtitle"/>
              <w:framePr w:hSpace="0" w:wrap="auto" w:hAnchor="text" w:xAlign="left" w:yAlign="inline"/>
              <w:rPr>
                <w:sz w:val="32"/>
                <w:szCs w:val="32"/>
                <w:lang w:val="es-ES_tradnl"/>
              </w:rPr>
            </w:pPr>
            <w:r w:rsidRPr="001246E2">
              <w:rPr>
                <w:rFonts w:cstheme="minorHAnsi"/>
                <w:sz w:val="32"/>
                <w:szCs w:val="32"/>
                <w:lang w:val="es-ES_tradnl"/>
              </w:rPr>
              <w:t>ATRIBUCIONES DE AHORROS CONSEGUIDOS EN LA EJECUCIÓN DEL PRESPUPUESTO DE 2023 Y FONDO DE OPERACIONES DE LAS EXPOSICIONES</w:t>
            </w:r>
          </w:p>
        </w:tc>
      </w:tr>
      <w:tr w:rsidR="00FE57F6" w:rsidRPr="00F627CF"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17DF35CE" w:rsidR="00FE57F6" w:rsidRPr="00F627CF" w:rsidRDefault="00F24B71" w:rsidP="00C538FC">
            <w:pPr>
              <w:spacing w:before="160"/>
              <w:rPr>
                <w:b/>
                <w:bCs/>
                <w:sz w:val="26"/>
                <w:szCs w:val="26"/>
              </w:rPr>
            </w:pPr>
            <w:r w:rsidRPr="00F627CF">
              <w:rPr>
                <w:b/>
                <w:bCs/>
                <w:sz w:val="26"/>
                <w:szCs w:val="26"/>
              </w:rPr>
              <w:t>Finalidad</w:t>
            </w:r>
          </w:p>
          <w:p w14:paraId="2DD1FB34" w14:textId="77777777" w:rsidR="00E2301A" w:rsidRPr="00F627CF" w:rsidRDefault="00E2301A" w:rsidP="00E2301A">
            <w:pPr>
              <w:spacing w:after="120"/>
              <w:jc w:val="both"/>
              <w:rPr>
                <w:rFonts w:asciiTheme="minorHAnsi" w:hAnsiTheme="minorHAnsi" w:cstheme="minorBidi"/>
              </w:rPr>
            </w:pPr>
            <w:r w:rsidRPr="00F627CF">
              <w:t>Este documento tiene por objeto solicitar al Consejo que autorice la utilización de los ahorros dimanantes de la ejecución del presupuesto de 2023 para financiar ciertas actividades que no están cubiertas por el presupuesto ordinario de la Unión. El documento también abarca la utilización del saldo del Fondo de Operaciones de las Exposiciones (FOEX) para la ejecución de proyectos de desarrollo.</w:t>
            </w:r>
          </w:p>
          <w:p w14:paraId="5D1C98A4" w14:textId="77777777" w:rsidR="00FE57F6" w:rsidRPr="00F627CF" w:rsidRDefault="00F24B71" w:rsidP="00C538FC">
            <w:pPr>
              <w:spacing w:before="160"/>
              <w:rPr>
                <w:b/>
                <w:bCs/>
                <w:sz w:val="26"/>
                <w:szCs w:val="26"/>
              </w:rPr>
            </w:pPr>
            <w:r w:rsidRPr="00F627CF">
              <w:rPr>
                <w:b/>
                <w:bCs/>
                <w:sz w:val="26"/>
                <w:szCs w:val="26"/>
              </w:rPr>
              <w:t xml:space="preserve">Acción solicitada </w:t>
            </w:r>
            <w:r w:rsidR="00677A97" w:rsidRPr="00F627CF">
              <w:rPr>
                <w:b/>
                <w:bCs/>
                <w:sz w:val="26"/>
                <w:szCs w:val="26"/>
              </w:rPr>
              <w:t>al</w:t>
            </w:r>
            <w:r w:rsidRPr="00F627CF">
              <w:rPr>
                <w:b/>
                <w:bCs/>
                <w:sz w:val="26"/>
                <w:szCs w:val="26"/>
              </w:rPr>
              <w:t xml:space="preserve"> Consejo</w:t>
            </w:r>
          </w:p>
          <w:p w14:paraId="2D18C291" w14:textId="33A8C7DC" w:rsidR="00FE57F6" w:rsidRPr="00F627CF" w:rsidRDefault="00E2301A" w:rsidP="00E2301A">
            <w:pPr>
              <w:spacing w:before="160"/>
            </w:pPr>
            <w:r w:rsidRPr="00F627CF">
              <w:t xml:space="preserve">Se solicita al Consejo que </w:t>
            </w:r>
            <w:r w:rsidRPr="00F627CF">
              <w:rPr>
                <w:b/>
                <w:bCs/>
              </w:rPr>
              <w:t xml:space="preserve">apruebe </w:t>
            </w:r>
            <w:r w:rsidRPr="00F627CF">
              <w:t xml:space="preserve">el proyecto de Resolución que se </w:t>
            </w:r>
            <w:hyperlink w:anchor="Annex" w:history="1">
              <w:r w:rsidRPr="00F627CF">
                <w:rPr>
                  <w:rStyle w:val="Hyperlink"/>
                </w:rPr>
                <w:t>adjunta</w:t>
              </w:r>
            </w:hyperlink>
            <w:r w:rsidRPr="00F627CF">
              <w:rPr>
                <w:u w:val="single"/>
              </w:rPr>
              <w:t xml:space="preserve"> </w:t>
            </w:r>
            <w:r w:rsidRPr="00F627CF">
              <w:t>a este documento.</w:t>
            </w:r>
          </w:p>
          <w:p w14:paraId="29ECF93D" w14:textId="77777777" w:rsidR="00FE57F6" w:rsidRPr="00F627CF" w:rsidRDefault="00F24B71" w:rsidP="00C538FC">
            <w:pPr>
              <w:spacing w:before="160"/>
              <w:rPr>
                <w:b/>
                <w:bCs/>
                <w:sz w:val="26"/>
                <w:szCs w:val="26"/>
              </w:rPr>
            </w:pPr>
            <w:r w:rsidRPr="00F627CF">
              <w:rPr>
                <w:b/>
                <w:bCs/>
                <w:sz w:val="26"/>
                <w:szCs w:val="26"/>
              </w:rPr>
              <w:t>Vínculos pertinentes con el Plan Estratégico</w:t>
            </w:r>
          </w:p>
          <w:p w14:paraId="0322545C" w14:textId="0EE4C4D8" w:rsidR="00FE57F6" w:rsidRPr="00F627CF" w:rsidRDefault="00E2301A" w:rsidP="00E2301A">
            <w:pPr>
              <w:spacing w:before="160"/>
              <w:rPr>
                <w:szCs w:val="24"/>
              </w:rPr>
            </w:pPr>
            <w:r w:rsidRPr="00F627CF">
              <w:t>Este documento está en consonancia con el plan estratégico de 2024-2027.</w:t>
            </w:r>
          </w:p>
          <w:p w14:paraId="570AED91" w14:textId="6D0816B0" w:rsidR="00FE57F6" w:rsidRPr="00F627CF" w:rsidRDefault="00F24B71" w:rsidP="00C538FC">
            <w:pPr>
              <w:spacing w:before="160"/>
              <w:rPr>
                <w:b/>
                <w:bCs/>
                <w:sz w:val="26"/>
                <w:szCs w:val="26"/>
              </w:rPr>
            </w:pPr>
            <w:r w:rsidRPr="00F627CF">
              <w:rPr>
                <w:b/>
                <w:bCs/>
                <w:sz w:val="26"/>
                <w:szCs w:val="26"/>
              </w:rPr>
              <w:t>Repercusiones financieras</w:t>
            </w:r>
          </w:p>
          <w:p w14:paraId="7FD71236" w14:textId="02BDAACE" w:rsidR="00E2301A" w:rsidRPr="00F627CF" w:rsidRDefault="00E2301A" w:rsidP="00E2301A">
            <w:pPr>
              <w:spacing w:before="160"/>
              <w:rPr>
                <w:b/>
                <w:bCs/>
                <w:sz w:val="26"/>
                <w:szCs w:val="26"/>
              </w:rPr>
            </w:pPr>
            <w:r w:rsidRPr="00F627CF">
              <w:t xml:space="preserve">La atribución de </w:t>
            </w:r>
            <w:r w:rsidRPr="00F627CF">
              <w:rPr>
                <w:b/>
                <w:bCs/>
              </w:rPr>
              <w:t>3</w:t>
            </w:r>
            <w:r w:rsidR="00E335AF" w:rsidRPr="00F627CF">
              <w:rPr>
                <w:b/>
                <w:bCs/>
              </w:rPr>
              <w:t> </w:t>
            </w:r>
            <w:r w:rsidRPr="00F627CF">
              <w:rPr>
                <w:b/>
                <w:bCs/>
              </w:rPr>
              <w:t>157</w:t>
            </w:r>
            <w:r w:rsidR="00E335AF" w:rsidRPr="00F627CF">
              <w:rPr>
                <w:b/>
                <w:bCs/>
              </w:rPr>
              <w:t> </w:t>
            </w:r>
            <w:r w:rsidRPr="00F627CF">
              <w:rPr>
                <w:b/>
                <w:bCs/>
              </w:rPr>
              <w:t>000</w:t>
            </w:r>
            <w:r w:rsidR="00E335AF" w:rsidRPr="00F627CF">
              <w:rPr>
                <w:b/>
                <w:bCs/>
              </w:rPr>
              <w:t> </w:t>
            </w:r>
            <w:r w:rsidRPr="00F627CF">
              <w:rPr>
                <w:b/>
                <w:bCs/>
              </w:rPr>
              <w:t xml:space="preserve">CHF </w:t>
            </w:r>
            <w:r w:rsidRPr="00F627CF">
              <w:t>en concepto de ahorros generados de la ejecución del presupuesto de 2023 a la financiación de actividades que no están cubiertas por el presupuesto ordinario. Trasferencia de</w:t>
            </w:r>
            <w:r w:rsidRPr="00F627CF">
              <w:rPr>
                <w:b/>
                <w:bCs/>
              </w:rPr>
              <w:t xml:space="preserve"> 465</w:t>
            </w:r>
            <w:r w:rsidR="00E335AF" w:rsidRPr="00F627CF">
              <w:rPr>
                <w:b/>
                <w:bCs/>
              </w:rPr>
              <w:t> </w:t>
            </w:r>
            <w:r w:rsidRPr="00F627CF">
              <w:rPr>
                <w:b/>
                <w:bCs/>
              </w:rPr>
              <w:t>000</w:t>
            </w:r>
            <w:r w:rsidR="00E335AF" w:rsidRPr="00F627CF">
              <w:rPr>
                <w:b/>
                <w:bCs/>
              </w:rPr>
              <w:t> </w:t>
            </w:r>
            <w:r w:rsidRPr="00F627CF">
              <w:rPr>
                <w:b/>
                <w:bCs/>
              </w:rPr>
              <w:t>CHF</w:t>
            </w:r>
            <w:r w:rsidRPr="00F627CF">
              <w:t xml:space="preserve"> del FOEX al Fondo para el Desarrollo de las TIC (FD-TIC).</w:t>
            </w:r>
          </w:p>
          <w:p w14:paraId="5948AA98" w14:textId="77777777" w:rsidR="00FE57F6" w:rsidRPr="00F627CF" w:rsidRDefault="00FE57F6" w:rsidP="00C538FC">
            <w:pPr>
              <w:spacing w:before="160"/>
              <w:rPr>
                <w:caps/>
                <w:sz w:val="22"/>
              </w:rPr>
            </w:pPr>
            <w:r w:rsidRPr="00F627CF">
              <w:rPr>
                <w:sz w:val="22"/>
              </w:rPr>
              <w:t>__________________</w:t>
            </w:r>
          </w:p>
          <w:p w14:paraId="53C56EAC" w14:textId="77777777" w:rsidR="00FE57F6" w:rsidRPr="00F627CF" w:rsidRDefault="00F24B71" w:rsidP="00C538FC">
            <w:pPr>
              <w:spacing w:before="160"/>
              <w:rPr>
                <w:b/>
                <w:bCs/>
                <w:sz w:val="26"/>
                <w:szCs w:val="26"/>
              </w:rPr>
            </w:pPr>
            <w:r w:rsidRPr="00F627CF">
              <w:rPr>
                <w:b/>
                <w:bCs/>
                <w:sz w:val="26"/>
                <w:szCs w:val="26"/>
              </w:rPr>
              <w:t>Referencia</w:t>
            </w:r>
          </w:p>
          <w:p w14:paraId="58339413" w14:textId="3A65C27D" w:rsidR="00FE57F6" w:rsidRPr="00F627CF" w:rsidRDefault="00E2301A" w:rsidP="00C538FC">
            <w:pPr>
              <w:spacing w:after="160"/>
            </w:pPr>
            <w:r w:rsidRPr="00F627CF">
              <w:t xml:space="preserve">Decisión 5 (Rev. Bucarest, 2022); </w:t>
            </w:r>
            <w:hyperlink r:id="rId6" w:history="1">
              <w:r w:rsidRPr="00F627CF">
                <w:rPr>
                  <w:rStyle w:val="Hyperlink"/>
                  <w:i/>
                  <w:iCs/>
                </w:rPr>
                <w:t>Resolución 11</w:t>
              </w:r>
            </w:hyperlink>
            <w:r w:rsidRPr="00F627CF">
              <w:rPr>
                <w:i/>
                <w:iCs/>
              </w:rPr>
              <w:t xml:space="preserve"> (derogada,</w:t>
            </w:r>
            <w:r w:rsidRPr="00F627CF">
              <w:t xml:space="preserve"> </w:t>
            </w:r>
            <w:r w:rsidRPr="00F627CF">
              <w:rPr>
                <w:i/>
                <w:iCs/>
              </w:rPr>
              <w:t>Bucarest, 2022) de la Conferencia de Plenipotenciarios;</w:t>
            </w:r>
            <w:r w:rsidRPr="00F627CF">
              <w:t xml:space="preserve"> </w:t>
            </w:r>
            <w:r w:rsidRPr="00F627CF">
              <w:rPr>
                <w:i/>
                <w:iCs/>
              </w:rPr>
              <w:t xml:space="preserve">Resoluciones </w:t>
            </w:r>
            <w:hyperlink r:id="rId7" w:history="1">
              <w:r w:rsidRPr="00F627CF">
                <w:rPr>
                  <w:rStyle w:val="Hyperlink"/>
                  <w:i/>
                  <w:iCs/>
                </w:rPr>
                <w:t>1111</w:t>
              </w:r>
            </w:hyperlink>
            <w:r w:rsidRPr="00F627CF">
              <w:rPr>
                <w:i/>
                <w:iCs/>
                <w:u w:val="single"/>
              </w:rPr>
              <w:t xml:space="preserve"> </w:t>
            </w:r>
            <w:r w:rsidRPr="00F627CF">
              <w:rPr>
                <w:i/>
                <w:iCs/>
              </w:rPr>
              <w:t xml:space="preserve">y </w:t>
            </w:r>
            <w:hyperlink r:id="rId8" w:history="1">
              <w:r w:rsidRPr="00F627CF">
                <w:rPr>
                  <w:rStyle w:val="Hyperlink"/>
                  <w:i/>
                  <w:iCs/>
                </w:rPr>
                <w:t>1338</w:t>
              </w:r>
            </w:hyperlink>
            <w:r w:rsidRPr="00F627CF">
              <w:rPr>
                <w:i/>
                <w:iCs/>
                <w:u w:val="single"/>
              </w:rPr>
              <w:t xml:space="preserve"> </w:t>
            </w:r>
            <w:r w:rsidRPr="00F627CF">
              <w:rPr>
                <w:i/>
                <w:iCs/>
              </w:rPr>
              <w:t>del Consejo;</w:t>
            </w:r>
            <w:r w:rsidRPr="00F627CF">
              <w:t xml:space="preserve"> </w:t>
            </w:r>
            <w:r w:rsidRPr="00F627CF">
              <w:rPr>
                <w:i/>
                <w:iCs/>
              </w:rPr>
              <w:t xml:space="preserve">Documento </w:t>
            </w:r>
            <w:hyperlink r:id="rId9" w:history="1">
              <w:r w:rsidRPr="00F627CF">
                <w:rPr>
                  <w:rStyle w:val="Hyperlink"/>
                  <w:i/>
                  <w:iCs/>
                </w:rPr>
                <w:t>C24/34</w:t>
              </w:r>
            </w:hyperlink>
            <w:r w:rsidRPr="00F627CF">
              <w:rPr>
                <w:i/>
                <w:iCs/>
              </w:rPr>
              <w:t xml:space="preserve"> del Consejo;</w:t>
            </w:r>
            <w:r w:rsidRPr="00F627CF">
              <w:t xml:space="preserve"> </w:t>
            </w:r>
            <w:hyperlink r:id="rId10" w:history="1">
              <w:r w:rsidRPr="00F627CF">
                <w:rPr>
                  <w:rStyle w:val="Hyperlink"/>
                  <w:i/>
                  <w:iCs/>
                </w:rPr>
                <w:t>C23/116</w:t>
              </w:r>
            </w:hyperlink>
            <w:r w:rsidRPr="00F627CF">
              <w:rPr>
                <w:i/>
                <w:iCs/>
                <w:u w:val="single"/>
              </w:rPr>
              <w:t>;</w:t>
            </w:r>
            <w:r w:rsidRPr="00F627CF">
              <w:t xml:space="preserve"> </w:t>
            </w:r>
            <w:hyperlink r:id="rId11" w:history="1">
              <w:r w:rsidRPr="00F627CF">
                <w:rPr>
                  <w:rStyle w:val="Hyperlink"/>
                  <w:i/>
                  <w:iCs/>
                </w:rPr>
                <w:t>C24/INF/2</w:t>
              </w:r>
            </w:hyperlink>
            <w:r w:rsidRPr="00F627CF">
              <w:rPr>
                <w:i/>
                <w:iCs/>
              </w:rPr>
              <w:t xml:space="preserve">, </w:t>
            </w:r>
            <w:hyperlink r:id="rId12" w:history="1">
              <w:r w:rsidRPr="00F627CF">
                <w:rPr>
                  <w:rStyle w:val="Hyperlink"/>
                  <w:i/>
                  <w:iCs/>
                </w:rPr>
                <w:t>C24/52</w:t>
              </w:r>
            </w:hyperlink>
            <w:r w:rsidRPr="00F627CF">
              <w:rPr>
                <w:i/>
                <w:iCs/>
              </w:rPr>
              <w:t xml:space="preserve">, </w:t>
            </w:r>
            <w:hyperlink r:id="rId13" w:history="1">
              <w:r w:rsidRPr="00F627CF">
                <w:rPr>
                  <w:rStyle w:val="Hyperlink"/>
                  <w:i/>
                  <w:iCs/>
                </w:rPr>
                <w:t>C24/53</w:t>
              </w:r>
            </w:hyperlink>
            <w:r w:rsidRPr="00F627CF">
              <w:rPr>
                <w:i/>
                <w:iCs/>
              </w:rPr>
              <w:t xml:space="preserve">, y </w:t>
            </w:r>
            <w:hyperlink r:id="rId14" w:history="1">
              <w:r w:rsidRPr="00F627CF">
                <w:rPr>
                  <w:rStyle w:val="Hyperlink"/>
                  <w:i/>
                  <w:iCs/>
                </w:rPr>
                <w:t>C24/63</w:t>
              </w:r>
            </w:hyperlink>
          </w:p>
        </w:tc>
      </w:tr>
      <w:bookmarkEnd w:id="0"/>
    </w:tbl>
    <w:p w14:paraId="06FD7253" w14:textId="77777777" w:rsidR="00093EEB" w:rsidRPr="00F627CF" w:rsidRDefault="00093EEB"/>
    <w:p w14:paraId="44179D23" w14:textId="77777777" w:rsidR="001559F5" w:rsidRPr="00F627CF" w:rsidRDefault="001559F5">
      <w:pPr>
        <w:tabs>
          <w:tab w:val="clear" w:pos="567"/>
          <w:tab w:val="clear" w:pos="1134"/>
          <w:tab w:val="clear" w:pos="1701"/>
          <w:tab w:val="clear" w:pos="2268"/>
          <w:tab w:val="clear" w:pos="2835"/>
        </w:tabs>
        <w:overflowPunct/>
        <w:autoSpaceDE/>
        <w:autoSpaceDN/>
        <w:adjustRightInd/>
        <w:spacing w:before="0"/>
        <w:textAlignment w:val="auto"/>
      </w:pPr>
      <w:r w:rsidRPr="00F627CF">
        <w:br w:type="page"/>
      </w:r>
    </w:p>
    <w:p w14:paraId="79629275" w14:textId="77777777" w:rsidR="00E2301A" w:rsidRPr="00F627CF" w:rsidRDefault="00E2301A" w:rsidP="007C6CB0">
      <w:pPr>
        <w:pStyle w:val="Heading1"/>
        <w:rPr>
          <w:rFonts w:asciiTheme="minorHAnsi" w:eastAsia="SimSun" w:hAnsiTheme="minorHAnsi" w:cstheme="minorHAnsi"/>
          <w:szCs w:val="24"/>
        </w:rPr>
      </w:pPr>
      <w:r w:rsidRPr="00F627CF">
        <w:lastRenderedPageBreak/>
        <w:t>1</w:t>
      </w:r>
      <w:r w:rsidRPr="00F627CF">
        <w:tab/>
        <w:t>Introducción</w:t>
      </w:r>
    </w:p>
    <w:p w14:paraId="55999268" w14:textId="72B3B06D" w:rsidR="00E2301A" w:rsidRPr="00F627CF" w:rsidRDefault="00E2301A" w:rsidP="007C6CB0">
      <w:pPr>
        <w:rPr>
          <w:rFonts w:asciiTheme="minorHAnsi" w:eastAsia="SimSun" w:hAnsiTheme="minorHAnsi" w:cstheme="minorHAnsi"/>
          <w:szCs w:val="24"/>
        </w:rPr>
      </w:pPr>
      <w:r w:rsidRPr="00F627CF">
        <w:t>Durante la ejecución del presupuesto de 2023, como resultado de la eficiente gestión de los recursos, la dirección no necesitó utilizar los 1</w:t>
      </w:r>
      <w:r w:rsidR="00E335AF" w:rsidRPr="00F627CF">
        <w:t> </w:t>
      </w:r>
      <w:r w:rsidRPr="00F627CF">
        <w:t>734</w:t>
      </w:r>
      <w:r w:rsidR="00E335AF" w:rsidRPr="00F627CF">
        <w:t> </w:t>
      </w:r>
      <w:r w:rsidRPr="00F627CF">
        <w:t>000</w:t>
      </w:r>
      <w:r w:rsidR="00E335AF" w:rsidRPr="00F627CF">
        <w:t> </w:t>
      </w:r>
      <w:r w:rsidRPr="00F627CF">
        <w:t>CHF autorizados por la Resolución 1405 para equilibrar el presupuesto de 2023. Además, el ejercicio presupuestario se cerró con un excedente de 1</w:t>
      </w:r>
      <w:r w:rsidR="00E335AF" w:rsidRPr="00F627CF">
        <w:t> </w:t>
      </w:r>
      <w:r w:rsidRPr="00F627CF">
        <w:t>423</w:t>
      </w:r>
      <w:r w:rsidR="00E335AF" w:rsidRPr="00F627CF">
        <w:t> </w:t>
      </w:r>
      <w:r w:rsidRPr="00F627CF">
        <w:t>584</w:t>
      </w:r>
      <w:r w:rsidR="00E335AF" w:rsidRPr="00F627CF">
        <w:t>,</w:t>
      </w:r>
      <w:r w:rsidRPr="00F627CF">
        <w:t>81</w:t>
      </w:r>
      <w:r w:rsidR="00E335AF" w:rsidRPr="00F627CF">
        <w:t> </w:t>
      </w:r>
      <w:r w:rsidRPr="00F627CF">
        <w:t xml:space="preserve">CHF. Por consiguiente, sigue habiendo </w:t>
      </w:r>
      <w:r w:rsidRPr="00F627CF">
        <w:rPr>
          <w:b/>
          <w:bCs/>
          <w:i/>
          <w:iCs/>
        </w:rPr>
        <w:t>3</w:t>
      </w:r>
      <w:r w:rsidR="00E335AF" w:rsidRPr="00F627CF">
        <w:rPr>
          <w:b/>
          <w:bCs/>
          <w:i/>
          <w:iCs/>
        </w:rPr>
        <w:t> </w:t>
      </w:r>
      <w:r w:rsidRPr="00F627CF">
        <w:rPr>
          <w:b/>
          <w:bCs/>
          <w:i/>
          <w:iCs/>
        </w:rPr>
        <w:t>157</w:t>
      </w:r>
      <w:r w:rsidR="00E335AF" w:rsidRPr="00F627CF">
        <w:rPr>
          <w:b/>
          <w:bCs/>
          <w:i/>
          <w:iCs/>
        </w:rPr>
        <w:t> </w:t>
      </w:r>
      <w:r w:rsidRPr="00F627CF">
        <w:rPr>
          <w:b/>
          <w:bCs/>
          <w:i/>
          <w:iCs/>
        </w:rPr>
        <w:t>584,81</w:t>
      </w:r>
      <w:r w:rsidR="00E335AF" w:rsidRPr="00F627CF">
        <w:rPr>
          <w:b/>
          <w:bCs/>
          <w:i/>
          <w:iCs/>
        </w:rPr>
        <w:t> </w:t>
      </w:r>
      <w:r w:rsidRPr="00F627CF">
        <w:rPr>
          <w:b/>
          <w:bCs/>
          <w:i/>
          <w:iCs/>
        </w:rPr>
        <w:t>CHF</w:t>
      </w:r>
      <w:r w:rsidRPr="00F627CF">
        <w:t xml:space="preserve"> para financiar algunas actividades que no están cubiertas por el presupuesto ordinario.</w:t>
      </w:r>
    </w:p>
    <w:p w14:paraId="7F927C04" w14:textId="56292A38" w:rsidR="00E2301A" w:rsidRPr="00F627CF" w:rsidRDefault="00E2301A" w:rsidP="007C6CB0">
      <w:pPr>
        <w:rPr>
          <w:rFonts w:asciiTheme="minorHAnsi" w:eastAsia="SimSun" w:hAnsiTheme="minorHAnsi" w:cstheme="minorHAnsi"/>
          <w:szCs w:val="24"/>
        </w:rPr>
      </w:pPr>
      <w:r w:rsidRPr="00F627CF">
        <w:t>Por consiguiente, el saldo restante en el FOEX es de 465</w:t>
      </w:r>
      <w:r w:rsidR="00E335AF" w:rsidRPr="00F627CF">
        <w:t> </w:t>
      </w:r>
      <w:r w:rsidRPr="00F627CF">
        <w:t>110,56 CHF.</w:t>
      </w:r>
    </w:p>
    <w:p w14:paraId="31AC964C" w14:textId="77777777" w:rsidR="00E2301A" w:rsidRPr="00F627CF" w:rsidRDefault="00E2301A" w:rsidP="007C6CB0">
      <w:pPr>
        <w:pStyle w:val="Heading1"/>
        <w:rPr>
          <w:rFonts w:asciiTheme="minorHAnsi" w:eastAsia="SimSun" w:hAnsiTheme="minorHAnsi" w:cstheme="minorHAnsi"/>
          <w:szCs w:val="24"/>
        </w:rPr>
      </w:pPr>
      <w:r w:rsidRPr="00F627CF">
        <w:t>2</w:t>
      </w:r>
      <w:r w:rsidRPr="00F627CF">
        <w:tab/>
        <w:t>Atribución a la labor posterior a la conferencia de la CMR-23</w:t>
      </w:r>
    </w:p>
    <w:p w14:paraId="450EAA5D" w14:textId="49EA8815" w:rsidR="00E2301A" w:rsidRPr="00F627CF" w:rsidRDefault="00E2301A" w:rsidP="007C6CB0">
      <w:pPr>
        <w:rPr>
          <w:rFonts w:asciiTheme="minorHAnsi" w:eastAsia="SimSun" w:hAnsiTheme="minorHAnsi" w:cstheme="minorBidi"/>
        </w:rPr>
      </w:pPr>
      <w:r w:rsidRPr="00F627CF">
        <w:t>La CMR-23 ha adoptado decisiones y resoluciones con importantes consecuencias financieras cifradas en unos 12,5 millones</w:t>
      </w:r>
      <w:r w:rsidR="00E335AF" w:rsidRPr="00F627CF">
        <w:t> </w:t>
      </w:r>
      <w:r w:rsidRPr="00F627CF">
        <w:t xml:space="preserve">CHF durante un periodo de 4 años (2024-2027). La Oficina de Radiocomunicaciones llevó a cabo una evaluación detallada del importe mínimo necesario para aplicar las decisiones necesarias de la CMR-23 en 2024, como se muestra en el Documento </w:t>
      </w:r>
      <w:hyperlink r:id="rId15" w:history="1">
        <w:r w:rsidRPr="00F627CF">
          <w:rPr>
            <w:rStyle w:val="Hyperlink"/>
          </w:rPr>
          <w:t>C24/63</w:t>
        </w:r>
      </w:hyperlink>
      <w:r w:rsidRPr="00F627CF">
        <w:t>. Este mínimo absoluto es de 3</w:t>
      </w:r>
      <w:r w:rsidR="00E335AF" w:rsidRPr="00F627CF">
        <w:t> </w:t>
      </w:r>
      <w:r w:rsidRPr="00F627CF">
        <w:t>330</w:t>
      </w:r>
      <w:r w:rsidR="00E335AF" w:rsidRPr="00F627CF">
        <w:t> </w:t>
      </w:r>
      <w:r w:rsidRPr="00F627CF">
        <w:t>000</w:t>
      </w:r>
      <w:r w:rsidR="00E335AF" w:rsidRPr="00F627CF">
        <w:t> </w:t>
      </w:r>
      <w:r w:rsidRPr="00F627CF">
        <w:t>CHF. Como contribución inicial a lo anterior, se propone atribuir el importe completo de los ahorros dimanantes de la ejecución del presupuesto de 2023, es decir,</w:t>
      </w:r>
      <w:r w:rsidRPr="00F627CF">
        <w:rPr>
          <w:b/>
          <w:bCs/>
        </w:rPr>
        <w:t xml:space="preserve"> 1</w:t>
      </w:r>
      <w:r w:rsidR="00E335AF" w:rsidRPr="00F627CF">
        <w:rPr>
          <w:b/>
          <w:bCs/>
        </w:rPr>
        <w:t> </w:t>
      </w:r>
      <w:r w:rsidRPr="00F627CF">
        <w:rPr>
          <w:b/>
          <w:bCs/>
        </w:rPr>
        <w:t>423</w:t>
      </w:r>
      <w:r w:rsidR="00E335AF" w:rsidRPr="00F627CF">
        <w:rPr>
          <w:b/>
          <w:bCs/>
        </w:rPr>
        <w:t> </w:t>
      </w:r>
      <w:r w:rsidRPr="00F627CF">
        <w:rPr>
          <w:b/>
          <w:bCs/>
        </w:rPr>
        <w:t>000</w:t>
      </w:r>
      <w:r w:rsidR="00E335AF" w:rsidRPr="00F627CF">
        <w:rPr>
          <w:b/>
          <w:bCs/>
        </w:rPr>
        <w:t> </w:t>
      </w:r>
      <w:r w:rsidRPr="00F627CF">
        <w:rPr>
          <w:b/>
          <w:bCs/>
        </w:rPr>
        <w:t xml:space="preserve">CHF </w:t>
      </w:r>
      <w:r w:rsidRPr="00F627CF">
        <w:t>a la aplicación de las decisiones de la CMR-23. La dirección desea amablemente invitar a los Estados Miembros que aporten contribuciones voluntarias para apoyar la aplicación de las decisiones de la CMR-23.</w:t>
      </w:r>
    </w:p>
    <w:p w14:paraId="5EAA99EF" w14:textId="77777777" w:rsidR="00E2301A" w:rsidRPr="00F627CF" w:rsidRDefault="00E2301A" w:rsidP="007C6CB0">
      <w:pPr>
        <w:pStyle w:val="Heading1"/>
        <w:rPr>
          <w:rFonts w:asciiTheme="minorHAnsi" w:eastAsia="SimSun" w:hAnsiTheme="minorHAnsi" w:cstheme="minorHAnsi"/>
          <w:szCs w:val="24"/>
        </w:rPr>
      </w:pPr>
      <w:r w:rsidRPr="00F627CF">
        <w:t>3</w:t>
      </w:r>
      <w:r w:rsidRPr="00F627CF">
        <w:tab/>
        <w:t>Atribución al proceso y la hoja de ruta de transformación, la hoja de ruta para la mejora del sitio web, el Programa para Jóvenes Profesionales y los preparativos del FMPT-26</w:t>
      </w:r>
    </w:p>
    <w:p w14:paraId="51E05218" w14:textId="65293120" w:rsidR="00E2301A" w:rsidRPr="00F627CF" w:rsidRDefault="00E2301A" w:rsidP="007C6CB0">
      <w:pPr>
        <w:rPr>
          <w:rFonts w:asciiTheme="minorHAnsi" w:eastAsia="SimSun" w:hAnsiTheme="minorHAnsi" w:cstheme="minorBidi"/>
        </w:rPr>
      </w:pPr>
      <w:r w:rsidRPr="00F627CF">
        <w:t>a)</w:t>
      </w:r>
      <w:r w:rsidRPr="00F627CF">
        <w:tab/>
        <w:t xml:space="preserve">Los argumentos para el cambio en materia de excelencia institucional de la UIT se expusieron en el Plan Estratégico de la UIT para 2024-2027 y la Decisión 5 de la Conferencia de Plenipotenciarios. La excelencia institucional se refiere a la mejora de la calidad del trabajo de la Secretaría de la UIT, y la consecuente mejora de los servicios prestados por la Unión a sus Miembros y a otras partes interesadas. El proceso de transformación y la hoja de ruta se estructuran en torno a cuatro pilares: 1) personas y cultura; 2) optimización de los recursos; 3) los sistemas, los procesos y las herramientas; y 4) la gobernanza. La aplicación, detallada en el Documento </w:t>
      </w:r>
      <w:hyperlink r:id="rId16" w:history="1">
        <w:r w:rsidRPr="00F627CF">
          <w:rPr>
            <w:rStyle w:val="Hyperlink"/>
          </w:rPr>
          <w:t>C24/52</w:t>
        </w:r>
      </w:hyperlink>
      <w:r w:rsidRPr="00F627CF">
        <w:t>, requerirá recursos humanos y financieros.</w:t>
      </w:r>
    </w:p>
    <w:p w14:paraId="25BA4E9E" w14:textId="4705F64D" w:rsidR="00E2301A" w:rsidRPr="00F627CF" w:rsidRDefault="00E2301A" w:rsidP="007C6CB0">
      <w:r w:rsidRPr="00F627CF">
        <w:t>b)</w:t>
      </w:r>
      <w:r w:rsidRPr="00F627CF">
        <w:tab/>
        <w:t xml:space="preserve">El proceso de transformación incluye la hoja de ruta para mejorar las búsquedas en el sitio web de la UIT y la armonización de dicho sitio, que se centra en la elaboración de un sitio web moderno, adaptado a los móviles, seguro y multilingüe, caracterizado por una arquitectura de la información unificada y una taxonomía bien definida. El objetivo consiste en proporcionar sólidas capacidades de búsqueda, una navegación fácil para el usuario y un sistema de marca y difusión de mensajes coherente. El fin radica en garantizar un diseño que dé prioridad a la experiencia del usuario y la mejore. Para más información, consúltese el documento </w:t>
      </w:r>
      <w:hyperlink r:id="rId17" w:history="1">
        <w:r w:rsidRPr="00F627CF">
          <w:rPr>
            <w:rStyle w:val="Hyperlink"/>
          </w:rPr>
          <w:t>C24/53</w:t>
        </w:r>
      </w:hyperlink>
      <w:r w:rsidRPr="00F627CF">
        <w:rPr>
          <w:u w:val="single"/>
        </w:rPr>
        <w:t>.</w:t>
      </w:r>
    </w:p>
    <w:p w14:paraId="7766CC73" w14:textId="7653FEB6" w:rsidR="00E2301A" w:rsidRPr="00F627CF" w:rsidRDefault="00E2301A" w:rsidP="007C6CB0">
      <w:pPr>
        <w:rPr>
          <w:rFonts w:eastAsia="Calibri" w:cs="Calibri"/>
          <w:color w:val="000000" w:themeColor="text1"/>
        </w:rPr>
      </w:pPr>
      <w:r w:rsidRPr="00F627CF">
        <w:t>El proyecto requiere un presupuesto estimado de 600</w:t>
      </w:r>
      <w:r w:rsidR="002C1C86" w:rsidRPr="00F627CF">
        <w:t> </w:t>
      </w:r>
      <w:r w:rsidRPr="00F627CF">
        <w:t>000</w:t>
      </w:r>
      <w:r w:rsidR="002C1C86" w:rsidRPr="00F627CF">
        <w:t> </w:t>
      </w:r>
      <w:r w:rsidRPr="00F627CF">
        <w:t>CHF como parte de la Hoja de Ruta sobre la Transformación y el presupuesto.</w:t>
      </w:r>
    </w:p>
    <w:p w14:paraId="3DBE5BCD" w14:textId="53D4D400" w:rsidR="00E2301A" w:rsidRPr="00F627CF" w:rsidRDefault="00E2301A" w:rsidP="007C6CB0">
      <w:r w:rsidRPr="00F627CF">
        <w:t>c)</w:t>
      </w:r>
      <w:r w:rsidRPr="00F627CF">
        <w:tab/>
        <w:t xml:space="preserve">En la Resolución 198 (Rev. Bucarest, 2022) de la Conferencia de Plenipotenciarios, sobre el empoderamiento de la juventud a través de las telecomunicaciones y las </w:t>
      </w:r>
      <w:r w:rsidRPr="00F627CF">
        <w:lastRenderedPageBreak/>
        <w:t>tecnologías de la información y la comunicación, se encarga al Secretario General que siga velando por que se incorpore una perspectiva centrada en la juventud en los programas de trabajo, los métodos de gestión y las actividades de desarrollo de recursos humanos de la UIT. Se propone una posición adicional para el Programa para Jóvenes Profesionales para el próximo bienio mediante esta atribución, con un presupuesto estimado en 300</w:t>
      </w:r>
      <w:r w:rsidR="002C1C86" w:rsidRPr="00F627CF">
        <w:t> </w:t>
      </w:r>
      <w:r w:rsidRPr="00F627CF">
        <w:t>000</w:t>
      </w:r>
      <w:r w:rsidR="002C1C86" w:rsidRPr="00F627CF">
        <w:t> </w:t>
      </w:r>
      <w:r w:rsidRPr="00F627CF">
        <w:t xml:space="preserve">CHF. Para más información, consúltese el documento </w:t>
      </w:r>
      <w:hyperlink r:id="rId18" w:history="1">
        <w:r w:rsidRPr="00F627CF">
          <w:rPr>
            <w:rStyle w:val="Hyperlink"/>
          </w:rPr>
          <w:t>C24/31</w:t>
        </w:r>
      </w:hyperlink>
      <w:r w:rsidRPr="00F627CF">
        <w:t>.</w:t>
      </w:r>
    </w:p>
    <w:p w14:paraId="4AD4A369" w14:textId="77777777" w:rsidR="00E2301A" w:rsidRPr="00F627CF" w:rsidRDefault="00E2301A" w:rsidP="007C6CB0">
      <w:r w:rsidRPr="00F627CF">
        <w:t>d)</w:t>
      </w:r>
      <w:r w:rsidRPr="00F627CF">
        <w:tab/>
        <w:t>La Conferencia de Plenipotenciarios (Bucarest, 2022) encargó al Consejo que programara un Foro Mundial de Política de las Telecomunicaciones/TIC (FMPT) en 2026. La Secretaría debe prepararse para el evento de 2026 en las mejores condiciones posibles.</w:t>
      </w:r>
    </w:p>
    <w:p w14:paraId="5A8DC81D" w14:textId="7457A6C0" w:rsidR="00E2301A" w:rsidRPr="00F627CF" w:rsidRDefault="00E2301A" w:rsidP="007C6CB0">
      <w:pPr>
        <w:rPr>
          <w:rFonts w:asciiTheme="minorHAnsi" w:eastAsia="SimSun" w:hAnsiTheme="minorHAnsi" w:cstheme="minorBidi"/>
        </w:rPr>
      </w:pPr>
      <w:r w:rsidRPr="00F627CF">
        <w:t>Para conseguirlo, y sobre la base de las experiencias pasadas, será fundamental contar con el apoyo de contratos SSA. Se estima que el coste de este apoyo se cifrará en 80</w:t>
      </w:r>
      <w:r w:rsidR="002C1C86" w:rsidRPr="00F627CF">
        <w:t> </w:t>
      </w:r>
      <w:r w:rsidRPr="00F627CF">
        <w:t>000</w:t>
      </w:r>
      <w:r w:rsidR="002C1C86" w:rsidRPr="00F627CF">
        <w:t> </w:t>
      </w:r>
      <w:r w:rsidRPr="00F627CF">
        <w:t>CHF.</w:t>
      </w:r>
    </w:p>
    <w:p w14:paraId="0C42D9A1" w14:textId="2488F14A" w:rsidR="00E2301A" w:rsidRPr="00F627CF" w:rsidRDefault="00E2301A" w:rsidP="007C6CB0">
      <w:pPr>
        <w:rPr>
          <w:rFonts w:asciiTheme="minorHAnsi" w:eastAsia="SimSun" w:hAnsiTheme="minorHAnsi" w:cstheme="minorHAnsi"/>
          <w:szCs w:val="24"/>
        </w:rPr>
      </w:pPr>
      <w:r w:rsidRPr="00F627CF">
        <w:t>A fin de apoyar económicamente los conceptos presentados anteriormente en los párrafos a), b), c) y d), se propone atribuir</w:t>
      </w:r>
      <w:r w:rsidRPr="00F627CF">
        <w:rPr>
          <w:b/>
          <w:bCs/>
        </w:rPr>
        <w:t xml:space="preserve"> 1</w:t>
      </w:r>
      <w:r w:rsidR="002C1C86" w:rsidRPr="00F627CF">
        <w:rPr>
          <w:b/>
          <w:bCs/>
        </w:rPr>
        <w:t> </w:t>
      </w:r>
      <w:r w:rsidRPr="00F627CF">
        <w:rPr>
          <w:b/>
          <w:bCs/>
        </w:rPr>
        <w:t>734</w:t>
      </w:r>
      <w:r w:rsidR="002C1C86" w:rsidRPr="00F627CF">
        <w:rPr>
          <w:b/>
          <w:bCs/>
        </w:rPr>
        <w:t> </w:t>
      </w:r>
      <w:r w:rsidRPr="00F627CF">
        <w:rPr>
          <w:b/>
          <w:bCs/>
        </w:rPr>
        <w:t>000</w:t>
      </w:r>
      <w:r w:rsidR="002C1C86" w:rsidRPr="00F627CF">
        <w:rPr>
          <w:b/>
          <w:bCs/>
        </w:rPr>
        <w:t> </w:t>
      </w:r>
      <w:r w:rsidRPr="00F627CF">
        <w:rPr>
          <w:b/>
          <w:bCs/>
        </w:rPr>
        <w:t>CHF</w:t>
      </w:r>
      <w:r w:rsidRPr="00F627CF">
        <w:t xml:space="preserve"> de los ahorros generados en los años anteriores que no se utilizaron para equilibrar la ejecución del presupuesto de 2023.</w:t>
      </w:r>
    </w:p>
    <w:p w14:paraId="7BA3A7D6" w14:textId="77777777" w:rsidR="00E2301A" w:rsidRPr="00F627CF" w:rsidRDefault="00E2301A" w:rsidP="007C6CB0">
      <w:pPr>
        <w:pStyle w:val="Heading1"/>
        <w:rPr>
          <w:rFonts w:asciiTheme="minorHAnsi" w:eastAsia="SimSun" w:hAnsiTheme="minorHAnsi" w:cstheme="minorHAnsi"/>
          <w:szCs w:val="24"/>
        </w:rPr>
      </w:pPr>
      <w:r w:rsidRPr="00F627CF">
        <w:t>4</w:t>
      </w:r>
      <w:r w:rsidRPr="00F627CF">
        <w:tab/>
        <w:t>Fondo para el Desarrollo de las Tecnologías de la Información y la Comunicación (FD-TIC)</w:t>
      </w:r>
    </w:p>
    <w:p w14:paraId="506ABF57" w14:textId="38D88358" w:rsidR="00E2301A" w:rsidRPr="00F627CF" w:rsidRDefault="00E2301A" w:rsidP="007C6CB0">
      <w:pPr>
        <w:rPr>
          <w:rFonts w:asciiTheme="minorHAnsi" w:eastAsia="SimSun" w:hAnsiTheme="minorHAnsi" w:cstheme="minorHAnsi"/>
          <w:szCs w:val="24"/>
        </w:rPr>
      </w:pPr>
      <w:r w:rsidRPr="00F627CF">
        <w:t>Respecto de las iniciativas regionales, el Fondo para el Desarrollo de las Tecnologías de la Información y la Comunicación (</w:t>
      </w:r>
      <w:hyperlink r:id="rId19" w:history="1">
        <w:r w:rsidRPr="00F627CF">
          <w:rPr>
            <w:rStyle w:val="Hyperlink"/>
          </w:rPr>
          <w:t>FD-TIC</w:t>
        </w:r>
      </w:hyperlink>
      <w:r w:rsidRPr="00F627CF">
        <w:t>), creado en 1997, facilita la ejecución de proyectos mediante asociaciones multipartitas con los Estados Miembros de la UIT, los Miembros de Sector, las entidades de los sectores público y privado, las organizaciones multilaterales, las fundaciones, las instituciones financieras y los organismos de desarrollo.</w:t>
      </w:r>
      <w:bookmarkStart w:id="1" w:name="dnote"/>
      <w:bookmarkEnd w:id="1"/>
    </w:p>
    <w:p w14:paraId="2A3B5D86" w14:textId="77777777" w:rsidR="00E2301A" w:rsidRPr="00F627CF" w:rsidRDefault="00E2301A" w:rsidP="007C6CB0">
      <w:pPr>
        <w:rPr>
          <w:rFonts w:asciiTheme="minorHAnsi" w:eastAsia="SimSun" w:hAnsiTheme="minorHAnsi" w:cstheme="minorHAnsi"/>
          <w:bCs/>
          <w:szCs w:val="24"/>
        </w:rPr>
      </w:pPr>
      <w:bookmarkStart w:id="2" w:name="_Hlk65835106"/>
      <w:r w:rsidRPr="00F627CF">
        <w:t>En la Conferencia de Plenipotenciarios de 2022 (Bucarest, 2022), se derogó la Resolución 11 de la Conferencia de Plenipotenciarios sobre los eventos ITU Telecom. La PP-22 también encargó al Consejo, en su reunión ordinaria, que transfiriera el saldo restante del Fondo de Operaciones de las Exposiciones al Fondo para el Desarrollo de las TIC y encargase al Secretario General y a los Directores de las Oficinas que siguieran elaborando iniciativas para alentar, aumentar y fomentar la participación de las pymes y de todas las demás partes interesadas en los principales eventos y foros de la UIT.</w:t>
      </w:r>
      <w:bookmarkStart w:id="3" w:name="_Hlk129942447"/>
      <w:bookmarkEnd w:id="2"/>
      <w:bookmarkEnd w:id="3"/>
    </w:p>
    <w:p w14:paraId="427FAD41" w14:textId="2EDE3EC6" w:rsidR="00E2301A" w:rsidRPr="00F627CF" w:rsidRDefault="00E2301A" w:rsidP="007C6CB0">
      <w:pPr>
        <w:rPr>
          <w:rFonts w:asciiTheme="minorHAnsi" w:eastAsia="SimSun" w:hAnsiTheme="minorHAnsi" w:cstheme="minorBidi"/>
        </w:rPr>
      </w:pPr>
      <w:r w:rsidRPr="00F627CF">
        <w:t xml:space="preserve">Por consiguiente, se solicita al Consejo que </w:t>
      </w:r>
      <w:r w:rsidRPr="00F627CF">
        <w:rPr>
          <w:b/>
          <w:bCs/>
        </w:rPr>
        <w:t xml:space="preserve">apruebe </w:t>
      </w:r>
      <w:r w:rsidRPr="00F627CF">
        <w:t xml:space="preserve">la transferencia de </w:t>
      </w:r>
      <w:r w:rsidRPr="00F627CF">
        <w:rPr>
          <w:b/>
          <w:bCs/>
        </w:rPr>
        <w:t>465</w:t>
      </w:r>
      <w:r w:rsidR="002C1C86" w:rsidRPr="00F627CF">
        <w:rPr>
          <w:b/>
          <w:bCs/>
        </w:rPr>
        <w:t> </w:t>
      </w:r>
      <w:r w:rsidRPr="00F627CF">
        <w:rPr>
          <w:b/>
          <w:bCs/>
        </w:rPr>
        <w:t>000</w:t>
      </w:r>
      <w:r w:rsidR="002C1C86" w:rsidRPr="00F627CF">
        <w:rPr>
          <w:b/>
          <w:bCs/>
        </w:rPr>
        <w:t> </w:t>
      </w:r>
      <w:r w:rsidRPr="00F627CF">
        <w:rPr>
          <w:b/>
          <w:bCs/>
        </w:rPr>
        <w:t xml:space="preserve">CHF </w:t>
      </w:r>
      <w:r w:rsidRPr="00F627CF">
        <w:t xml:space="preserve">del FOEX a la cuenta de capital del FD-TIC. Con esta transferencia, el saldo disponible del FD-TIC pasará a ser de </w:t>
      </w:r>
      <w:r w:rsidRPr="00F627CF">
        <w:rPr>
          <w:b/>
          <w:bCs/>
        </w:rPr>
        <w:t>5</w:t>
      </w:r>
      <w:r w:rsidR="002C1C86" w:rsidRPr="00F627CF">
        <w:rPr>
          <w:b/>
          <w:bCs/>
        </w:rPr>
        <w:t> </w:t>
      </w:r>
      <w:r w:rsidRPr="00F627CF">
        <w:rPr>
          <w:b/>
          <w:bCs/>
        </w:rPr>
        <w:t>317</w:t>
      </w:r>
      <w:r w:rsidR="002C1C86" w:rsidRPr="00F627CF">
        <w:rPr>
          <w:b/>
          <w:bCs/>
        </w:rPr>
        <w:t> </w:t>
      </w:r>
      <w:r w:rsidRPr="00F627CF">
        <w:rPr>
          <w:b/>
          <w:bCs/>
        </w:rPr>
        <w:t>000</w:t>
      </w:r>
      <w:r w:rsidR="002C1C86" w:rsidRPr="00F627CF">
        <w:rPr>
          <w:b/>
          <w:bCs/>
        </w:rPr>
        <w:t> </w:t>
      </w:r>
      <w:r w:rsidRPr="00F627CF">
        <w:rPr>
          <w:b/>
          <w:bCs/>
        </w:rPr>
        <w:t>CHF.</w:t>
      </w:r>
      <w:r w:rsidRPr="00F627CF">
        <w:t xml:space="preserve"> Para más información, consúltese el documento </w:t>
      </w:r>
      <w:hyperlink r:id="rId20" w:history="1">
        <w:r w:rsidRPr="00F627CF">
          <w:rPr>
            <w:rStyle w:val="Hyperlink"/>
          </w:rPr>
          <w:t>C24/34</w:t>
        </w:r>
      </w:hyperlink>
      <w:r w:rsidRPr="00F627CF">
        <w:t>.</w:t>
      </w:r>
    </w:p>
    <w:p w14:paraId="37266CB5" w14:textId="77777777" w:rsidR="00E2301A" w:rsidRPr="00F627CF" w:rsidRDefault="00E2301A" w:rsidP="007C6CB0">
      <w:pPr>
        <w:rPr>
          <w:rFonts w:asciiTheme="minorHAnsi" w:eastAsia="SimSun" w:hAnsiTheme="minorHAnsi" w:cstheme="minorHAnsi"/>
          <w:szCs w:val="24"/>
        </w:rPr>
      </w:pPr>
      <w:r w:rsidRPr="00F627CF">
        <w:t>El saldo disponible retenido en el FOEX se utilizará para crear una provisión a fin de cubrir cualesquiera liquidaciones de todas las obligaciones financieras de ITU Telecom.</w:t>
      </w:r>
    </w:p>
    <w:p w14:paraId="58252A47" w14:textId="77777777" w:rsidR="00E2301A" w:rsidRPr="00F627CF" w:rsidRDefault="00E2301A" w:rsidP="002C1C86">
      <w:pPr>
        <w:pStyle w:val="Heading1"/>
        <w:spacing w:after="120"/>
        <w:rPr>
          <w:rFonts w:asciiTheme="minorHAnsi" w:eastAsia="SimSun" w:hAnsiTheme="minorHAnsi" w:cstheme="minorHAnsi"/>
          <w:szCs w:val="24"/>
        </w:rPr>
      </w:pPr>
      <w:r w:rsidRPr="00F627CF">
        <w:lastRenderedPageBreak/>
        <w:t>5</w:t>
      </w:r>
      <w:r w:rsidRPr="00F627CF">
        <w:tab/>
        <w:t>Resumen de la propuesta</w:t>
      </w:r>
    </w:p>
    <w:tbl>
      <w:tblPr>
        <w:tblW w:w="8784" w:type="dxa"/>
        <w:tblLayout w:type="fixed"/>
        <w:tblLook w:val="04A0" w:firstRow="1" w:lastRow="0" w:firstColumn="1" w:lastColumn="0" w:noHBand="0" w:noVBand="1"/>
      </w:tblPr>
      <w:tblGrid>
        <w:gridCol w:w="7060"/>
        <w:gridCol w:w="1724"/>
      </w:tblGrid>
      <w:tr w:rsidR="00E2301A" w:rsidRPr="00F627CF" w14:paraId="7B0AB8F3" w14:textId="77777777" w:rsidTr="002C1C86">
        <w:trPr>
          <w:trHeight w:val="320"/>
        </w:trPr>
        <w:tc>
          <w:tcPr>
            <w:tcW w:w="7060" w:type="dxa"/>
            <w:tcBorders>
              <w:top w:val="single" w:sz="4" w:space="0" w:color="auto"/>
              <w:left w:val="single" w:sz="4" w:space="0" w:color="auto"/>
              <w:bottom w:val="single" w:sz="4" w:space="0" w:color="auto"/>
              <w:right w:val="single" w:sz="4" w:space="0" w:color="auto"/>
            </w:tcBorders>
            <w:shd w:val="clear" w:color="auto" w:fill="C0E6F5"/>
            <w:noWrap/>
            <w:vAlign w:val="center"/>
            <w:hideMark/>
          </w:tcPr>
          <w:p w14:paraId="24D3CD6C" w14:textId="77777777" w:rsidR="00E2301A" w:rsidRPr="00F627CF" w:rsidRDefault="00E2301A" w:rsidP="002C1C86">
            <w:pPr>
              <w:pStyle w:val="Tablehead"/>
              <w:keepNext/>
              <w:keepLines/>
              <w:jc w:val="left"/>
              <w:rPr>
                <w:rFonts w:asciiTheme="minorHAnsi" w:hAnsiTheme="minorHAnsi" w:cstheme="minorHAnsi"/>
                <w:color w:val="000000"/>
                <w:szCs w:val="24"/>
              </w:rPr>
            </w:pPr>
            <w:r w:rsidRPr="00F627CF">
              <w:t>Atribución prevista de recursos</w:t>
            </w:r>
          </w:p>
        </w:tc>
        <w:tc>
          <w:tcPr>
            <w:tcW w:w="1724" w:type="dxa"/>
            <w:tcBorders>
              <w:top w:val="single" w:sz="4" w:space="0" w:color="auto"/>
              <w:left w:val="nil"/>
              <w:bottom w:val="single" w:sz="4" w:space="0" w:color="auto"/>
              <w:right w:val="single" w:sz="4" w:space="0" w:color="auto"/>
            </w:tcBorders>
            <w:shd w:val="clear" w:color="auto" w:fill="C0E6F5"/>
            <w:noWrap/>
            <w:vAlign w:val="center"/>
            <w:hideMark/>
          </w:tcPr>
          <w:p w14:paraId="6C7C63BA" w14:textId="77777777" w:rsidR="00E2301A" w:rsidRPr="00F627CF" w:rsidRDefault="00E2301A" w:rsidP="002C1C86">
            <w:pPr>
              <w:pStyle w:val="Tablehead"/>
              <w:keepNext/>
              <w:keepLines/>
              <w:jc w:val="right"/>
              <w:rPr>
                <w:rFonts w:asciiTheme="minorHAnsi" w:hAnsiTheme="minorHAnsi" w:cstheme="minorHAnsi"/>
                <w:color w:val="000000"/>
                <w:szCs w:val="24"/>
              </w:rPr>
            </w:pPr>
            <w:r w:rsidRPr="00F627CF">
              <w:t>Miles de CHF</w:t>
            </w:r>
          </w:p>
        </w:tc>
      </w:tr>
      <w:tr w:rsidR="00E2301A" w:rsidRPr="00F627CF" w14:paraId="5004B687" w14:textId="77777777" w:rsidTr="002C1C86">
        <w:trPr>
          <w:trHeight w:val="340"/>
        </w:trPr>
        <w:tc>
          <w:tcPr>
            <w:tcW w:w="7060" w:type="dxa"/>
            <w:tcBorders>
              <w:top w:val="nil"/>
              <w:left w:val="single" w:sz="4" w:space="0" w:color="auto"/>
              <w:bottom w:val="single" w:sz="4" w:space="0" w:color="auto"/>
              <w:right w:val="single" w:sz="4" w:space="0" w:color="auto"/>
            </w:tcBorders>
            <w:shd w:val="clear" w:color="auto" w:fill="C1F0C8"/>
            <w:vAlign w:val="bottom"/>
            <w:hideMark/>
          </w:tcPr>
          <w:p w14:paraId="65662F25" w14:textId="77777777" w:rsidR="00E2301A" w:rsidRPr="00F627CF" w:rsidRDefault="00E2301A" w:rsidP="00DE2B24">
            <w:pPr>
              <w:pStyle w:val="Tabletext"/>
              <w:keepNext/>
              <w:keepLines/>
              <w:rPr>
                <w:rFonts w:asciiTheme="minorHAnsi" w:hAnsiTheme="minorHAnsi" w:cstheme="minorHAnsi"/>
                <w:color w:val="000000"/>
                <w:szCs w:val="24"/>
              </w:rPr>
            </w:pPr>
            <w:r w:rsidRPr="00F627CF">
              <w:t>Atribución a la labor posterior a la conferencia de la CMR-23</w:t>
            </w:r>
          </w:p>
        </w:tc>
        <w:tc>
          <w:tcPr>
            <w:tcW w:w="1724" w:type="dxa"/>
            <w:tcBorders>
              <w:top w:val="nil"/>
              <w:left w:val="nil"/>
              <w:bottom w:val="single" w:sz="4" w:space="0" w:color="auto"/>
              <w:right w:val="single" w:sz="4" w:space="0" w:color="auto"/>
            </w:tcBorders>
            <w:shd w:val="clear" w:color="auto" w:fill="C1F0C8"/>
            <w:noWrap/>
            <w:vAlign w:val="bottom"/>
            <w:hideMark/>
          </w:tcPr>
          <w:p w14:paraId="1C2B9BCD" w14:textId="0F92863F" w:rsidR="00E2301A" w:rsidRPr="00F627CF" w:rsidRDefault="00E2301A" w:rsidP="00DE2B24">
            <w:pPr>
              <w:pStyle w:val="Tabletext"/>
              <w:keepNext/>
              <w:keepLines/>
              <w:jc w:val="right"/>
              <w:rPr>
                <w:rFonts w:asciiTheme="minorHAnsi" w:hAnsiTheme="minorHAnsi" w:cstheme="minorHAnsi"/>
                <w:color w:val="000000"/>
                <w:szCs w:val="24"/>
              </w:rPr>
            </w:pPr>
            <w:r w:rsidRPr="00F627CF">
              <w:t>1</w:t>
            </w:r>
            <w:r w:rsidR="007C6CB0" w:rsidRPr="00F627CF">
              <w:t> </w:t>
            </w:r>
            <w:r w:rsidRPr="00F627CF">
              <w:t>423</w:t>
            </w:r>
          </w:p>
        </w:tc>
      </w:tr>
      <w:tr w:rsidR="00E2301A" w:rsidRPr="00F627CF" w14:paraId="50053E62" w14:textId="77777777" w:rsidTr="002C1C86">
        <w:trPr>
          <w:trHeight w:val="429"/>
        </w:trPr>
        <w:tc>
          <w:tcPr>
            <w:tcW w:w="7060" w:type="dxa"/>
            <w:tcBorders>
              <w:top w:val="nil"/>
              <w:left w:val="single" w:sz="4" w:space="0" w:color="auto"/>
              <w:bottom w:val="single" w:sz="4" w:space="0" w:color="auto"/>
              <w:right w:val="single" w:sz="4" w:space="0" w:color="auto"/>
            </w:tcBorders>
            <w:shd w:val="clear" w:color="auto" w:fill="DAEEF3" w:themeFill="accent5" w:themeFillTint="33"/>
            <w:vAlign w:val="bottom"/>
            <w:hideMark/>
          </w:tcPr>
          <w:p w14:paraId="5FDB3594" w14:textId="77777777" w:rsidR="00E2301A" w:rsidRPr="00F627CF" w:rsidRDefault="00E2301A" w:rsidP="00DE2B24">
            <w:pPr>
              <w:pStyle w:val="Tabletext"/>
              <w:keepNext/>
              <w:keepLines/>
              <w:rPr>
                <w:rFonts w:asciiTheme="minorHAnsi" w:hAnsiTheme="minorHAnsi" w:cstheme="minorHAnsi"/>
                <w:color w:val="000000"/>
                <w:szCs w:val="24"/>
              </w:rPr>
            </w:pPr>
            <w:r w:rsidRPr="00F627CF">
              <w:t>Atribución a la aplicación de la hoja de ruta para la transformación y la hoja de ruta para la mejora del sitio web</w:t>
            </w:r>
          </w:p>
        </w:tc>
        <w:tc>
          <w:tcPr>
            <w:tcW w:w="1724" w:type="dxa"/>
            <w:tcBorders>
              <w:top w:val="nil"/>
              <w:left w:val="nil"/>
              <w:bottom w:val="single" w:sz="4" w:space="0" w:color="auto"/>
              <w:right w:val="single" w:sz="4" w:space="0" w:color="auto"/>
            </w:tcBorders>
            <w:shd w:val="clear" w:color="auto" w:fill="DAEEF3" w:themeFill="accent5" w:themeFillTint="33"/>
            <w:noWrap/>
            <w:vAlign w:val="bottom"/>
            <w:hideMark/>
          </w:tcPr>
          <w:p w14:paraId="77A3551D" w14:textId="1DEF9A85" w:rsidR="00E2301A" w:rsidRPr="00F627CF" w:rsidRDefault="00E2301A" w:rsidP="00DE2B24">
            <w:pPr>
              <w:pStyle w:val="Tabletext"/>
              <w:keepNext/>
              <w:keepLines/>
              <w:jc w:val="right"/>
              <w:rPr>
                <w:rFonts w:asciiTheme="minorHAnsi" w:hAnsiTheme="minorHAnsi" w:cstheme="minorHAnsi"/>
                <w:color w:val="000000"/>
                <w:szCs w:val="24"/>
              </w:rPr>
            </w:pPr>
            <w:r w:rsidRPr="00F627CF">
              <w:t>1</w:t>
            </w:r>
            <w:r w:rsidR="007C6CB0" w:rsidRPr="00F627CF">
              <w:t> </w:t>
            </w:r>
            <w:r w:rsidRPr="00F627CF">
              <w:t>354</w:t>
            </w:r>
          </w:p>
        </w:tc>
      </w:tr>
      <w:tr w:rsidR="00E2301A" w:rsidRPr="00F627CF" w14:paraId="28EBDAC1" w14:textId="77777777" w:rsidTr="002C1C86">
        <w:trPr>
          <w:trHeight w:val="389"/>
        </w:trPr>
        <w:tc>
          <w:tcPr>
            <w:tcW w:w="7060" w:type="dxa"/>
            <w:tcBorders>
              <w:top w:val="nil"/>
              <w:left w:val="single" w:sz="4" w:space="0" w:color="auto"/>
              <w:bottom w:val="single" w:sz="4" w:space="0" w:color="auto"/>
              <w:right w:val="single" w:sz="4" w:space="0" w:color="auto"/>
            </w:tcBorders>
            <w:shd w:val="clear" w:color="auto" w:fill="DAEEF3" w:themeFill="accent5" w:themeFillTint="33"/>
            <w:vAlign w:val="bottom"/>
          </w:tcPr>
          <w:p w14:paraId="74371163" w14:textId="77777777" w:rsidR="00E2301A" w:rsidRPr="00F627CF" w:rsidRDefault="00E2301A" w:rsidP="00DE2B24">
            <w:pPr>
              <w:pStyle w:val="Tabletext"/>
              <w:keepNext/>
              <w:keepLines/>
              <w:rPr>
                <w:rFonts w:asciiTheme="minorHAnsi" w:hAnsiTheme="minorHAnsi" w:cstheme="minorHAnsi"/>
                <w:color w:val="000000" w:themeColor="text1"/>
                <w:szCs w:val="24"/>
              </w:rPr>
            </w:pPr>
            <w:r w:rsidRPr="00F627CF">
              <w:t>Atribución al Programa para Jóvenes Profesionales</w:t>
            </w:r>
          </w:p>
        </w:tc>
        <w:tc>
          <w:tcPr>
            <w:tcW w:w="1724" w:type="dxa"/>
            <w:tcBorders>
              <w:top w:val="nil"/>
              <w:left w:val="nil"/>
              <w:bottom w:val="single" w:sz="4" w:space="0" w:color="auto"/>
              <w:right w:val="single" w:sz="4" w:space="0" w:color="auto"/>
            </w:tcBorders>
            <w:shd w:val="clear" w:color="auto" w:fill="DAEEF3" w:themeFill="accent5" w:themeFillTint="33"/>
            <w:noWrap/>
            <w:vAlign w:val="bottom"/>
          </w:tcPr>
          <w:p w14:paraId="7FA2F05B" w14:textId="77777777" w:rsidR="00E2301A" w:rsidRPr="00F627CF" w:rsidRDefault="00E2301A" w:rsidP="00DE2B24">
            <w:pPr>
              <w:pStyle w:val="Tabletext"/>
              <w:keepNext/>
              <w:keepLines/>
              <w:jc w:val="right"/>
              <w:rPr>
                <w:rFonts w:asciiTheme="minorHAnsi" w:hAnsiTheme="minorHAnsi" w:cstheme="minorHAnsi"/>
                <w:color w:val="000000"/>
                <w:szCs w:val="24"/>
              </w:rPr>
            </w:pPr>
            <w:r w:rsidRPr="00F627CF">
              <w:t>300</w:t>
            </w:r>
          </w:p>
        </w:tc>
      </w:tr>
      <w:tr w:rsidR="00E2301A" w:rsidRPr="00F627CF" w14:paraId="5C237239" w14:textId="77777777" w:rsidTr="002C1C86">
        <w:trPr>
          <w:trHeight w:val="423"/>
        </w:trPr>
        <w:tc>
          <w:tcPr>
            <w:tcW w:w="7060" w:type="dxa"/>
            <w:tcBorders>
              <w:top w:val="nil"/>
              <w:left w:val="single" w:sz="4" w:space="0" w:color="auto"/>
              <w:bottom w:val="single" w:sz="4" w:space="0" w:color="auto"/>
              <w:right w:val="single" w:sz="4" w:space="0" w:color="auto"/>
            </w:tcBorders>
            <w:shd w:val="clear" w:color="auto" w:fill="DAEEF3" w:themeFill="accent5" w:themeFillTint="33"/>
            <w:vAlign w:val="bottom"/>
          </w:tcPr>
          <w:p w14:paraId="7B33F627" w14:textId="77777777" w:rsidR="00E2301A" w:rsidRPr="00F627CF" w:rsidRDefault="00E2301A" w:rsidP="007C6CB0">
            <w:pPr>
              <w:pStyle w:val="Tabletext"/>
              <w:rPr>
                <w:rFonts w:asciiTheme="minorHAnsi" w:hAnsiTheme="minorHAnsi" w:cstheme="minorHAnsi"/>
                <w:color w:val="000000" w:themeColor="text1"/>
                <w:szCs w:val="24"/>
              </w:rPr>
            </w:pPr>
            <w:r w:rsidRPr="00F627CF">
              <w:t>Atribución a los preparativos del FMPT-26</w:t>
            </w:r>
          </w:p>
        </w:tc>
        <w:tc>
          <w:tcPr>
            <w:tcW w:w="1724" w:type="dxa"/>
            <w:tcBorders>
              <w:top w:val="nil"/>
              <w:left w:val="nil"/>
              <w:bottom w:val="single" w:sz="4" w:space="0" w:color="auto"/>
              <w:right w:val="single" w:sz="4" w:space="0" w:color="auto"/>
            </w:tcBorders>
            <w:shd w:val="clear" w:color="auto" w:fill="DAEEF3" w:themeFill="accent5" w:themeFillTint="33"/>
            <w:noWrap/>
            <w:vAlign w:val="bottom"/>
          </w:tcPr>
          <w:p w14:paraId="1377206B" w14:textId="77777777" w:rsidR="00E2301A" w:rsidRPr="00F627CF" w:rsidRDefault="00E2301A" w:rsidP="007C6CB0">
            <w:pPr>
              <w:pStyle w:val="Tabletext"/>
              <w:jc w:val="right"/>
              <w:rPr>
                <w:rFonts w:asciiTheme="minorHAnsi" w:hAnsiTheme="minorHAnsi" w:cstheme="minorHAnsi"/>
                <w:color w:val="000000"/>
                <w:szCs w:val="24"/>
              </w:rPr>
            </w:pPr>
            <w:r w:rsidRPr="00F627CF">
              <w:t>80</w:t>
            </w:r>
          </w:p>
        </w:tc>
      </w:tr>
      <w:tr w:rsidR="00E2301A" w:rsidRPr="00F627CF" w14:paraId="4F6A0C8C" w14:textId="77777777" w:rsidTr="002C1C86">
        <w:trPr>
          <w:trHeight w:val="680"/>
        </w:trPr>
        <w:tc>
          <w:tcPr>
            <w:tcW w:w="7060" w:type="dxa"/>
            <w:tcBorders>
              <w:top w:val="nil"/>
              <w:left w:val="single" w:sz="4" w:space="0" w:color="auto"/>
              <w:bottom w:val="nil"/>
              <w:right w:val="single" w:sz="4" w:space="0" w:color="auto"/>
            </w:tcBorders>
            <w:shd w:val="clear" w:color="auto" w:fill="FBE2D5"/>
            <w:vAlign w:val="bottom"/>
            <w:hideMark/>
          </w:tcPr>
          <w:p w14:paraId="56E1EE3D" w14:textId="77777777" w:rsidR="00E2301A" w:rsidRPr="00F627CF" w:rsidRDefault="00E2301A" w:rsidP="007C6CB0">
            <w:pPr>
              <w:pStyle w:val="Tabletext"/>
              <w:rPr>
                <w:rFonts w:asciiTheme="minorHAnsi" w:hAnsiTheme="minorHAnsi" w:cstheme="minorHAnsi"/>
                <w:color w:val="000000"/>
                <w:szCs w:val="24"/>
              </w:rPr>
            </w:pPr>
            <w:r w:rsidRPr="00F627CF">
              <w:t>Transferencia del FOEX al Fondo para el Desarrollo de las Tecnologías de la Información y la Comunicación (FD-TIC)</w:t>
            </w:r>
          </w:p>
        </w:tc>
        <w:tc>
          <w:tcPr>
            <w:tcW w:w="1724" w:type="dxa"/>
            <w:tcBorders>
              <w:top w:val="nil"/>
              <w:left w:val="nil"/>
              <w:bottom w:val="nil"/>
              <w:right w:val="single" w:sz="4" w:space="0" w:color="auto"/>
            </w:tcBorders>
            <w:shd w:val="clear" w:color="auto" w:fill="FBE2D5"/>
            <w:noWrap/>
            <w:vAlign w:val="bottom"/>
            <w:hideMark/>
          </w:tcPr>
          <w:p w14:paraId="347D8BD4" w14:textId="77777777" w:rsidR="00E2301A" w:rsidRPr="00F627CF" w:rsidRDefault="00E2301A" w:rsidP="007C6CB0">
            <w:pPr>
              <w:pStyle w:val="Tabletext"/>
              <w:jc w:val="right"/>
              <w:rPr>
                <w:rFonts w:asciiTheme="minorHAnsi" w:hAnsiTheme="minorHAnsi" w:cstheme="minorHAnsi"/>
                <w:color w:val="000000"/>
                <w:szCs w:val="24"/>
              </w:rPr>
            </w:pPr>
            <w:r w:rsidRPr="00F627CF">
              <w:t>465</w:t>
            </w:r>
          </w:p>
        </w:tc>
      </w:tr>
      <w:tr w:rsidR="00E2301A" w:rsidRPr="00F627CF" w14:paraId="30378A0A" w14:textId="77777777" w:rsidTr="002C1C86">
        <w:trPr>
          <w:trHeight w:val="320"/>
        </w:trPr>
        <w:tc>
          <w:tcPr>
            <w:tcW w:w="7060" w:type="dxa"/>
            <w:tcBorders>
              <w:top w:val="single" w:sz="4" w:space="0" w:color="auto"/>
              <w:left w:val="single" w:sz="4" w:space="0" w:color="auto"/>
              <w:bottom w:val="single" w:sz="4" w:space="0" w:color="auto"/>
              <w:right w:val="single" w:sz="4" w:space="0" w:color="auto"/>
            </w:tcBorders>
            <w:shd w:val="clear" w:color="auto" w:fill="C0E6F5"/>
            <w:noWrap/>
            <w:vAlign w:val="bottom"/>
            <w:hideMark/>
          </w:tcPr>
          <w:p w14:paraId="32702A1B" w14:textId="77777777" w:rsidR="00E2301A" w:rsidRPr="00F627CF" w:rsidRDefault="00E2301A" w:rsidP="007C6CB0">
            <w:pPr>
              <w:pStyle w:val="Tabletext"/>
              <w:rPr>
                <w:rFonts w:asciiTheme="minorHAnsi" w:hAnsiTheme="minorHAnsi" w:cstheme="minorHAnsi"/>
                <w:b/>
                <w:bCs/>
                <w:color w:val="000000"/>
                <w:szCs w:val="24"/>
              </w:rPr>
            </w:pPr>
            <w:r w:rsidRPr="00F627CF">
              <w:rPr>
                <w:b/>
                <w:bCs/>
              </w:rPr>
              <w:t>Total</w:t>
            </w:r>
          </w:p>
        </w:tc>
        <w:tc>
          <w:tcPr>
            <w:tcW w:w="1724" w:type="dxa"/>
            <w:tcBorders>
              <w:top w:val="single" w:sz="4" w:space="0" w:color="auto"/>
              <w:left w:val="nil"/>
              <w:bottom w:val="single" w:sz="4" w:space="0" w:color="auto"/>
              <w:right w:val="single" w:sz="4" w:space="0" w:color="auto"/>
            </w:tcBorders>
            <w:shd w:val="clear" w:color="auto" w:fill="C0E6F5"/>
            <w:noWrap/>
            <w:vAlign w:val="bottom"/>
            <w:hideMark/>
          </w:tcPr>
          <w:p w14:paraId="140C2015" w14:textId="44B1DA38" w:rsidR="00E2301A" w:rsidRPr="00F627CF" w:rsidRDefault="00E2301A" w:rsidP="007C6CB0">
            <w:pPr>
              <w:pStyle w:val="Tabletext"/>
              <w:jc w:val="right"/>
              <w:rPr>
                <w:rFonts w:asciiTheme="minorHAnsi" w:hAnsiTheme="minorHAnsi" w:cstheme="minorHAnsi"/>
                <w:b/>
                <w:bCs/>
                <w:color w:val="000000"/>
                <w:szCs w:val="24"/>
              </w:rPr>
            </w:pPr>
            <w:r w:rsidRPr="00F627CF">
              <w:rPr>
                <w:b/>
                <w:bCs/>
              </w:rPr>
              <w:t>3</w:t>
            </w:r>
            <w:r w:rsidR="007C6CB0" w:rsidRPr="00F627CF">
              <w:rPr>
                <w:b/>
                <w:bCs/>
              </w:rPr>
              <w:t> </w:t>
            </w:r>
            <w:r w:rsidRPr="00F627CF">
              <w:rPr>
                <w:b/>
                <w:bCs/>
              </w:rPr>
              <w:t>622</w:t>
            </w:r>
          </w:p>
        </w:tc>
      </w:tr>
    </w:tbl>
    <w:p w14:paraId="5DB77540" w14:textId="62921EEF" w:rsidR="00E2301A" w:rsidRPr="00F627CF" w:rsidRDefault="00E2301A" w:rsidP="00DE2B24">
      <w:r w:rsidRPr="00F627CF">
        <w:t>Si hubiera consecuencias presupuestarias adicionales dimanantes de los resultados de la AMNT-24, las necesidades de recursos adicionales se evaluarán y comunicarán al Consejo de</w:t>
      </w:r>
      <w:r w:rsidR="002C1C86" w:rsidRPr="00F627CF">
        <w:t> </w:t>
      </w:r>
      <w:r w:rsidRPr="00F627CF">
        <w:t>2025 para que las analice y decida al respecto según proceda.</w:t>
      </w:r>
    </w:p>
    <w:p w14:paraId="621A0D5C" w14:textId="77777777" w:rsidR="00E2301A" w:rsidRPr="00F627CF" w:rsidRDefault="00E2301A" w:rsidP="00DE2B24">
      <w:pPr>
        <w:spacing w:before="720"/>
        <w:rPr>
          <w:rFonts w:asciiTheme="minorHAnsi" w:eastAsiaTheme="minorEastAsia" w:hAnsiTheme="minorHAnsi" w:cstheme="minorBidi"/>
          <w:b/>
          <w:bCs/>
          <w:i/>
          <w:iCs/>
        </w:rPr>
      </w:pPr>
      <w:r w:rsidRPr="00F627CF">
        <w:rPr>
          <w:b/>
          <w:bCs/>
          <w:i/>
          <w:iCs/>
        </w:rPr>
        <w:t>Anexo: 1</w:t>
      </w:r>
    </w:p>
    <w:p w14:paraId="1C7F7EF5" w14:textId="77777777" w:rsidR="00E2301A" w:rsidRPr="00F627CF" w:rsidRDefault="00E2301A" w:rsidP="00E2301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lang w:eastAsia="zh-CN"/>
        </w:rPr>
      </w:pPr>
      <w:r w:rsidRPr="00F627CF">
        <w:rPr>
          <w:rFonts w:asciiTheme="minorHAnsi" w:eastAsiaTheme="minorEastAsia" w:hAnsiTheme="minorHAnsi" w:cstheme="minorBidi"/>
          <w:lang w:eastAsia="zh-CN"/>
        </w:rPr>
        <w:br w:type="page"/>
      </w:r>
    </w:p>
    <w:p w14:paraId="5347F7DB" w14:textId="0096C4EC" w:rsidR="00E2301A" w:rsidRPr="00F627CF" w:rsidRDefault="00E2301A" w:rsidP="00E2301A">
      <w:pPr>
        <w:pStyle w:val="AnnexNo"/>
        <w:rPr>
          <w:rFonts w:asciiTheme="minorHAnsi" w:hAnsiTheme="minorHAnsi" w:cstheme="minorHAnsi"/>
          <w:szCs w:val="28"/>
        </w:rPr>
      </w:pPr>
      <w:bookmarkStart w:id="4" w:name="Annex"/>
      <w:r w:rsidRPr="00F627CF">
        <w:lastRenderedPageBreak/>
        <w:t>ANEXO</w:t>
      </w:r>
      <w:bookmarkEnd w:id="4"/>
      <w:r w:rsidR="00DE2B24" w:rsidRPr="00F627CF">
        <w:br/>
      </w:r>
      <w:r w:rsidR="00DE2B24" w:rsidRPr="00F627CF">
        <w:br/>
      </w:r>
      <w:r w:rsidRPr="00F627CF">
        <w:t>PROYECTO DE NUEVA RESOLUCIÓN [...]</w:t>
      </w:r>
    </w:p>
    <w:p w14:paraId="0AFC6ECB" w14:textId="77777777" w:rsidR="00E2301A" w:rsidRPr="00F627CF" w:rsidRDefault="00E2301A" w:rsidP="00E2301A">
      <w:pPr>
        <w:pStyle w:val="Annextitle"/>
        <w:rPr>
          <w:rStyle w:val="normaltextrun"/>
        </w:rPr>
      </w:pPr>
      <w:r w:rsidRPr="00F627CF">
        <w:t>Atribuciones de ahorros conseguidos en la ejecución del presupuesto de 2023 y fondo de operaciones de las exposiciones</w:t>
      </w:r>
    </w:p>
    <w:p w14:paraId="11331A3F" w14:textId="77777777" w:rsidR="00E2301A" w:rsidRPr="00F627CF" w:rsidRDefault="00E2301A" w:rsidP="00E2301A">
      <w:pPr>
        <w:pStyle w:val="Normalaftertitle"/>
        <w:rPr>
          <w:rStyle w:val="eop"/>
          <w:rFonts w:cs="Calibri"/>
        </w:rPr>
      </w:pPr>
      <w:r w:rsidRPr="00F627CF">
        <w:t>El Consejo de la UIT,</w:t>
      </w:r>
    </w:p>
    <w:p w14:paraId="708294B6" w14:textId="77777777" w:rsidR="00E2301A" w:rsidRPr="00F627CF" w:rsidRDefault="00E2301A" w:rsidP="002C1C86">
      <w:pPr>
        <w:pStyle w:val="Call"/>
        <w:rPr>
          <w:rStyle w:val="eop"/>
        </w:rPr>
      </w:pPr>
      <w:r w:rsidRPr="00F627CF">
        <w:t>habiendo considerado</w:t>
      </w:r>
    </w:p>
    <w:p w14:paraId="5C90024D" w14:textId="1054EE8B" w:rsidR="00E2301A" w:rsidRPr="00F627CF" w:rsidRDefault="00E2301A" w:rsidP="00E2301A">
      <w:pPr>
        <w:rPr>
          <w:rFonts w:asciiTheme="minorHAnsi" w:hAnsiTheme="minorHAnsi" w:cstheme="minorHAnsi"/>
          <w:szCs w:val="24"/>
        </w:rPr>
      </w:pPr>
      <w:r w:rsidRPr="00F627CF">
        <w:t>Los ahorros conseguidos en la ejecución del presupuesto de 2023 (resultado), que se cifran en 1</w:t>
      </w:r>
      <w:r w:rsidR="002C1C86" w:rsidRPr="00F627CF">
        <w:t> </w:t>
      </w:r>
      <w:r w:rsidRPr="00F627CF">
        <w:t>423</w:t>
      </w:r>
      <w:r w:rsidR="002C1C86" w:rsidRPr="00F627CF">
        <w:t> </w:t>
      </w:r>
      <w:r w:rsidRPr="00F627CF">
        <w:t>000</w:t>
      </w:r>
      <w:r w:rsidR="002C1C86" w:rsidRPr="00F627CF">
        <w:t> </w:t>
      </w:r>
      <w:r w:rsidRPr="00F627CF">
        <w:t>CHF más 1</w:t>
      </w:r>
      <w:r w:rsidR="002C1C86" w:rsidRPr="00F627CF">
        <w:t> </w:t>
      </w:r>
      <w:r w:rsidRPr="00F627CF">
        <w:t>734</w:t>
      </w:r>
      <w:r w:rsidR="002C1C86" w:rsidRPr="00F627CF">
        <w:t> </w:t>
      </w:r>
      <w:r w:rsidRPr="00F627CF">
        <w:t>000</w:t>
      </w:r>
      <w:r w:rsidR="002C1C86" w:rsidRPr="00F627CF">
        <w:t> </w:t>
      </w:r>
      <w:r w:rsidRPr="00F627CF">
        <w:t>CHF en concepto de ahorros del año anterior, no utilizados para equilibrar la ejecución del presupuesto de 2023</w:t>
      </w:r>
      <w:r w:rsidR="002C1C86" w:rsidRPr="00F627CF">
        <w:t>,</w:t>
      </w:r>
    </w:p>
    <w:p w14:paraId="1BB52B4D" w14:textId="77777777" w:rsidR="00E2301A" w:rsidRPr="00F627CF" w:rsidRDefault="00E2301A" w:rsidP="002C1C86">
      <w:pPr>
        <w:pStyle w:val="Call"/>
      </w:pPr>
      <w:r w:rsidRPr="00F627CF">
        <w:t>habiendo considerado además</w:t>
      </w:r>
    </w:p>
    <w:p w14:paraId="104AEEF5" w14:textId="77777777" w:rsidR="00E2301A" w:rsidRPr="00F627CF" w:rsidRDefault="00E2301A" w:rsidP="00E2301A">
      <w:pPr>
        <w:rPr>
          <w:rStyle w:val="normaltextrun"/>
          <w:rFonts w:cs="Calibri"/>
        </w:rPr>
      </w:pPr>
      <w:r w:rsidRPr="00F627CF">
        <w:t>el saldo del Fondo de Operaciones de las Exposiciones y el informe del Secretario General sobre la situación del Fondo para el Desarrollo de las Tecnologías de la Información y la Comunicación (FD-TIC),</w:t>
      </w:r>
    </w:p>
    <w:p w14:paraId="25BDF982" w14:textId="77777777" w:rsidR="00E2301A" w:rsidRPr="00F627CF" w:rsidRDefault="00E2301A" w:rsidP="002C1C86">
      <w:pPr>
        <w:pStyle w:val="Call"/>
        <w:rPr>
          <w:rStyle w:val="eop"/>
        </w:rPr>
      </w:pPr>
      <w:r w:rsidRPr="00F627CF">
        <w:t>resuelve</w:t>
      </w:r>
    </w:p>
    <w:p w14:paraId="0419B52A" w14:textId="366180A3" w:rsidR="00E2301A" w:rsidRPr="00F627CF" w:rsidRDefault="00E2301A" w:rsidP="00E2301A">
      <w:r w:rsidRPr="00F627CF">
        <w:t>atribuir el excedente presupuestario de 2023 a la aplicación de las decisiones de la CMR-23 (1</w:t>
      </w:r>
      <w:r w:rsidR="002C1C86" w:rsidRPr="00F627CF">
        <w:t> </w:t>
      </w:r>
      <w:r w:rsidRPr="00F627CF">
        <w:t>423</w:t>
      </w:r>
      <w:r w:rsidR="002C1C86" w:rsidRPr="00F627CF">
        <w:t> </w:t>
      </w:r>
      <w:r w:rsidRPr="00F627CF">
        <w:t>000</w:t>
      </w:r>
      <w:r w:rsidR="002C1C86" w:rsidRPr="00F627CF">
        <w:t> </w:t>
      </w:r>
      <w:r w:rsidRPr="00F627CF">
        <w:t>CHF), atribuir los ahorros de los años anteriores a la aplicación de la hoja de ruta sobre la transformación, con inclusión de la hoja de ruta para la mejora del sitio web, el Programa para Jóvenes Profesionales y la preparación del FMPT-26 (1</w:t>
      </w:r>
      <w:r w:rsidR="002C1C86" w:rsidRPr="00F627CF">
        <w:t> </w:t>
      </w:r>
      <w:r w:rsidRPr="00F627CF">
        <w:t>734</w:t>
      </w:r>
      <w:r w:rsidR="002C1C86" w:rsidRPr="00F627CF">
        <w:t> </w:t>
      </w:r>
      <w:r w:rsidRPr="00F627CF">
        <w:t>000</w:t>
      </w:r>
      <w:r w:rsidR="002C1C86" w:rsidRPr="00F627CF">
        <w:t> </w:t>
      </w:r>
      <w:r w:rsidRPr="00F627CF">
        <w:t>CHF), y transferir el importe de 465</w:t>
      </w:r>
      <w:r w:rsidR="00F627CF" w:rsidRPr="00F627CF">
        <w:t> </w:t>
      </w:r>
      <w:r w:rsidRPr="00F627CF">
        <w:t>000</w:t>
      </w:r>
      <w:r w:rsidR="00F627CF" w:rsidRPr="00F627CF">
        <w:t> </w:t>
      </w:r>
      <w:r w:rsidRPr="00F627CF">
        <w:t>CHF del FOEX al FD-TIC.</w:t>
      </w:r>
    </w:p>
    <w:p w14:paraId="5C9F4342" w14:textId="77777777" w:rsidR="00DE2B24" w:rsidRPr="00F627CF" w:rsidRDefault="00DE2B24" w:rsidP="00DE2B24">
      <w:pPr>
        <w:pStyle w:val="Reasons"/>
      </w:pPr>
    </w:p>
    <w:p w14:paraId="58F43063" w14:textId="6508E9FD" w:rsidR="00927F93" w:rsidRPr="00F627CF" w:rsidRDefault="00DE2B24" w:rsidP="00DE2B24">
      <w:pPr>
        <w:jc w:val="center"/>
      </w:pPr>
      <w:r w:rsidRPr="00F627CF">
        <w:t>______________</w:t>
      </w:r>
    </w:p>
    <w:sectPr w:rsidR="00927F93" w:rsidRPr="00F627CF" w:rsidSect="00C538FC">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662F89E2" w:rsidR="003273A4" w:rsidRDefault="001246E2" w:rsidP="003273A4">
          <w:pPr>
            <w:pStyle w:val="Header"/>
            <w:jc w:val="left"/>
            <w:rPr>
              <w:noProof/>
            </w:rPr>
          </w:pPr>
          <w:r>
            <w:rPr>
              <w:noProof/>
            </w:rPr>
            <w:t>R</w:t>
          </w:r>
          <w:r w:rsidR="003B3345">
            <w:rPr>
              <w:noProof/>
            </w:rPr>
            <w:t>2400548</w:t>
          </w:r>
        </w:p>
      </w:tc>
      <w:tc>
        <w:tcPr>
          <w:tcW w:w="8261" w:type="dxa"/>
        </w:tcPr>
        <w:p w14:paraId="31328314" w14:textId="22E9BB71"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F627CF">
            <w:rPr>
              <w:bCs/>
            </w:rPr>
            <w:t>19</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149D9B28" w:rsidR="00760F1C" w:rsidRPr="003B3345" w:rsidRDefault="00760F1C" w:rsidP="003273A4">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7FDDE87C"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E2301A">
            <w:rPr>
              <w:bCs/>
            </w:rPr>
            <w:t>19</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3C3D3EC3" w:rsidR="00760F1C" w:rsidRPr="003B3345" w:rsidRDefault="00760F1C" w:rsidP="00F24B71">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5"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5"/>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246E2"/>
    <w:rsid w:val="00146BFB"/>
    <w:rsid w:val="001559F5"/>
    <w:rsid w:val="001F14A2"/>
    <w:rsid w:val="002801AA"/>
    <w:rsid w:val="002C1C86"/>
    <w:rsid w:val="002C4676"/>
    <w:rsid w:val="002C70B0"/>
    <w:rsid w:val="002F3CC4"/>
    <w:rsid w:val="003273A4"/>
    <w:rsid w:val="003B3345"/>
    <w:rsid w:val="00473962"/>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C6CB0"/>
    <w:rsid w:val="007E5DD3"/>
    <w:rsid w:val="007F350B"/>
    <w:rsid w:val="00820BE4"/>
    <w:rsid w:val="008451E8"/>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50A36"/>
    <w:rsid w:val="00D62446"/>
    <w:rsid w:val="00DA4EA2"/>
    <w:rsid w:val="00DC3D3E"/>
    <w:rsid w:val="00DE2B24"/>
    <w:rsid w:val="00DE2C90"/>
    <w:rsid w:val="00DE3B24"/>
    <w:rsid w:val="00E06947"/>
    <w:rsid w:val="00E2301A"/>
    <w:rsid w:val="00E335AF"/>
    <w:rsid w:val="00E34072"/>
    <w:rsid w:val="00E3592D"/>
    <w:rsid w:val="00E50D76"/>
    <w:rsid w:val="00E92DE8"/>
    <w:rsid w:val="00EB1212"/>
    <w:rsid w:val="00ED65AB"/>
    <w:rsid w:val="00F12850"/>
    <w:rsid w:val="00F24B71"/>
    <w:rsid w:val="00F33BF4"/>
    <w:rsid w:val="00F627CF"/>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2301A"/>
  </w:style>
  <w:style w:type="character" w:customStyle="1" w:styleId="eop">
    <w:name w:val="eop"/>
    <w:basedOn w:val="DefaultParagraphFont"/>
    <w:rsid w:val="00E2301A"/>
  </w:style>
  <w:style w:type="character" w:customStyle="1" w:styleId="FooterChar">
    <w:name w:val="Footer Char"/>
    <w:basedOn w:val="DefaultParagraphFont"/>
    <w:link w:val="Footer"/>
    <w:uiPriority w:val="99"/>
    <w:rsid w:val="003B3345"/>
    <w:rPr>
      <w:rFonts w:ascii="Calibri" w:hAnsi="Calibri"/>
      <w:caps/>
      <w:noProof/>
      <w:sz w:val="16"/>
      <w:lang w:val="es-ES_tradnl" w:eastAsia="en-US"/>
    </w:rPr>
  </w:style>
  <w:style w:type="character" w:styleId="UnresolvedMention">
    <w:name w:val="Unresolved Mention"/>
    <w:basedOn w:val="DefaultParagraphFont"/>
    <w:uiPriority w:val="99"/>
    <w:semiHidden/>
    <w:unhideWhenUsed/>
    <w:rsid w:val="007C6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1-CL-C-0106/es" TargetMode="External"/><Relationship Id="rId13" Type="http://schemas.openxmlformats.org/officeDocument/2006/relationships/hyperlink" Target="https://www.itu.int/md/S24-CL-C-0053/es" TargetMode="External"/><Relationship Id="rId18" Type="http://schemas.openxmlformats.org/officeDocument/2006/relationships/hyperlink" Target="https://www.itu.int/md/S24-CL-C-0031/es"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itu.int/council/index97/1997/131/131.html" TargetMode="External"/><Relationship Id="rId12" Type="http://schemas.openxmlformats.org/officeDocument/2006/relationships/hyperlink" Target="https://www.itu.int/md/S24-CL-C-0052/es" TargetMode="External"/><Relationship Id="rId17" Type="http://schemas.openxmlformats.org/officeDocument/2006/relationships/hyperlink" Target="https://www.itu.int/md/S24-CL-C-0053/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md/S24-CL-C-0052/es" TargetMode="External"/><Relationship Id="rId20" Type="http://schemas.openxmlformats.org/officeDocument/2006/relationships/hyperlink" Target="https://www.itu.int/md/S24-CL-C-0034/es" TargetMode="External"/><Relationship Id="rId1" Type="http://schemas.openxmlformats.org/officeDocument/2006/relationships/styles" Target="styles.xml"/><Relationship Id="rId6" Type="http://schemas.openxmlformats.org/officeDocument/2006/relationships/hyperlink" Target="https://www.itu.int/en/council/Documents/basic-texts/RES-011-S.pdf" TargetMode="External"/><Relationship Id="rId11" Type="http://schemas.openxmlformats.org/officeDocument/2006/relationships/hyperlink" Target="https://www.itu.int/md/S24-CL-INF-0002/e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md/S24-CL-C-0063/es" TargetMode="External"/><Relationship Id="rId23" Type="http://schemas.openxmlformats.org/officeDocument/2006/relationships/footer" Target="footer2.xml"/><Relationship Id="rId10" Type="http://schemas.openxmlformats.org/officeDocument/2006/relationships/hyperlink" Target="https://www.itu.int/md/S23-CL-C-0116/es" TargetMode="External"/><Relationship Id="rId19" Type="http://schemas.openxmlformats.org/officeDocument/2006/relationships/hyperlink" Target="https://www.itu.int/en/ITU-D/Projects/Pages/ICT-DF.aspx?Status=&amp;Theme=&amp;Region=&amp;Country=&amp;ICTDF=1&amp;Keyword=" TargetMode="External"/><Relationship Id="rId4" Type="http://schemas.openxmlformats.org/officeDocument/2006/relationships/footnotes" Target="footnotes.xml"/><Relationship Id="rId9" Type="http://schemas.openxmlformats.org/officeDocument/2006/relationships/hyperlink" Target="https://www.itu.int/md/S24-CL-C-0034/es" TargetMode="External"/><Relationship Id="rId14" Type="http://schemas.openxmlformats.org/officeDocument/2006/relationships/hyperlink" Target="https://www.itu.int/md/S24-CL-C-0063/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1501</Words>
  <Characters>8792</Characters>
  <Application>Microsoft Office Word</Application>
  <DocSecurity>0</DocSecurity>
  <Lines>73</Lines>
  <Paragraphs>20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10273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2024-05-24T10:31:00Z</dcterms:created>
  <dcterms:modified xsi:type="dcterms:W3CDTF">2024-05-24T10:31:00Z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