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3BD3436B">
        <w:trPr>
          <w:cantSplit/>
          <w:trHeight w:val="23"/>
        </w:trPr>
        <w:tc>
          <w:tcPr>
            <w:tcW w:w="3969" w:type="dxa"/>
            <w:vMerge w:val="restart"/>
            <w:tcMar>
              <w:left w:w="0" w:type="dxa"/>
            </w:tcMar>
          </w:tcPr>
          <w:p w14:paraId="4F2DE73B" w14:textId="4FD6ECC3" w:rsidR="00AD3606" w:rsidRPr="00654CF9" w:rsidRDefault="00AD3606" w:rsidP="00472BAD">
            <w:pPr>
              <w:tabs>
                <w:tab w:val="left" w:pos="851"/>
              </w:tabs>
              <w:spacing w:before="0" w:line="240" w:lineRule="atLeast"/>
              <w:rPr>
                <w:b/>
              </w:rPr>
            </w:pPr>
            <w:bookmarkStart w:id="0" w:name="dmeeting" w:colFirst="0" w:colLast="0"/>
            <w:bookmarkStart w:id="1" w:name="dnum" w:colFirst="1" w:colLast="1"/>
            <w:r w:rsidRPr="00654CF9">
              <w:rPr>
                <w:b/>
              </w:rPr>
              <w:t xml:space="preserve">Agenda item: </w:t>
            </w:r>
            <w:r w:rsidR="00E8676B" w:rsidRPr="00654CF9">
              <w:rPr>
                <w:rFonts w:eastAsia="Times New Roman"/>
                <w:b/>
              </w:rPr>
              <w:t xml:space="preserve">ADM </w:t>
            </w:r>
            <w:r w:rsidR="001044A9">
              <w:rPr>
                <w:rFonts w:eastAsia="Times New Roman"/>
                <w:b/>
              </w:rPr>
              <w:t>3</w:t>
            </w:r>
          </w:p>
        </w:tc>
        <w:tc>
          <w:tcPr>
            <w:tcW w:w="5245" w:type="dxa"/>
          </w:tcPr>
          <w:p w14:paraId="2F0CB53A" w14:textId="41CB1F04" w:rsidR="00AD3606" w:rsidRPr="00654CF9" w:rsidRDefault="00AD3606" w:rsidP="00472BAD">
            <w:pPr>
              <w:tabs>
                <w:tab w:val="left" w:pos="851"/>
              </w:tabs>
              <w:spacing w:before="0" w:line="240" w:lineRule="atLeast"/>
              <w:jc w:val="right"/>
              <w:rPr>
                <w:b/>
              </w:rPr>
            </w:pPr>
            <w:r w:rsidRPr="00654CF9">
              <w:rPr>
                <w:b/>
              </w:rPr>
              <w:t>Document C2</w:t>
            </w:r>
            <w:r w:rsidR="00456BE7" w:rsidRPr="00654CF9">
              <w:rPr>
                <w:b/>
              </w:rPr>
              <w:t>4</w:t>
            </w:r>
            <w:r w:rsidRPr="00654CF9">
              <w:rPr>
                <w:b/>
              </w:rPr>
              <w:t>/</w:t>
            </w:r>
            <w:r w:rsidR="001044A9">
              <w:rPr>
                <w:b/>
              </w:rPr>
              <w:t>23</w:t>
            </w:r>
            <w:r w:rsidRPr="00654CF9">
              <w:rPr>
                <w:b/>
              </w:rPr>
              <w:t>-E</w:t>
            </w:r>
          </w:p>
        </w:tc>
      </w:tr>
      <w:tr w:rsidR="00AD3606" w:rsidRPr="00813E5E" w14:paraId="777833CB" w14:textId="77777777" w:rsidTr="3BD3436B">
        <w:trPr>
          <w:cantSplit/>
        </w:trPr>
        <w:tc>
          <w:tcPr>
            <w:tcW w:w="3969" w:type="dxa"/>
            <w:vMerge/>
          </w:tcPr>
          <w:p w14:paraId="7DECAB6C" w14:textId="77777777" w:rsidR="00AD3606" w:rsidRPr="00654CF9"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3C63FDA" w:rsidR="00AD3606" w:rsidRPr="00654CF9" w:rsidRDefault="00BB3827" w:rsidP="00AD3606">
            <w:pPr>
              <w:tabs>
                <w:tab w:val="left" w:pos="851"/>
              </w:tabs>
              <w:spacing w:before="0"/>
              <w:jc w:val="right"/>
              <w:rPr>
                <w:b/>
              </w:rPr>
            </w:pPr>
            <w:r>
              <w:rPr>
                <w:b/>
              </w:rPr>
              <w:t>9</w:t>
            </w:r>
            <w:r w:rsidR="004C7947">
              <w:rPr>
                <w:b/>
              </w:rPr>
              <w:t xml:space="preserve"> April</w:t>
            </w:r>
            <w:r w:rsidR="0063725D" w:rsidRPr="00654CF9">
              <w:rPr>
                <w:b/>
              </w:rPr>
              <w:t xml:space="preserve"> </w:t>
            </w:r>
            <w:r w:rsidR="00AD3606" w:rsidRPr="00654CF9">
              <w:rPr>
                <w:b/>
              </w:rPr>
              <w:t>202</w:t>
            </w:r>
            <w:r w:rsidR="00456BE7" w:rsidRPr="00654CF9">
              <w:rPr>
                <w:b/>
              </w:rPr>
              <w:t>4</w:t>
            </w:r>
          </w:p>
        </w:tc>
      </w:tr>
      <w:tr w:rsidR="00AD3606" w:rsidRPr="00813E5E" w14:paraId="082C2282" w14:textId="77777777" w:rsidTr="3BD3436B">
        <w:trPr>
          <w:cantSplit/>
          <w:trHeight w:val="23"/>
        </w:trPr>
        <w:tc>
          <w:tcPr>
            <w:tcW w:w="3969" w:type="dxa"/>
            <w:vMerge/>
          </w:tcPr>
          <w:p w14:paraId="5967F199" w14:textId="77777777" w:rsidR="00AD3606" w:rsidRPr="00654CF9"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54CF9" w:rsidRDefault="00AD3606" w:rsidP="00AD3606">
            <w:pPr>
              <w:tabs>
                <w:tab w:val="left" w:pos="851"/>
              </w:tabs>
              <w:spacing w:before="0" w:line="240" w:lineRule="atLeast"/>
              <w:jc w:val="right"/>
              <w:rPr>
                <w:b/>
              </w:rPr>
            </w:pPr>
            <w:r w:rsidRPr="00654CF9">
              <w:rPr>
                <w:b/>
              </w:rPr>
              <w:t>Original: English</w:t>
            </w:r>
          </w:p>
        </w:tc>
      </w:tr>
      <w:tr w:rsidR="00472BAD" w:rsidRPr="00813E5E" w14:paraId="3C9C7706" w14:textId="77777777" w:rsidTr="3BD3436B">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3BD3436B">
        <w:trPr>
          <w:cantSplit/>
        </w:trPr>
        <w:tc>
          <w:tcPr>
            <w:tcW w:w="9214" w:type="dxa"/>
            <w:gridSpan w:val="2"/>
            <w:tcMar>
              <w:left w:w="0" w:type="dxa"/>
            </w:tcMar>
          </w:tcPr>
          <w:p w14:paraId="598EF21A" w14:textId="77777777" w:rsidR="00AD3606" w:rsidRPr="00813E5E" w:rsidRDefault="00AD3606" w:rsidP="00BC6F3B">
            <w:pPr>
              <w:pStyle w:val="Source"/>
              <w:framePr w:hSpace="0" w:wrap="auto" w:vAnchor="margin" w:hAnchor="text" w:xAlign="left" w:yAlign="inline"/>
            </w:pPr>
            <w:bookmarkStart w:id="4" w:name="dsource" w:colFirst="0" w:colLast="0"/>
            <w:bookmarkEnd w:id="3"/>
            <w:r w:rsidRPr="00BC6F3B">
              <w:t>Report by the Secretary-General</w:t>
            </w:r>
          </w:p>
        </w:tc>
      </w:tr>
      <w:tr w:rsidR="00AD3606" w:rsidRPr="00813E5E" w14:paraId="62B9C291" w14:textId="77777777" w:rsidTr="3BD3436B">
        <w:trPr>
          <w:cantSplit/>
        </w:trPr>
        <w:tc>
          <w:tcPr>
            <w:tcW w:w="9214" w:type="dxa"/>
            <w:gridSpan w:val="2"/>
            <w:tcMar>
              <w:left w:w="0" w:type="dxa"/>
            </w:tcMar>
          </w:tcPr>
          <w:p w14:paraId="556A1BCF" w14:textId="0858FF70" w:rsidR="00AD3606" w:rsidRPr="00813E5E" w:rsidRDefault="00E8676B" w:rsidP="00BC6F3B">
            <w:pPr>
              <w:pStyle w:val="Subtitle1"/>
              <w:framePr w:hSpace="0" w:wrap="auto" w:xAlign="left" w:yAlign="inline"/>
              <w:rPr>
                <w:lang w:eastAsia="zh-CN"/>
              </w:rPr>
            </w:pPr>
            <w:bookmarkStart w:id="5" w:name="_Hlk160609058"/>
            <w:bookmarkStart w:id="6" w:name="dtitle1" w:colFirst="0" w:colLast="0"/>
            <w:bookmarkEnd w:id="4"/>
            <w:r w:rsidRPr="00BC6F3B">
              <w:t>CHANGES IN THE CONDITIONS OF SERVICE UNDER</w:t>
            </w:r>
            <w:r w:rsidR="001044A9">
              <w:t> </w:t>
            </w:r>
            <w:r w:rsidRPr="00BC6F3B">
              <w:t>THE</w:t>
            </w:r>
            <w:r w:rsidR="001044A9">
              <w:t> </w:t>
            </w:r>
            <w:r w:rsidRPr="00BC6F3B">
              <w:t>UNITED</w:t>
            </w:r>
            <w:r w:rsidR="001044A9">
              <w:t> </w:t>
            </w:r>
            <w:r w:rsidRPr="00BC6F3B">
              <w:t>NATIONS COMMON SYSTEM</w:t>
            </w:r>
            <w:bookmarkEnd w:id="5"/>
          </w:p>
        </w:tc>
      </w:tr>
      <w:tr w:rsidR="00AD3606" w:rsidRPr="00813E5E" w14:paraId="59287389" w14:textId="77777777" w:rsidTr="3BD3436B">
        <w:trPr>
          <w:cantSplit/>
        </w:trPr>
        <w:tc>
          <w:tcPr>
            <w:tcW w:w="9214" w:type="dxa"/>
            <w:gridSpan w:val="2"/>
            <w:tcBorders>
              <w:top w:val="single" w:sz="4" w:space="0" w:color="auto"/>
              <w:bottom w:val="single" w:sz="4" w:space="0" w:color="auto"/>
            </w:tcBorders>
            <w:tcMar>
              <w:left w:w="0" w:type="dxa"/>
            </w:tcMar>
          </w:tcPr>
          <w:p w14:paraId="0B6A23DF" w14:textId="1A2B5645" w:rsidR="00AD3606" w:rsidRPr="00F16BAB" w:rsidRDefault="00F16BAB" w:rsidP="00D25AE8">
            <w:pPr>
              <w:jc w:val="both"/>
              <w:rPr>
                <w:b/>
                <w:bCs/>
                <w:sz w:val="26"/>
                <w:szCs w:val="26"/>
              </w:rPr>
            </w:pPr>
            <w:r w:rsidRPr="00F16BAB">
              <w:rPr>
                <w:b/>
                <w:bCs/>
                <w:sz w:val="26"/>
                <w:szCs w:val="26"/>
              </w:rPr>
              <w:t xml:space="preserve">Purpose </w:t>
            </w:r>
          </w:p>
          <w:p w14:paraId="01EEEAC5" w14:textId="5E8AAC7C" w:rsidR="00AD3606" w:rsidRPr="001044A9" w:rsidRDefault="00E8676B" w:rsidP="005E1B8B">
            <w:pPr>
              <w:jc w:val="both"/>
              <w:rPr>
                <w:szCs w:val="24"/>
              </w:rPr>
            </w:pPr>
            <w:r w:rsidRPr="001044A9">
              <w:rPr>
                <w:szCs w:val="24"/>
              </w:rPr>
              <w:t xml:space="preserve">This is a report on </w:t>
            </w:r>
            <w:r w:rsidR="0005567E" w:rsidRPr="001044A9">
              <w:rPr>
                <w:szCs w:val="24"/>
              </w:rPr>
              <w:t xml:space="preserve">changes in the conditions of service of staff </w:t>
            </w:r>
            <w:r w:rsidR="005E1B8B" w:rsidRPr="001044A9">
              <w:rPr>
                <w:szCs w:val="24"/>
              </w:rPr>
              <w:t>in accordance with ITU’s</w:t>
            </w:r>
            <w:r w:rsidR="009B6BA2" w:rsidRPr="001044A9">
              <w:rPr>
                <w:szCs w:val="24"/>
              </w:rPr>
              <w:t xml:space="preserve"> </w:t>
            </w:r>
            <w:r w:rsidR="005E1B8B" w:rsidRPr="001044A9">
              <w:rPr>
                <w:szCs w:val="24"/>
              </w:rPr>
              <w:t>obligations within</w:t>
            </w:r>
            <w:r w:rsidR="00C37B8B" w:rsidRPr="001044A9">
              <w:rPr>
                <w:szCs w:val="24"/>
              </w:rPr>
              <w:t xml:space="preserve"> </w:t>
            </w:r>
            <w:r w:rsidR="005E1B8B" w:rsidRPr="001044A9">
              <w:rPr>
                <w:szCs w:val="24"/>
              </w:rPr>
              <w:t>the United Nations common system</w:t>
            </w:r>
            <w:r w:rsidR="000D79D2" w:rsidRPr="001044A9">
              <w:rPr>
                <w:rFonts w:hint="eastAsia"/>
                <w:szCs w:val="24"/>
                <w:lang w:eastAsia="zh-CN"/>
              </w:rPr>
              <w:t>.</w:t>
            </w:r>
          </w:p>
          <w:p w14:paraId="45B1495A" w14:textId="77777777" w:rsidR="00AD3606" w:rsidRPr="00F16BAB" w:rsidRDefault="00AD3606" w:rsidP="00D25AE8">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B847267" w14:textId="0CA2EB9B" w:rsidR="00E8676B" w:rsidRPr="001044A9" w:rsidRDefault="00E8676B" w:rsidP="00D25AE8">
            <w:pPr>
              <w:pStyle w:val="Index1"/>
              <w:spacing w:after="120"/>
              <w:jc w:val="both"/>
              <w:rPr>
                <w:rFonts w:asciiTheme="minorHAnsi" w:hAnsiTheme="minorHAnsi"/>
                <w:szCs w:val="24"/>
              </w:rPr>
            </w:pPr>
            <w:bookmarkStart w:id="7" w:name="OLE_LINK3"/>
            <w:r w:rsidRPr="001044A9">
              <w:rPr>
                <w:rFonts w:asciiTheme="minorHAnsi" w:hAnsiTheme="minorHAnsi"/>
                <w:szCs w:val="24"/>
              </w:rPr>
              <w:t xml:space="preserve">The </w:t>
            </w:r>
            <w:r w:rsidR="00CC21DE" w:rsidRPr="001044A9">
              <w:rPr>
                <w:rFonts w:asciiTheme="minorHAnsi" w:hAnsiTheme="minorHAnsi"/>
                <w:szCs w:val="24"/>
              </w:rPr>
              <w:t xml:space="preserve">ITU </w:t>
            </w:r>
            <w:r w:rsidRPr="001044A9">
              <w:rPr>
                <w:rFonts w:asciiTheme="minorHAnsi" w:hAnsiTheme="minorHAnsi"/>
                <w:szCs w:val="24"/>
              </w:rPr>
              <w:t xml:space="preserve">Council is </w:t>
            </w:r>
            <w:r w:rsidRPr="001044A9">
              <w:rPr>
                <w:rFonts w:asciiTheme="minorHAnsi" w:hAnsiTheme="minorHAnsi"/>
                <w:bCs/>
                <w:szCs w:val="24"/>
              </w:rPr>
              <w:t>invited</w:t>
            </w:r>
            <w:r w:rsidRPr="001044A9">
              <w:rPr>
                <w:rFonts w:asciiTheme="minorHAnsi" w:hAnsiTheme="minorHAnsi"/>
                <w:b/>
                <w:bCs/>
                <w:szCs w:val="24"/>
              </w:rPr>
              <w:t xml:space="preserve"> to take note </w:t>
            </w:r>
            <w:r w:rsidRPr="001044A9">
              <w:rPr>
                <w:rFonts w:asciiTheme="minorHAnsi" w:hAnsiTheme="minorHAnsi"/>
                <w:bCs/>
                <w:szCs w:val="24"/>
              </w:rPr>
              <w:t>of</w:t>
            </w:r>
            <w:r w:rsidRPr="001044A9">
              <w:rPr>
                <w:rFonts w:asciiTheme="minorHAnsi" w:hAnsiTheme="minorHAnsi"/>
                <w:szCs w:val="24"/>
              </w:rPr>
              <w:t xml:space="preserve"> </w:t>
            </w:r>
            <w:r w:rsidR="00CE1047" w:rsidRPr="001044A9">
              <w:rPr>
                <w:rFonts w:asciiTheme="minorHAnsi" w:hAnsiTheme="minorHAnsi"/>
                <w:szCs w:val="24"/>
              </w:rPr>
              <w:t xml:space="preserve">the </w:t>
            </w:r>
            <w:r w:rsidR="00F65D20" w:rsidRPr="001044A9">
              <w:rPr>
                <w:rFonts w:asciiTheme="minorHAnsi" w:hAnsiTheme="minorHAnsi"/>
                <w:szCs w:val="24"/>
              </w:rPr>
              <w:t>implementation</w:t>
            </w:r>
            <w:r w:rsidR="0005567E" w:rsidRPr="001044A9">
              <w:rPr>
                <w:rFonts w:asciiTheme="minorHAnsi" w:hAnsiTheme="minorHAnsi"/>
                <w:szCs w:val="24"/>
              </w:rPr>
              <w:t xml:space="preserve"> </w:t>
            </w:r>
            <w:r w:rsidR="00C325EF" w:rsidRPr="001044A9">
              <w:rPr>
                <w:rFonts w:asciiTheme="minorHAnsi" w:hAnsiTheme="minorHAnsi"/>
                <w:szCs w:val="24"/>
              </w:rPr>
              <w:t xml:space="preserve">by the Secretary-General </w:t>
            </w:r>
            <w:r w:rsidR="0005567E" w:rsidRPr="001044A9">
              <w:rPr>
                <w:rFonts w:asciiTheme="minorHAnsi" w:hAnsiTheme="minorHAnsi"/>
                <w:szCs w:val="24"/>
              </w:rPr>
              <w:t>of the c</w:t>
            </w:r>
            <w:r w:rsidR="0005567E" w:rsidRPr="001044A9">
              <w:rPr>
                <w:szCs w:val="24"/>
              </w:rPr>
              <w:t xml:space="preserve">hanges in the conditions of service of staff </w:t>
            </w:r>
            <w:bookmarkEnd w:id="7"/>
            <w:r w:rsidR="004B18D6" w:rsidRPr="001044A9">
              <w:rPr>
                <w:rFonts w:asciiTheme="minorHAnsi" w:hAnsiTheme="minorHAnsi"/>
                <w:szCs w:val="24"/>
              </w:rPr>
              <w:t>in the ITU Staff Regulations and Staff Rules applicable to appointed staff</w:t>
            </w:r>
            <w:r w:rsidR="00C325EF" w:rsidRPr="001044A9">
              <w:rPr>
                <w:rFonts w:asciiTheme="minorHAnsi" w:hAnsiTheme="minorHAnsi"/>
                <w:szCs w:val="24"/>
              </w:rPr>
              <w:t>.</w:t>
            </w:r>
            <w:r w:rsidR="004B18D6" w:rsidRPr="001044A9">
              <w:rPr>
                <w:rFonts w:asciiTheme="minorHAnsi" w:hAnsiTheme="minorHAnsi"/>
                <w:szCs w:val="24"/>
              </w:rPr>
              <w:t xml:space="preserve"> </w:t>
            </w:r>
            <w:r w:rsidR="00C325EF" w:rsidRPr="001044A9">
              <w:rPr>
                <w:rFonts w:asciiTheme="minorHAnsi" w:hAnsiTheme="minorHAnsi"/>
                <w:szCs w:val="24"/>
              </w:rPr>
              <w:t xml:space="preserve">These changes </w:t>
            </w:r>
            <w:r w:rsidR="000F0804" w:rsidRPr="001044A9">
              <w:rPr>
                <w:rFonts w:asciiTheme="minorHAnsi" w:hAnsiTheme="minorHAnsi"/>
                <w:szCs w:val="24"/>
              </w:rPr>
              <w:t>are made in accordance with</w:t>
            </w:r>
            <w:r w:rsidR="004B18D6" w:rsidRPr="001044A9">
              <w:rPr>
                <w:rFonts w:asciiTheme="minorHAnsi" w:hAnsiTheme="minorHAnsi"/>
                <w:szCs w:val="24"/>
              </w:rPr>
              <w:t xml:space="preserve"> the International Civil Service Commission</w:t>
            </w:r>
            <w:r w:rsidR="00C75404" w:rsidRPr="001044A9">
              <w:rPr>
                <w:rFonts w:asciiTheme="minorHAnsi" w:hAnsiTheme="minorHAnsi"/>
                <w:szCs w:val="24"/>
              </w:rPr>
              <w:t xml:space="preserve"> (ICSC)</w:t>
            </w:r>
            <w:r w:rsidR="000F0804" w:rsidRPr="001044A9">
              <w:rPr>
                <w:rFonts w:asciiTheme="minorHAnsi" w:hAnsiTheme="minorHAnsi"/>
                <w:szCs w:val="24"/>
              </w:rPr>
              <w:t>’s</w:t>
            </w:r>
            <w:r w:rsidR="004B18D6" w:rsidRPr="001044A9">
              <w:rPr>
                <w:rFonts w:asciiTheme="minorHAnsi" w:hAnsiTheme="minorHAnsi"/>
                <w:szCs w:val="24"/>
              </w:rPr>
              <w:t xml:space="preserve"> established procedures</w:t>
            </w:r>
            <w:r w:rsidR="003F1D6E" w:rsidRPr="001044A9">
              <w:rPr>
                <w:rFonts w:asciiTheme="minorHAnsi" w:hAnsiTheme="minorHAnsi"/>
                <w:szCs w:val="24"/>
              </w:rPr>
              <w:t xml:space="preserve"> approved by the UNGA</w:t>
            </w:r>
            <w:r w:rsidR="005E1B8B" w:rsidRPr="001044A9">
              <w:rPr>
                <w:rFonts w:asciiTheme="minorHAnsi" w:hAnsiTheme="minorHAnsi"/>
                <w:szCs w:val="24"/>
              </w:rPr>
              <w:t xml:space="preserve">, </w:t>
            </w:r>
            <w:r w:rsidR="004B18D6" w:rsidRPr="001044A9">
              <w:rPr>
                <w:rFonts w:asciiTheme="minorHAnsi" w:hAnsiTheme="minorHAnsi"/>
                <w:szCs w:val="24"/>
              </w:rPr>
              <w:t xml:space="preserve">and </w:t>
            </w:r>
            <w:r w:rsidRPr="001044A9">
              <w:rPr>
                <w:rFonts w:asciiTheme="minorHAnsi" w:hAnsiTheme="minorHAnsi"/>
                <w:szCs w:val="24"/>
              </w:rPr>
              <w:t>in conformity with</w:t>
            </w:r>
            <w:r w:rsidR="000F0804" w:rsidRPr="001044A9">
              <w:rPr>
                <w:rFonts w:asciiTheme="minorHAnsi" w:hAnsiTheme="minorHAnsi"/>
                <w:szCs w:val="24"/>
              </w:rPr>
              <w:t xml:space="preserve"> </w:t>
            </w:r>
            <w:r w:rsidRPr="001044A9">
              <w:rPr>
                <w:rFonts w:asciiTheme="minorHAnsi" w:hAnsiTheme="minorHAnsi"/>
                <w:szCs w:val="24"/>
              </w:rPr>
              <w:t>Council Resolution 647 (</w:t>
            </w:r>
            <w:r w:rsidR="00CC21DE" w:rsidRPr="001044A9">
              <w:rPr>
                <w:rFonts w:asciiTheme="minorHAnsi" w:hAnsiTheme="minorHAnsi"/>
                <w:szCs w:val="24"/>
              </w:rPr>
              <w:t xml:space="preserve">C-1969, last </w:t>
            </w:r>
            <w:r w:rsidRPr="001044A9">
              <w:rPr>
                <w:rFonts w:asciiTheme="minorHAnsi" w:hAnsiTheme="minorHAnsi"/>
                <w:szCs w:val="24"/>
              </w:rPr>
              <w:t>amended</w:t>
            </w:r>
            <w:r w:rsidR="00CC21DE" w:rsidRPr="001044A9">
              <w:rPr>
                <w:rFonts w:asciiTheme="minorHAnsi" w:hAnsiTheme="minorHAnsi"/>
                <w:szCs w:val="24"/>
              </w:rPr>
              <w:t xml:space="preserve"> C03</w:t>
            </w:r>
            <w:r w:rsidRPr="001044A9">
              <w:rPr>
                <w:rFonts w:asciiTheme="minorHAnsi" w:hAnsiTheme="minorHAnsi"/>
                <w:szCs w:val="24"/>
              </w:rPr>
              <w:t>).</w:t>
            </w:r>
          </w:p>
          <w:p w14:paraId="3D57EDF8" w14:textId="77A8DB2D" w:rsidR="00AD3606" w:rsidRPr="00484009" w:rsidRDefault="0049451F" w:rsidP="00D25AE8">
            <w:pPr>
              <w:jc w:val="both"/>
            </w:pPr>
            <w:r w:rsidRPr="001044A9">
              <w:rPr>
                <w:rFonts w:asciiTheme="minorHAnsi" w:hAnsiTheme="minorHAnsi"/>
                <w:szCs w:val="24"/>
              </w:rPr>
              <w:t>Pursuant to</w:t>
            </w:r>
            <w:r w:rsidR="00E8676B" w:rsidRPr="001044A9">
              <w:rPr>
                <w:rFonts w:asciiTheme="minorHAnsi" w:hAnsiTheme="minorHAnsi"/>
                <w:szCs w:val="24"/>
              </w:rPr>
              <w:t xml:space="preserve"> Resolution 46 (Kyoto, 1994)</w:t>
            </w:r>
            <w:r w:rsidR="00CC21DE" w:rsidRPr="001044A9">
              <w:rPr>
                <w:rFonts w:asciiTheme="minorHAnsi" w:hAnsiTheme="minorHAnsi"/>
                <w:szCs w:val="24"/>
              </w:rPr>
              <w:t xml:space="preserve"> of the Plenipotentiary Conference</w:t>
            </w:r>
            <w:r w:rsidR="00E8676B" w:rsidRPr="001044A9">
              <w:rPr>
                <w:rFonts w:asciiTheme="minorHAnsi" w:hAnsiTheme="minorHAnsi"/>
                <w:szCs w:val="24"/>
              </w:rPr>
              <w:t xml:space="preserve">, the Council is invited </w:t>
            </w:r>
            <w:r w:rsidR="00E8676B" w:rsidRPr="001044A9">
              <w:rPr>
                <w:rFonts w:asciiTheme="minorHAnsi" w:hAnsiTheme="minorHAnsi"/>
                <w:b/>
                <w:bCs/>
                <w:szCs w:val="24"/>
              </w:rPr>
              <w:t>to approve</w:t>
            </w:r>
            <w:r w:rsidR="00E8676B" w:rsidRPr="001044A9">
              <w:rPr>
                <w:rFonts w:asciiTheme="minorHAnsi" w:hAnsiTheme="minorHAnsi"/>
                <w:szCs w:val="24"/>
              </w:rPr>
              <w:t xml:space="preserve"> the pensionable remuneration applicable to </w:t>
            </w:r>
            <w:r w:rsidR="00CC21DE" w:rsidRPr="001044A9">
              <w:rPr>
                <w:rFonts w:asciiTheme="minorHAnsi" w:hAnsiTheme="minorHAnsi"/>
                <w:szCs w:val="24"/>
              </w:rPr>
              <w:t>e</w:t>
            </w:r>
            <w:r w:rsidR="00E8676B" w:rsidRPr="001044A9">
              <w:rPr>
                <w:rFonts w:asciiTheme="minorHAnsi" w:hAnsiTheme="minorHAnsi"/>
                <w:szCs w:val="24"/>
              </w:rPr>
              <w:t xml:space="preserve">lected </w:t>
            </w:r>
            <w:r w:rsidR="00CC21DE" w:rsidRPr="001044A9">
              <w:rPr>
                <w:rFonts w:asciiTheme="minorHAnsi" w:hAnsiTheme="minorHAnsi"/>
                <w:szCs w:val="24"/>
              </w:rPr>
              <w:t>o</w:t>
            </w:r>
            <w:r w:rsidR="00E8676B" w:rsidRPr="001044A9">
              <w:rPr>
                <w:rFonts w:asciiTheme="minorHAnsi" w:hAnsiTheme="minorHAnsi"/>
                <w:szCs w:val="24"/>
              </w:rPr>
              <w:t xml:space="preserve">fficials, as it appears in the draft </w:t>
            </w:r>
            <w:r w:rsidR="00CC21DE" w:rsidRPr="001044A9">
              <w:rPr>
                <w:rFonts w:asciiTheme="minorHAnsi" w:hAnsiTheme="minorHAnsi"/>
                <w:szCs w:val="24"/>
              </w:rPr>
              <w:t>r</w:t>
            </w:r>
            <w:r w:rsidR="00E8676B" w:rsidRPr="001044A9">
              <w:rPr>
                <w:rFonts w:asciiTheme="minorHAnsi" w:hAnsiTheme="minorHAnsi"/>
                <w:szCs w:val="24"/>
              </w:rPr>
              <w:t xml:space="preserve">esolution contained </w:t>
            </w:r>
            <w:r w:rsidR="00CE1047" w:rsidRPr="001044A9">
              <w:rPr>
                <w:rFonts w:asciiTheme="minorHAnsi" w:hAnsiTheme="minorHAnsi"/>
                <w:szCs w:val="24"/>
              </w:rPr>
              <w:t xml:space="preserve">in </w:t>
            </w:r>
            <w:r w:rsidR="0086255E" w:rsidRPr="001044A9">
              <w:rPr>
                <w:rFonts w:asciiTheme="minorHAnsi" w:hAnsiTheme="minorHAnsi"/>
                <w:szCs w:val="24"/>
              </w:rPr>
              <w:t xml:space="preserve">the </w:t>
            </w:r>
            <w:hyperlink w:anchor="Annex" w:history="1">
              <w:r w:rsidR="00CE1047" w:rsidRPr="00103147">
                <w:rPr>
                  <w:rStyle w:val="Hyperlink"/>
                  <w:rFonts w:asciiTheme="minorHAnsi" w:hAnsiTheme="minorHAnsi"/>
                  <w:szCs w:val="24"/>
                </w:rPr>
                <w:t>Annex</w:t>
              </w:r>
            </w:hyperlink>
            <w:r w:rsidR="00CE1047" w:rsidRPr="001044A9">
              <w:rPr>
                <w:rFonts w:asciiTheme="minorHAnsi" w:hAnsiTheme="minorHAnsi"/>
                <w:szCs w:val="24"/>
              </w:rPr>
              <w:t xml:space="preserve"> </w:t>
            </w:r>
            <w:r w:rsidR="00CC21DE" w:rsidRPr="001044A9">
              <w:rPr>
                <w:rFonts w:asciiTheme="minorHAnsi" w:hAnsiTheme="minorHAnsi"/>
                <w:szCs w:val="24"/>
              </w:rPr>
              <w:t>hereto</w:t>
            </w:r>
            <w:r w:rsidR="00E8676B" w:rsidRPr="001044A9">
              <w:rPr>
                <w:rFonts w:asciiTheme="minorHAnsi" w:hAnsiTheme="minorHAnsi"/>
                <w:szCs w:val="24"/>
                <w:lang w:val="en-US"/>
              </w:rPr>
              <w:t>.</w:t>
            </w:r>
          </w:p>
          <w:p w14:paraId="71511FA1" w14:textId="1F544385" w:rsidR="00F16BAB" w:rsidRPr="00A84507" w:rsidRDefault="00F16BAB" w:rsidP="00D25AE8">
            <w:pPr>
              <w:spacing w:before="160"/>
              <w:jc w:val="both"/>
              <w:rPr>
                <w:b/>
                <w:bCs/>
                <w:sz w:val="26"/>
                <w:szCs w:val="26"/>
              </w:rPr>
            </w:pPr>
            <w:r w:rsidRPr="00A84507">
              <w:rPr>
                <w:b/>
                <w:bCs/>
                <w:sz w:val="26"/>
                <w:szCs w:val="26"/>
              </w:rPr>
              <w:t>Relevant link</w:t>
            </w:r>
            <w:r w:rsidR="00A54171" w:rsidRPr="00A84507">
              <w:rPr>
                <w:b/>
                <w:bCs/>
                <w:sz w:val="26"/>
                <w:szCs w:val="26"/>
              </w:rPr>
              <w:t>(s)</w:t>
            </w:r>
            <w:r w:rsidRPr="00A84507">
              <w:rPr>
                <w:b/>
                <w:bCs/>
                <w:sz w:val="26"/>
                <w:szCs w:val="26"/>
              </w:rPr>
              <w:t xml:space="preserve"> with the Strategic Plan</w:t>
            </w:r>
          </w:p>
          <w:p w14:paraId="503749D7" w14:textId="4C746F88" w:rsidR="00F16BAB" w:rsidRPr="001044A9" w:rsidRDefault="00AE33DF" w:rsidP="00D25AE8">
            <w:pPr>
              <w:jc w:val="both"/>
              <w:rPr>
                <w:szCs w:val="24"/>
              </w:rPr>
            </w:pPr>
            <w:r w:rsidRPr="001044A9">
              <w:rPr>
                <w:szCs w:val="24"/>
              </w:rPr>
              <w:t>Excellence in human resources and organizational innovation</w:t>
            </w:r>
            <w:r w:rsidR="00CE1047" w:rsidRPr="001044A9">
              <w:rPr>
                <w:szCs w:val="24"/>
              </w:rPr>
              <w:t>.</w:t>
            </w:r>
          </w:p>
          <w:p w14:paraId="74189BBD" w14:textId="59CF791F" w:rsidR="00F16BAB" w:rsidRPr="00A84507" w:rsidRDefault="0C0479F7" w:rsidP="00D25AE8">
            <w:pPr>
              <w:spacing w:before="160"/>
              <w:jc w:val="both"/>
              <w:rPr>
                <w:b/>
                <w:bCs/>
                <w:sz w:val="26"/>
                <w:szCs w:val="26"/>
                <w:highlight w:val="yellow"/>
              </w:rPr>
            </w:pPr>
            <w:r w:rsidRPr="3BD3436B">
              <w:rPr>
                <w:b/>
                <w:bCs/>
                <w:sz w:val="26"/>
                <w:szCs w:val="26"/>
              </w:rPr>
              <w:t>Financial implications</w:t>
            </w:r>
          </w:p>
          <w:p w14:paraId="180D64E8" w14:textId="29B446D7" w:rsidR="008964D4" w:rsidRPr="001044A9" w:rsidRDefault="008964D4" w:rsidP="001044A9">
            <w:pPr>
              <w:spacing w:after="120"/>
              <w:jc w:val="both"/>
              <w:rPr>
                <w:rFonts w:asciiTheme="minorHAnsi" w:hAnsiTheme="minorHAnsi"/>
                <w:color w:val="000000"/>
                <w:szCs w:val="24"/>
                <w:lang w:val="en-US" w:eastAsia="zh-CN"/>
              </w:rPr>
            </w:pPr>
            <w:r w:rsidRPr="001044A9">
              <w:rPr>
                <w:rFonts w:asciiTheme="minorHAnsi" w:hAnsiTheme="minorHAnsi"/>
                <w:color w:val="000000"/>
                <w:szCs w:val="24"/>
                <w:lang w:val="en-US" w:eastAsia="zh-CN"/>
              </w:rPr>
              <w:t>The total cost of implementation o</w:t>
            </w:r>
            <w:r w:rsidR="00C325EF" w:rsidRPr="001044A9">
              <w:rPr>
                <w:rFonts w:asciiTheme="minorHAnsi" w:hAnsiTheme="minorHAnsi"/>
                <w:color w:val="000000"/>
                <w:szCs w:val="24"/>
                <w:lang w:val="en-US" w:eastAsia="zh-CN"/>
              </w:rPr>
              <w:t>f the</w:t>
            </w:r>
            <w:r w:rsidR="0005567E" w:rsidRPr="001044A9">
              <w:rPr>
                <w:szCs w:val="24"/>
              </w:rPr>
              <w:t xml:space="preserve"> changes in the conditions of service of staff</w:t>
            </w:r>
            <w:r w:rsidR="0005567E" w:rsidRPr="001044A9" w:rsidDel="0005567E">
              <w:rPr>
                <w:rFonts w:asciiTheme="minorHAnsi" w:hAnsiTheme="minorHAnsi"/>
                <w:color w:val="000000"/>
                <w:szCs w:val="24"/>
                <w:lang w:val="en-US" w:eastAsia="zh-CN"/>
              </w:rPr>
              <w:t xml:space="preserve"> </w:t>
            </w:r>
            <w:r w:rsidRPr="001044A9">
              <w:rPr>
                <w:rFonts w:asciiTheme="minorHAnsi" w:hAnsiTheme="minorHAnsi"/>
                <w:color w:val="000000"/>
                <w:szCs w:val="24"/>
                <w:lang w:val="en-US" w:eastAsia="zh-CN"/>
              </w:rPr>
              <w:t>is CHF</w:t>
            </w:r>
            <w:r w:rsidR="001044A9">
              <w:rPr>
                <w:rFonts w:asciiTheme="minorHAnsi" w:hAnsiTheme="minorHAnsi"/>
                <w:color w:val="000000"/>
                <w:szCs w:val="24"/>
                <w:lang w:val="en-US" w:eastAsia="zh-CN"/>
              </w:rPr>
              <w:t> </w:t>
            </w:r>
            <w:r w:rsidR="00FE61DD" w:rsidRPr="001044A9">
              <w:rPr>
                <w:rFonts w:asciiTheme="minorHAnsi" w:hAnsiTheme="minorHAnsi"/>
                <w:color w:val="000000"/>
                <w:szCs w:val="24"/>
                <w:lang w:val="en-US" w:eastAsia="zh-CN"/>
              </w:rPr>
              <w:t>2</w:t>
            </w:r>
            <w:r w:rsidR="001044A9">
              <w:rPr>
                <w:rFonts w:asciiTheme="minorHAnsi" w:hAnsiTheme="minorHAnsi"/>
                <w:color w:val="000000"/>
                <w:szCs w:val="24"/>
                <w:lang w:val="en-US" w:eastAsia="zh-CN"/>
              </w:rPr>
              <w:t> </w:t>
            </w:r>
            <w:r w:rsidR="0040506E" w:rsidRPr="001044A9">
              <w:rPr>
                <w:rFonts w:asciiTheme="minorHAnsi" w:hAnsiTheme="minorHAnsi"/>
                <w:color w:val="000000"/>
                <w:szCs w:val="24"/>
                <w:lang w:val="en-US" w:eastAsia="zh-CN"/>
              </w:rPr>
              <w:t>631</w:t>
            </w:r>
            <w:r w:rsidR="001044A9">
              <w:rPr>
                <w:rFonts w:asciiTheme="minorHAnsi" w:hAnsiTheme="minorHAnsi"/>
                <w:color w:val="000000"/>
                <w:szCs w:val="24"/>
                <w:lang w:val="en-US" w:eastAsia="zh-CN"/>
              </w:rPr>
              <w:t> </w:t>
            </w:r>
            <w:r w:rsidR="0040506E" w:rsidRPr="001044A9">
              <w:rPr>
                <w:rFonts w:asciiTheme="minorHAnsi" w:hAnsiTheme="minorHAnsi"/>
                <w:color w:val="000000"/>
                <w:szCs w:val="24"/>
                <w:lang w:val="en-US" w:eastAsia="zh-CN"/>
              </w:rPr>
              <w:t>332</w:t>
            </w:r>
            <w:r w:rsidR="006E198E" w:rsidRPr="001044A9">
              <w:rPr>
                <w:rFonts w:asciiTheme="minorHAnsi" w:hAnsiTheme="minorHAnsi"/>
                <w:color w:val="000000"/>
                <w:szCs w:val="24"/>
                <w:lang w:val="en-US" w:eastAsia="zh-CN"/>
              </w:rPr>
              <w:t xml:space="preserve"> for the </w:t>
            </w:r>
            <w:r w:rsidR="006E198E" w:rsidRPr="001044A9">
              <w:rPr>
                <w:rFonts w:asciiTheme="minorHAnsi" w:hAnsiTheme="minorHAnsi"/>
                <w:szCs w:val="24"/>
                <w:lang w:val="en-US" w:eastAsia="zh-CN"/>
              </w:rPr>
              <w:t>year 202</w:t>
            </w:r>
            <w:r w:rsidR="00FB35D5" w:rsidRPr="001044A9">
              <w:rPr>
                <w:rFonts w:asciiTheme="minorHAnsi" w:hAnsiTheme="minorHAnsi"/>
                <w:szCs w:val="24"/>
                <w:lang w:val="en-US" w:eastAsia="zh-CN"/>
              </w:rPr>
              <w:t>4</w:t>
            </w:r>
            <w:r w:rsidR="00CC21DE" w:rsidRPr="001044A9">
              <w:rPr>
                <w:rFonts w:asciiTheme="minorHAnsi" w:hAnsiTheme="minorHAnsi"/>
                <w:szCs w:val="24"/>
                <w:lang w:val="en-US" w:eastAsia="zh-CN"/>
              </w:rPr>
              <w:t xml:space="preserve">, </w:t>
            </w:r>
            <w:r w:rsidR="00CC21DE" w:rsidRPr="001044A9">
              <w:rPr>
                <w:rFonts w:asciiTheme="minorHAnsi" w:hAnsiTheme="minorHAnsi"/>
                <w:color w:val="000000"/>
                <w:szCs w:val="24"/>
                <w:lang w:val="en-US" w:eastAsia="zh-CN"/>
              </w:rPr>
              <w:t>which breaks down</w:t>
            </w:r>
            <w:r w:rsidRPr="001044A9">
              <w:rPr>
                <w:rFonts w:asciiTheme="minorHAnsi" w:hAnsiTheme="minorHAnsi"/>
                <w:color w:val="000000"/>
                <w:szCs w:val="24"/>
                <w:lang w:val="en-US" w:eastAsia="zh-CN"/>
              </w:rPr>
              <w:t xml:space="preserve"> as follows:</w:t>
            </w:r>
          </w:p>
          <w:p w14:paraId="06058955" w14:textId="64E3EA09" w:rsidR="004877A9" w:rsidRPr="001044A9" w:rsidRDefault="004877A9" w:rsidP="001044A9">
            <w:pPr>
              <w:pStyle w:val="NormalWeb"/>
              <w:numPr>
                <w:ilvl w:val="0"/>
                <w:numId w:val="2"/>
              </w:numPr>
              <w:spacing w:before="120" w:beforeAutospacing="0" w:after="120" w:afterAutospacing="0"/>
              <w:ind w:left="567" w:hanging="567"/>
              <w:jc w:val="both"/>
              <w:rPr>
                <w:rFonts w:asciiTheme="minorHAnsi" w:hAnsiTheme="minorHAnsi" w:cstheme="minorHAnsi"/>
                <w:lang w:val="en-US" w:eastAsia="zh-CN"/>
              </w:rPr>
            </w:pPr>
            <w:r w:rsidRPr="001044A9">
              <w:rPr>
                <w:rFonts w:asciiTheme="minorHAnsi" w:hAnsiTheme="minorHAnsi" w:cstheme="minorHAnsi"/>
                <w:lang w:val="en-US" w:eastAsia="zh-CN"/>
              </w:rPr>
              <w:t>In accordance with the</w:t>
            </w:r>
            <w:r w:rsidR="00036D3E" w:rsidRPr="001044A9">
              <w:rPr>
                <w:rFonts w:asciiTheme="minorHAnsi" w:hAnsiTheme="minorHAnsi" w:cstheme="minorHAnsi"/>
                <w:lang w:val="en-US" w:eastAsia="zh-CN"/>
              </w:rPr>
              <w:t xml:space="preserve"> </w:t>
            </w:r>
            <w:r w:rsidRPr="001044A9">
              <w:rPr>
                <w:rFonts w:asciiTheme="minorHAnsi" w:hAnsiTheme="minorHAnsi" w:cstheme="minorHAnsi"/>
                <w:lang w:val="en-US" w:eastAsia="zh-CN"/>
              </w:rPr>
              <w:t>ICSC’s established procedure</w:t>
            </w:r>
            <w:r w:rsidR="0005567E" w:rsidRPr="001044A9">
              <w:rPr>
                <w:rFonts w:asciiTheme="minorHAnsi" w:hAnsiTheme="minorHAnsi" w:cstheme="minorHAnsi"/>
                <w:lang w:val="en-US" w:eastAsia="zh-CN"/>
              </w:rPr>
              <w:t>s</w:t>
            </w:r>
            <w:r w:rsidR="00C325EF" w:rsidRPr="001044A9">
              <w:rPr>
                <w:rFonts w:asciiTheme="minorHAnsi" w:hAnsiTheme="minorHAnsi" w:cstheme="minorHAnsi"/>
                <w:lang w:val="en-US" w:eastAsia="zh-CN"/>
              </w:rPr>
              <w:t>,</w:t>
            </w:r>
            <w:r w:rsidRPr="001044A9">
              <w:rPr>
                <w:rFonts w:asciiTheme="minorHAnsi" w:hAnsiTheme="minorHAnsi" w:cstheme="minorHAnsi"/>
                <w:lang w:val="en-US" w:eastAsia="zh-CN"/>
              </w:rPr>
              <w:t xml:space="preserve"> the scale of pensionable remuneration applicable to all staff in the Professional and higher categories has been adjusted in January 2024 and in February 2024. The financial consequences for 2024, resulting from the implementation of the successive new pensionable salary scales, amount to CHF</w:t>
            </w:r>
            <w:r w:rsidR="001044A9">
              <w:rPr>
                <w:rFonts w:asciiTheme="minorHAnsi" w:hAnsiTheme="minorHAnsi" w:cstheme="minorHAnsi"/>
                <w:lang w:val="en-US" w:eastAsia="zh-CN"/>
              </w:rPr>
              <w:t> </w:t>
            </w:r>
            <w:r w:rsidRPr="001044A9">
              <w:rPr>
                <w:rFonts w:asciiTheme="minorHAnsi" w:hAnsiTheme="minorHAnsi" w:cstheme="minorHAnsi"/>
                <w:lang w:val="en-US" w:eastAsia="zh-CN"/>
              </w:rPr>
              <w:t>760</w:t>
            </w:r>
            <w:r w:rsidR="001044A9">
              <w:rPr>
                <w:rFonts w:asciiTheme="minorHAnsi" w:hAnsiTheme="minorHAnsi" w:cstheme="minorHAnsi"/>
                <w:lang w:val="en-US" w:eastAsia="zh-CN"/>
              </w:rPr>
              <w:t> </w:t>
            </w:r>
            <w:r w:rsidRPr="001044A9">
              <w:rPr>
                <w:rFonts w:asciiTheme="minorHAnsi" w:hAnsiTheme="minorHAnsi" w:cstheme="minorHAnsi"/>
                <w:lang w:val="en-US" w:eastAsia="zh-CN"/>
              </w:rPr>
              <w:t>994 in 2024 (to cover a 12-month period from 1 January 2024 until the end of the year).</w:t>
            </w:r>
          </w:p>
          <w:p w14:paraId="666B4C68" w14:textId="5B6660B8" w:rsidR="00B0297C" w:rsidRPr="001044A9" w:rsidRDefault="00B0297C" w:rsidP="001044A9">
            <w:pPr>
              <w:pStyle w:val="NormalWeb"/>
              <w:numPr>
                <w:ilvl w:val="0"/>
                <w:numId w:val="2"/>
              </w:numPr>
              <w:shd w:val="clear" w:color="auto" w:fill="FFFFFF" w:themeFill="background1"/>
              <w:spacing w:before="120" w:beforeAutospacing="0" w:after="120" w:afterAutospacing="0"/>
              <w:ind w:left="567" w:hanging="567"/>
              <w:jc w:val="both"/>
              <w:rPr>
                <w:rFonts w:asciiTheme="minorHAnsi" w:hAnsiTheme="minorHAnsi" w:cstheme="minorHAnsi"/>
              </w:rPr>
            </w:pPr>
            <w:r w:rsidRPr="001044A9">
              <w:rPr>
                <w:rFonts w:asciiTheme="minorHAnsi" w:hAnsiTheme="minorHAnsi" w:cstheme="minorHAnsi"/>
                <w:lang w:val="en-US" w:eastAsia="zh-CN"/>
              </w:rPr>
              <w:t xml:space="preserve">The net salaries of staff in the General Service category have been </w:t>
            </w:r>
            <w:r w:rsidR="007C1E57" w:rsidRPr="001044A9">
              <w:rPr>
                <w:rFonts w:asciiTheme="minorHAnsi" w:hAnsiTheme="minorHAnsi" w:cstheme="minorHAnsi"/>
                <w:lang w:val="en-US" w:eastAsia="zh-CN"/>
              </w:rPr>
              <w:t>increased</w:t>
            </w:r>
            <w:r w:rsidRPr="001044A9">
              <w:rPr>
                <w:rFonts w:asciiTheme="minorHAnsi" w:hAnsiTheme="minorHAnsi" w:cstheme="minorHAnsi"/>
                <w:lang w:val="en-US" w:eastAsia="zh-CN"/>
              </w:rPr>
              <w:t xml:space="preserve"> </w:t>
            </w:r>
            <w:r w:rsidR="00CC21DE" w:rsidRPr="001044A9">
              <w:rPr>
                <w:rFonts w:asciiTheme="minorHAnsi" w:hAnsiTheme="minorHAnsi" w:cstheme="minorHAnsi"/>
                <w:lang w:val="en-US" w:eastAsia="zh-CN"/>
              </w:rPr>
              <w:t>in line with movement in</w:t>
            </w:r>
            <w:r w:rsidRPr="001044A9">
              <w:rPr>
                <w:rFonts w:asciiTheme="minorHAnsi" w:hAnsiTheme="minorHAnsi" w:cstheme="minorHAnsi"/>
                <w:lang w:val="en-US" w:eastAsia="zh-CN"/>
              </w:rPr>
              <w:t xml:space="preserve"> the </w:t>
            </w:r>
            <w:r w:rsidR="00CC21DE" w:rsidRPr="001044A9">
              <w:rPr>
                <w:rFonts w:asciiTheme="minorHAnsi" w:hAnsiTheme="minorHAnsi" w:cstheme="minorHAnsi"/>
                <w:lang w:val="en-US" w:eastAsia="zh-CN"/>
              </w:rPr>
              <w:t>c</w:t>
            </w:r>
            <w:r w:rsidR="00352012" w:rsidRPr="001044A9">
              <w:rPr>
                <w:rFonts w:asciiTheme="minorHAnsi" w:hAnsiTheme="minorHAnsi" w:cstheme="minorHAnsi"/>
                <w:lang w:val="en-US" w:eastAsia="zh-CN"/>
              </w:rPr>
              <w:t xml:space="preserve">onsumer </w:t>
            </w:r>
            <w:r w:rsidR="00CC21DE" w:rsidRPr="001044A9">
              <w:rPr>
                <w:rFonts w:asciiTheme="minorHAnsi" w:hAnsiTheme="minorHAnsi" w:cstheme="minorHAnsi"/>
                <w:lang w:val="en-US" w:eastAsia="zh-CN"/>
              </w:rPr>
              <w:t>p</w:t>
            </w:r>
            <w:r w:rsidR="00352012" w:rsidRPr="001044A9">
              <w:rPr>
                <w:rFonts w:asciiTheme="minorHAnsi" w:hAnsiTheme="minorHAnsi" w:cstheme="minorHAnsi"/>
                <w:lang w:val="en-US" w:eastAsia="zh-CN"/>
              </w:rPr>
              <w:t xml:space="preserve">rice </w:t>
            </w:r>
            <w:r w:rsidR="00CC21DE" w:rsidRPr="001044A9">
              <w:rPr>
                <w:rFonts w:asciiTheme="minorHAnsi" w:hAnsiTheme="minorHAnsi" w:cstheme="minorHAnsi"/>
                <w:lang w:val="en-US" w:eastAsia="zh-CN"/>
              </w:rPr>
              <w:t>i</w:t>
            </w:r>
            <w:r w:rsidR="00352012" w:rsidRPr="001044A9">
              <w:rPr>
                <w:rFonts w:asciiTheme="minorHAnsi" w:hAnsiTheme="minorHAnsi" w:cstheme="minorHAnsi"/>
                <w:lang w:val="en-US" w:eastAsia="zh-CN"/>
              </w:rPr>
              <w:t>ndex (</w:t>
            </w:r>
            <w:r w:rsidRPr="001044A9">
              <w:rPr>
                <w:rFonts w:asciiTheme="minorHAnsi" w:hAnsiTheme="minorHAnsi" w:cstheme="minorHAnsi"/>
                <w:lang w:val="en-US" w:eastAsia="zh-CN"/>
              </w:rPr>
              <w:t>CPI</w:t>
            </w:r>
            <w:r w:rsidR="008D1194" w:rsidRPr="001044A9">
              <w:rPr>
                <w:rFonts w:asciiTheme="minorHAnsi" w:hAnsiTheme="minorHAnsi" w:cstheme="minorHAnsi"/>
                <w:lang w:val="en-US" w:eastAsia="zh-CN"/>
              </w:rPr>
              <w:t>)</w:t>
            </w:r>
            <w:r w:rsidRPr="001044A9">
              <w:rPr>
                <w:rFonts w:asciiTheme="minorHAnsi" w:hAnsiTheme="minorHAnsi" w:cstheme="minorHAnsi"/>
                <w:lang w:val="en-US" w:eastAsia="zh-CN"/>
              </w:rPr>
              <w:t xml:space="preserve"> </w:t>
            </w:r>
            <w:r w:rsidR="00CC21DE" w:rsidRPr="001044A9">
              <w:rPr>
                <w:rFonts w:asciiTheme="minorHAnsi" w:hAnsiTheme="minorHAnsi" w:cstheme="minorHAnsi"/>
                <w:lang w:val="en-US" w:eastAsia="zh-CN"/>
              </w:rPr>
              <w:t xml:space="preserve">for Geneva </w:t>
            </w:r>
            <w:r w:rsidRPr="001044A9">
              <w:rPr>
                <w:rFonts w:asciiTheme="minorHAnsi" w:hAnsiTheme="minorHAnsi" w:cstheme="minorHAnsi"/>
                <w:lang w:val="en-US" w:eastAsia="zh-CN"/>
              </w:rPr>
              <w:t>from September 202</w:t>
            </w:r>
            <w:r w:rsidR="00FE61DD" w:rsidRPr="001044A9">
              <w:rPr>
                <w:rFonts w:asciiTheme="minorHAnsi" w:hAnsiTheme="minorHAnsi" w:cstheme="minorHAnsi"/>
                <w:lang w:val="en-US" w:eastAsia="zh-CN"/>
              </w:rPr>
              <w:t>2</w:t>
            </w:r>
            <w:r w:rsidRPr="001044A9">
              <w:rPr>
                <w:rFonts w:asciiTheme="minorHAnsi" w:hAnsiTheme="minorHAnsi" w:cstheme="minorHAnsi"/>
                <w:lang w:val="en-US" w:eastAsia="zh-CN"/>
              </w:rPr>
              <w:t xml:space="preserve"> to September 202</w:t>
            </w:r>
            <w:r w:rsidR="00FE61DD" w:rsidRPr="001044A9">
              <w:rPr>
                <w:rFonts w:asciiTheme="minorHAnsi" w:hAnsiTheme="minorHAnsi" w:cstheme="minorHAnsi"/>
                <w:lang w:val="en-US" w:eastAsia="zh-CN"/>
              </w:rPr>
              <w:t>3</w:t>
            </w:r>
            <w:r w:rsidRPr="001044A9">
              <w:rPr>
                <w:rFonts w:asciiTheme="minorHAnsi" w:hAnsiTheme="minorHAnsi" w:cstheme="minorHAnsi"/>
                <w:lang w:val="en-US" w:eastAsia="zh-CN"/>
              </w:rPr>
              <w:t xml:space="preserve"> which, after </w:t>
            </w:r>
            <w:r w:rsidR="0086255E" w:rsidRPr="001044A9">
              <w:rPr>
                <w:rFonts w:asciiTheme="minorHAnsi" w:hAnsiTheme="minorHAnsi" w:cstheme="minorHAnsi"/>
                <w:lang w:val="en-US" w:eastAsia="zh-CN"/>
              </w:rPr>
              <w:t>considering</w:t>
            </w:r>
            <w:r w:rsidRPr="001044A9">
              <w:rPr>
                <w:rFonts w:asciiTheme="minorHAnsi" w:hAnsiTheme="minorHAnsi" w:cstheme="minorHAnsi"/>
                <w:lang w:val="en-US" w:eastAsia="zh-CN"/>
              </w:rPr>
              <w:t xml:space="preserve"> local taxation, amounts to</w:t>
            </w:r>
            <w:r w:rsidR="00CC21DE" w:rsidRPr="001044A9">
              <w:rPr>
                <w:rFonts w:asciiTheme="minorHAnsi" w:hAnsiTheme="minorHAnsi" w:cstheme="minorHAnsi"/>
                <w:lang w:val="en-US" w:eastAsia="zh-CN"/>
              </w:rPr>
              <w:t xml:space="preserve"> a rise of</w:t>
            </w:r>
            <w:r w:rsidRPr="001044A9">
              <w:rPr>
                <w:rFonts w:asciiTheme="minorHAnsi" w:hAnsiTheme="minorHAnsi" w:cstheme="minorHAnsi"/>
                <w:lang w:val="en-US" w:eastAsia="zh-CN"/>
              </w:rPr>
              <w:t xml:space="preserve"> </w:t>
            </w:r>
            <w:r w:rsidR="00FE61DD" w:rsidRPr="001044A9">
              <w:rPr>
                <w:rFonts w:asciiTheme="minorHAnsi" w:hAnsiTheme="minorHAnsi" w:cstheme="minorHAnsi"/>
                <w:lang w:val="en-US" w:eastAsia="zh-CN"/>
              </w:rPr>
              <w:t>1.5</w:t>
            </w:r>
            <w:r w:rsidR="00CC21DE" w:rsidRPr="001044A9">
              <w:rPr>
                <w:rFonts w:asciiTheme="minorHAnsi" w:hAnsiTheme="minorHAnsi" w:cstheme="minorHAnsi"/>
                <w:lang w:val="en-US" w:eastAsia="zh-CN"/>
              </w:rPr>
              <w:t xml:space="preserve"> per cent</w:t>
            </w:r>
            <w:r w:rsidRPr="001044A9">
              <w:rPr>
                <w:rFonts w:asciiTheme="minorHAnsi" w:hAnsiTheme="minorHAnsi" w:cstheme="minorHAnsi"/>
                <w:lang w:val="en-US" w:eastAsia="zh-CN"/>
              </w:rPr>
              <w:t>.</w:t>
            </w:r>
            <w:r w:rsidR="00B337C7" w:rsidRPr="001044A9">
              <w:rPr>
                <w:rFonts w:asciiTheme="minorHAnsi" w:hAnsiTheme="minorHAnsi" w:cstheme="minorHAnsi"/>
                <w:lang w:val="en-US" w:eastAsia="zh-CN"/>
              </w:rPr>
              <w:t xml:space="preserve"> </w:t>
            </w:r>
            <w:r w:rsidR="0091328E" w:rsidRPr="001044A9">
              <w:rPr>
                <w:rFonts w:asciiTheme="minorHAnsi" w:hAnsiTheme="minorHAnsi" w:cstheme="minorHAnsi"/>
              </w:rPr>
              <w:t>The financial consequences for 202</w:t>
            </w:r>
            <w:r w:rsidR="004E790A" w:rsidRPr="001044A9">
              <w:rPr>
                <w:rFonts w:asciiTheme="minorHAnsi" w:hAnsiTheme="minorHAnsi" w:cstheme="minorHAnsi"/>
              </w:rPr>
              <w:t>4</w:t>
            </w:r>
            <w:r w:rsidR="0091328E" w:rsidRPr="001044A9">
              <w:rPr>
                <w:rFonts w:asciiTheme="minorHAnsi" w:hAnsiTheme="minorHAnsi" w:cstheme="minorHAnsi"/>
              </w:rPr>
              <w:t xml:space="preserve"> of </w:t>
            </w:r>
            <w:r w:rsidR="0086255E" w:rsidRPr="001044A9">
              <w:rPr>
                <w:rFonts w:asciiTheme="minorHAnsi" w:hAnsiTheme="minorHAnsi" w:cstheme="minorHAnsi"/>
              </w:rPr>
              <w:t>implementing</w:t>
            </w:r>
            <w:r w:rsidR="0091328E" w:rsidRPr="001044A9">
              <w:rPr>
                <w:rFonts w:asciiTheme="minorHAnsi" w:hAnsiTheme="minorHAnsi" w:cstheme="minorHAnsi"/>
              </w:rPr>
              <w:t xml:space="preserve"> the new salary scales amount to </w:t>
            </w:r>
            <w:r w:rsidR="00B337C7" w:rsidRPr="001044A9">
              <w:rPr>
                <w:rFonts w:asciiTheme="minorHAnsi" w:hAnsiTheme="minorHAnsi" w:cstheme="minorHAnsi"/>
                <w:lang w:val="en-US" w:eastAsia="zh-CN"/>
              </w:rPr>
              <w:t>CHF</w:t>
            </w:r>
            <w:r w:rsidR="001044A9">
              <w:rPr>
                <w:rFonts w:asciiTheme="minorHAnsi" w:hAnsiTheme="minorHAnsi" w:cstheme="minorHAnsi"/>
                <w:lang w:val="en-US" w:eastAsia="zh-CN"/>
              </w:rPr>
              <w:t> </w:t>
            </w:r>
            <w:r w:rsidR="00FE61DD" w:rsidRPr="001044A9">
              <w:rPr>
                <w:rFonts w:asciiTheme="minorHAnsi" w:hAnsiTheme="minorHAnsi" w:cstheme="minorHAnsi"/>
                <w:lang w:val="en-US" w:eastAsia="zh-CN"/>
              </w:rPr>
              <w:t>501</w:t>
            </w:r>
            <w:r w:rsidR="001044A9">
              <w:rPr>
                <w:rFonts w:asciiTheme="minorHAnsi" w:hAnsiTheme="minorHAnsi" w:cstheme="minorHAnsi"/>
                <w:lang w:val="en-US" w:eastAsia="zh-CN"/>
              </w:rPr>
              <w:t> </w:t>
            </w:r>
            <w:r w:rsidR="00FE61DD" w:rsidRPr="001044A9">
              <w:rPr>
                <w:rFonts w:asciiTheme="minorHAnsi" w:hAnsiTheme="minorHAnsi" w:cstheme="minorHAnsi"/>
                <w:lang w:val="en-US" w:eastAsia="zh-CN"/>
              </w:rPr>
              <w:t>045</w:t>
            </w:r>
            <w:r w:rsidR="00B337C7" w:rsidRPr="001044A9">
              <w:rPr>
                <w:rFonts w:asciiTheme="minorHAnsi" w:hAnsiTheme="minorHAnsi" w:cstheme="minorHAnsi"/>
                <w:lang w:val="en-US" w:eastAsia="zh-CN"/>
              </w:rPr>
              <w:t>.</w:t>
            </w:r>
          </w:p>
          <w:p w14:paraId="62195FF7" w14:textId="4EE1F357" w:rsidR="00FE61DD" w:rsidRPr="008D0D37" w:rsidRDefault="006129A9" w:rsidP="001044A9">
            <w:pPr>
              <w:pStyle w:val="NormalWeb"/>
              <w:numPr>
                <w:ilvl w:val="0"/>
                <w:numId w:val="2"/>
              </w:numPr>
              <w:spacing w:before="120" w:beforeAutospacing="0" w:after="0" w:afterAutospacing="0"/>
              <w:ind w:left="567" w:hanging="567"/>
              <w:jc w:val="both"/>
              <w:rPr>
                <w:rFonts w:asciiTheme="minorHAnsi" w:hAnsiTheme="minorHAnsi" w:cstheme="minorHAnsi"/>
                <w:sz w:val="23"/>
                <w:szCs w:val="23"/>
              </w:rPr>
            </w:pPr>
            <w:r w:rsidRPr="087EF0B7">
              <w:rPr>
                <w:rFonts w:asciiTheme="minorHAnsi" w:hAnsiTheme="minorHAnsi" w:cstheme="minorBidi"/>
                <w:lang w:val="en-US" w:eastAsia="zh-CN"/>
              </w:rPr>
              <w:lastRenderedPageBreak/>
              <w:t>The I</w:t>
            </w:r>
            <w:r w:rsidR="003E7579" w:rsidRPr="087EF0B7">
              <w:rPr>
                <w:rFonts w:asciiTheme="minorHAnsi" w:hAnsiTheme="minorHAnsi" w:cstheme="minorBidi"/>
                <w:lang w:val="en-US" w:eastAsia="zh-CN"/>
              </w:rPr>
              <w:t xml:space="preserve">CSC </w:t>
            </w:r>
            <w:r w:rsidRPr="087EF0B7">
              <w:rPr>
                <w:rFonts w:asciiTheme="minorHAnsi" w:hAnsiTheme="minorHAnsi" w:cstheme="minorBidi"/>
                <w:lang w:val="en-US" w:eastAsia="zh-CN"/>
              </w:rPr>
              <w:t xml:space="preserve">issued the </w:t>
            </w:r>
            <w:r w:rsidR="003E7579" w:rsidRPr="087EF0B7">
              <w:rPr>
                <w:rFonts w:asciiTheme="minorHAnsi" w:hAnsiTheme="minorHAnsi" w:cstheme="minorBidi"/>
                <w:lang w:val="en-US" w:eastAsia="zh-CN"/>
              </w:rPr>
              <w:t xml:space="preserve">outcome of the </w:t>
            </w:r>
            <w:r w:rsidR="0086255E" w:rsidRPr="087EF0B7">
              <w:rPr>
                <w:rFonts w:asciiTheme="minorHAnsi" w:hAnsiTheme="minorHAnsi" w:cstheme="minorBidi"/>
                <w:lang w:val="en-US" w:eastAsia="zh-CN"/>
              </w:rPr>
              <w:t>post-adjustment</w:t>
            </w:r>
            <w:r w:rsidRPr="087EF0B7">
              <w:rPr>
                <w:rFonts w:asciiTheme="minorHAnsi" w:hAnsiTheme="minorHAnsi" w:cstheme="minorBidi"/>
                <w:lang w:val="en-US" w:eastAsia="zh-CN"/>
              </w:rPr>
              <w:t xml:space="preserve"> </w:t>
            </w:r>
            <w:r w:rsidR="003E7579" w:rsidRPr="087EF0B7">
              <w:rPr>
                <w:rFonts w:asciiTheme="minorHAnsi" w:hAnsiTheme="minorHAnsi" w:cstheme="minorBidi"/>
                <w:lang w:val="en-US" w:eastAsia="zh-CN"/>
              </w:rPr>
              <w:t xml:space="preserve">annual review </w:t>
            </w:r>
            <w:r w:rsidR="00956550" w:rsidRPr="087EF0B7">
              <w:rPr>
                <w:rFonts w:asciiTheme="minorHAnsi" w:hAnsiTheme="minorHAnsi" w:cstheme="minorBidi"/>
                <w:lang w:val="en-US" w:eastAsia="zh-CN"/>
              </w:rPr>
              <w:t>on 14</w:t>
            </w:r>
            <w:r w:rsidR="00956550" w:rsidRPr="087EF0B7">
              <w:rPr>
                <w:rFonts w:asciiTheme="minorHAnsi" w:hAnsiTheme="minorHAnsi" w:cstheme="minorBidi"/>
                <w:vertAlign w:val="superscript"/>
                <w:lang w:val="en-US" w:eastAsia="zh-CN"/>
              </w:rPr>
              <w:t>th</w:t>
            </w:r>
            <w:r w:rsidR="00956550" w:rsidRPr="087EF0B7">
              <w:rPr>
                <w:rFonts w:asciiTheme="minorHAnsi" w:hAnsiTheme="minorHAnsi" w:cstheme="minorBidi"/>
                <w:lang w:val="en-US" w:eastAsia="zh-CN"/>
              </w:rPr>
              <w:t xml:space="preserve"> February 2024</w:t>
            </w:r>
            <w:r w:rsidRPr="087EF0B7">
              <w:rPr>
                <w:rFonts w:asciiTheme="minorHAnsi" w:hAnsiTheme="minorHAnsi" w:cstheme="minorBidi"/>
                <w:lang w:val="en-US" w:eastAsia="zh-CN"/>
              </w:rPr>
              <w:t xml:space="preserve">. The financial consequences for 2024 of the </w:t>
            </w:r>
            <w:r w:rsidR="0086255E" w:rsidRPr="087EF0B7">
              <w:rPr>
                <w:rFonts w:asciiTheme="minorHAnsi" w:hAnsiTheme="minorHAnsi" w:cstheme="minorBidi"/>
                <w:lang w:val="en-US" w:eastAsia="zh-CN"/>
              </w:rPr>
              <w:t>implementations</w:t>
            </w:r>
            <w:r w:rsidRPr="087EF0B7">
              <w:rPr>
                <w:rFonts w:asciiTheme="minorHAnsi" w:hAnsiTheme="minorHAnsi" w:cstheme="minorBidi"/>
                <w:lang w:val="en-US" w:eastAsia="zh-CN"/>
              </w:rPr>
              <w:t xml:space="preserve"> </w:t>
            </w:r>
            <w:r w:rsidR="00D87B38" w:rsidRPr="087EF0B7">
              <w:rPr>
                <w:rFonts w:asciiTheme="minorHAnsi" w:hAnsiTheme="minorHAnsi" w:cstheme="minorBidi"/>
                <w:lang w:val="en-US" w:eastAsia="zh-CN"/>
              </w:rPr>
              <w:t>of</w:t>
            </w:r>
            <w:r w:rsidRPr="087EF0B7">
              <w:rPr>
                <w:rFonts w:asciiTheme="minorHAnsi" w:hAnsiTheme="minorHAnsi" w:cstheme="minorBidi"/>
                <w:lang w:val="en-US" w:eastAsia="zh-CN"/>
              </w:rPr>
              <w:t xml:space="preserve"> the new post </w:t>
            </w:r>
            <w:r w:rsidR="0086255E" w:rsidRPr="087EF0B7">
              <w:rPr>
                <w:rFonts w:asciiTheme="minorHAnsi" w:hAnsiTheme="minorHAnsi" w:cstheme="minorBidi"/>
                <w:lang w:val="en-US" w:eastAsia="zh-CN"/>
              </w:rPr>
              <w:t>adjustment</w:t>
            </w:r>
            <w:r w:rsidRPr="087EF0B7">
              <w:rPr>
                <w:rFonts w:asciiTheme="minorHAnsi" w:hAnsiTheme="minorHAnsi" w:cstheme="minorBidi"/>
                <w:lang w:val="en-US" w:eastAsia="zh-CN"/>
              </w:rPr>
              <w:t xml:space="preserve"> </w:t>
            </w:r>
            <w:r w:rsidR="007E43F8" w:rsidRPr="087EF0B7">
              <w:rPr>
                <w:rFonts w:asciiTheme="minorHAnsi" w:hAnsiTheme="minorHAnsi" w:cstheme="minorBidi"/>
                <w:lang w:val="en-US" w:eastAsia="zh-CN"/>
              </w:rPr>
              <w:t xml:space="preserve">for Geneva </w:t>
            </w:r>
            <w:r w:rsidR="00D87B38" w:rsidRPr="087EF0B7">
              <w:rPr>
                <w:rFonts w:asciiTheme="minorHAnsi" w:hAnsiTheme="minorHAnsi" w:cstheme="minorBidi"/>
                <w:lang w:val="en-US" w:eastAsia="zh-CN"/>
              </w:rPr>
              <w:t xml:space="preserve">amount </w:t>
            </w:r>
            <w:r w:rsidRPr="087EF0B7">
              <w:rPr>
                <w:rFonts w:asciiTheme="minorHAnsi" w:hAnsiTheme="minorHAnsi" w:cstheme="minorBidi"/>
                <w:lang w:val="en-US" w:eastAsia="zh-CN"/>
              </w:rPr>
              <w:t>to CHF 1</w:t>
            </w:r>
            <w:r w:rsidR="004C7947">
              <w:rPr>
                <w:rFonts w:asciiTheme="minorHAnsi" w:hAnsiTheme="minorHAnsi" w:cstheme="minorBidi"/>
                <w:lang w:val="en-US" w:eastAsia="zh-CN"/>
              </w:rPr>
              <w:t> </w:t>
            </w:r>
            <w:r w:rsidRPr="087EF0B7">
              <w:rPr>
                <w:rFonts w:asciiTheme="minorHAnsi" w:hAnsiTheme="minorHAnsi" w:cstheme="minorBidi"/>
                <w:lang w:val="en-US" w:eastAsia="zh-CN"/>
              </w:rPr>
              <w:t>3</w:t>
            </w:r>
            <w:r w:rsidR="0040506E" w:rsidRPr="087EF0B7">
              <w:rPr>
                <w:rFonts w:asciiTheme="minorHAnsi" w:hAnsiTheme="minorHAnsi" w:cstheme="minorBidi"/>
                <w:lang w:val="en-US" w:eastAsia="zh-CN"/>
              </w:rPr>
              <w:t>69</w:t>
            </w:r>
            <w:r w:rsidR="004C7947">
              <w:rPr>
                <w:rFonts w:asciiTheme="minorHAnsi" w:hAnsiTheme="minorHAnsi" w:cstheme="minorBidi"/>
                <w:lang w:val="en-US" w:eastAsia="zh-CN"/>
              </w:rPr>
              <w:t> </w:t>
            </w:r>
            <w:r w:rsidR="0040506E" w:rsidRPr="087EF0B7">
              <w:rPr>
                <w:rFonts w:asciiTheme="minorHAnsi" w:hAnsiTheme="minorHAnsi" w:cstheme="minorBidi"/>
                <w:lang w:val="en-US" w:eastAsia="zh-CN"/>
              </w:rPr>
              <w:t>293</w:t>
            </w:r>
            <w:r w:rsidRPr="087EF0B7">
              <w:rPr>
                <w:rFonts w:asciiTheme="minorHAnsi" w:hAnsiTheme="minorHAnsi" w:cstheme="minorBidi"/>
                <w:lang w:val="en-US" w:eastAsia="zh-CN"/>
              </w:rPr>
              <w:t>. (to cover an 1</w:t>
            </w:r>
            <w:r w:rsidR="0040506E" w:rsidRPr="087EF0B7">
              <w:rPr>
                <w:rFonts w:asciiTheme="minorHAnsi" w:hAnsiTheme="minorHAnsi" w:cstheme="minorBidi"/>
                <w:lang w:val="en-US" w:eastAsia="zh-CN"/>
              </w:rPr>
              <w:t>1</w:t>
            </w:r>
            <w:r w:rsidRPr="087EF0B7">
              <w:rPr>
                <w:rFonts w:asciiTheme="minorHAnsi" w:hAnsiTheme="minorHAnsi" w:cstheme="minorBidi"/>
                <w:lang w:val="en-US" w:eastAsia="zh-CN"/>
              </w:rPr>
              <w:t>-month period from 1</w:t>
            </w:r>
            <w:r w:rsidR="00D87B38" w:rsidRPr="087EF0B7">
              <w:rPr>
                <w:rFonts w:asciiTheme="minorHAnsi" w:hAnsiTheme="minorHAnsi" w:cstheme="minorBidi"/>
                <w:lang w:val="en-US" w:eastAsia="zh-CN"/>
              </w:rPr>
              <w:t> </w:t>
            </w:r>
            <w:r w:rsidRPr="087EF0B7">
              <w:rPr>
                <w:rFonts w:asciiTheme="minorHAnsi" w:hAnsiTheme="minorHAnsi" w:cstheme="minorBidi"/>
                <w:lang w:val="en-US" w:eastAsia="zh-CN"/>
              </w:rPr>
              <w:t>February 202</w:t>
            </w:r>
            <w:r w:rsidR="0040506E" w:rsidRPr="087EF0B7">
              <w:rPr>
                <w:rFonts w:asciiTheme="minorHAnsi" w:hAnsiTheme="minorHAnsi" w:cstheme="minorBidi"/>
                <w:lang w:val="en-US" w:eastAsia="zh-CN"/>
              </w:rPr>
              <w:t>4</w:t>
            </w:r>
            <w:r w:rsidRPr="087EF0B7">
              <w:rPr>
                <w:rFonts w:asciiTheme="minorHAnsi" w:hAnsiTheme="minorHAnsi" w:cstheme="minorBidi"/>
                <w:lang w:val="en-US" w:eastAsia="zh-CN"/>
              </w:rPr>
              <w:t xml:space="preserve"> until the end of the year)</w:t>
            </w:r>
          </w:p>
          <w:p w14:paraId="4DF2B3F1" w14:textId="4DF878C7" w:rsidR="174F8FCD" w:rsidRPr="004C7947" w:rsidRDefault="174F8FCD" w:rsidP="004C7947">
            <w:pPr>
              <w:spacing w:line="259" w:lineRule="auto"/>
              <w:jc w:val="both"/>
              <w:rPr>
                <w:rFonts w:asciiTheme="minorHAnsi" w:hAnsiTheme="minorHAnsi"/>
              </w:rPr>
            </w:pPr>
            <w:r w:rsidRPr="280B48D1">
              <w:rPr>
                <w:rFonts w:asciiTheme="minorHAnsi" w:hAnsiTheme="minorHAnsi"/>
              </w:rPr>
              <w:t xml:space="preserve">In case this increase </w:t>
            </w:r>
            <w:r w:rsidR="4F1DDD52" w:rsidRPr="280B48D1">
              <w:rPr>
                <w:rFonts w:asciiTheme="minorHAnsi" w:hAnsiTheme="minorHAnsi"/>
              </w:rPr>
              <w:t>cannot</w:t>
            </w:r>
            <w:r w:rsidRPr="280B48D1">
              <w:rPr>
                <w:rFonts w:asciiTheme="minorHAnsi" w:hAnsiTheme="minorHAnsi"/>
              </w:rPr>
              <w:t xml:space="preserve"> be absorbed by the 2024-2025 budget, </w:t>
            </w:r>
            <w:r w:rsidR="2E1CD15C" w:rsidRPr="280B48D1">
              <w:rPr>
                <w:rFonts w:asciiTheme="minorHAnsi" w:hAnsiTheme="minorHAnsi"/>
              </w:rPr>
              <w:t>a</w:t>
            </w:r>
            <w:r w:rsidR="27831BE8" w:rsidRPr="004C7947">
              <w:rPr>
                <w:rFonts w:asciiTheme="minorHAnsi" w:hAnsiTheme="minorHAnsi"/>
              </w:rPr>
              <w:t xml:space="preserve">ccording to Council Resolution 1417, the Secretary-General is authorized, during the implementation of the budget for 2024-2025, to adjust appropriations related to expenses </w:t>
            </w:r>
            <w:r w:rsidR="60032C5E" w:rsidRPr="280B48D1">
              <w:rPr>
                <w:rFonts w:asciiTheme="minorHAnsi" w:hAnsiTheme="minorHAnsi"/>
              </w:rPr>
              <w:t>(</w:t>
            </w:r>
            <w:r w:rsidR="4B9E999D" w:rsidRPr="280B48D1">
              <w:rPr>
                <w:rFonts w:asciiTheme="minorHAnsi" w:hAnsiTheme="minorHAnsi"/>
              </w:rPr>
              <w:t>such as</w:t>
            </w:r>
            <w:r w:rsidR="27831BE8" w:rsidRPr="004C7947">
              <w:rPr>
                <w:rFonts w:asciiTheme="minorHAnsi" w:hAnsiTheme="minorHAnsi"/>
              </w:rPr>
              <w:t xml:space="preserve"> </w:t>
            </w:r>
            <w:r w:rsidR="44CFDE22" w:rsidRPr="280B48D1">
              <w:rPr>
                <w:rFonts w:asciiTheme="minorHAnsi" w:hAnsiTheme="minorHAnsi" w:cstheme="minorBidi"/>
                <w:lang w:val="en-US" w:eastAsia="zh-CN"/>
              </w:rPr>
              <w:t xml:space="preserve">pensionable remuneration </w:t>
            </w:r>
            <w:r w:rsidR="44CFDE22" w:rsidRPr="280B48D1">
              <w:rPr>
                <w:rFonts w:asciiTheme="minorHAnsi" w:hAnsiTheme="minorHAnsi"/>
              </w:rPr>
              <w:t xml:space="preserve">increase and </w:t>
            </w:r>
            <w:r w:rsidR="27831BE8" w:rsidRPr="004C7947">
              <w:rPr>
                <w:rFonts w:asciiTheme="minorHAnsi" w:hAnsiTheme="minorHAnsi"/>
              </w:rPr>
              <w:t>post adjustments applicable to Geneva, as adopted by the United Nations common system</w:t>
            </w:r>
            <w:r w:rsidR="1AB0B24E" w:rsidRPr="280B48D1">
              <w:rPr>
                <w:rFonts w:asciiTheme="minorHAnsi" w:hAnsiTheme="minorHAnsi"/>
              </w:rPr>
              <w:t>)</w:t>
            </w:r>
            <w:r w:rsidR="27831BE8" w:rsidRPr="004C7947">
              <w:rPr>
                <w:rFonts w:asciiTheme="minorHAnsi" w:hAnsiTheme="minorHAnsi"/>
              </w:rPr>
              <w:t xml:space="preserve"> through the use of the Reserve Account.</w:t>
            </w:r>
            <w:r w:rsidRPr="45977724">
              <w:rPr>
                <w:rStyle w:val="FootnoteReference"/>
                <w:rFonts w:asciiTheme="minorHAnsi" w:hAnsiTheme="minorHAnsi"/>
              </w:rPr>
              <w:footnoteReference w:id="2"/>
            </w:r>
          </w:p>
          <w:p w14:paraId="0EBC340A" w14:textId="4D412EDD" w:rsidR="00AD3606" w:rsidRPr="0086255E" w:rsidRDefault="00AD3606" w:rsidP="00D25AE8">
            <w:pPr>
              <w:rPr>
                <w:b/>
                <w:bCs/>
                <w:sz w:val="26"/>
                <w:szCs w:val="26"/>
              </w:rPr>
            </w:pPr>
            <w:r w:rsidRPr="087EF0B7">
              <w:rPr>
                <w:b/>
                <w:bCs/>
                <w:sz w:val="26"/>
                <w:szCs w:val="26"/>
              </w:rPr>
              <w:t>References</w:t>
            </w:r>
          </w:p>
          <w:p w14:paraId="65250B1E" w14:textId="3C1C7320" w:rsidR="00AD3606" w:rsidRPr="001044A9" w:rsidRDefault="00103147" w:rsidP="00BB3827">
            <w:pPr>
              <w:spacing w:after="120"/>
              <w:rPr>
                <w:sz w:val="22"/>
                <w:szCs w:val="22"/>
              </w:rPr>
            </w:pPr>
            <w:hyperlink r:id="rId11" w:history="1">
              <w:r w:rsidR="00E8676B" w:rsidRPr="001044A9">
                <w:rPr>
                  <w:rFonts w:asciiTheme="minorHAnsi" w:hAnsiTheme="minorHAnsi"/>
                  <w:i/>
                  <w:iCs/>
                  <w:color w:val="0000FF"/>
                  <w:sz w:val="22"/>
                  <w:szCs w:val="22"/>
                  <w:u w:val="single"/>
                </w:rPr>
                <w:t>Resolution 46</w:t>
              </w:r>
            </w:hyperlink>
            <w:r w:rsidR="00E8676B" w:rsidRPr="001044A9">
              <w:rPr>
                <w:rFonts w:asciiTheme="minorHAnsi" w:hAnsiTheme="minorHAnsi"/>
                <w:i/>
                <w:iCs/>
                <w:sz w:val="22"/>
                <w:szCs w:val="22"/>
              </w:rPr>
              <w:t xml:space="preserve"> (Kyoto, 1994)</w:t>
            </w:r>
            <w:r w:rsidR="00CC21DE" w:rsidRPr="001044A9">
              <w:rPr>
                <w:rFonts w:asciiTheme="minorHAnsi" w:hAnsiTheme="minorHAnsi"/>
                <w:i/>
                <w:iCs/>
                <w:sz w:val="22"/>
                <w:szCs w:val="22"/>
              </w:rPr>
              <w:t xml:space="preserve"> of the Plenipotentiary Conference</w:t>
            </w:r>
            <w:r w:rsidR="00E8676B" w:rsidRPr="001044A9">
              <w:rPr>
                <w:rFonts w:asciiTheme="minorHAnsi" w:hAnsiTheme="minorHAnsi"/>
                <w:i/>
                <w:iCs/>
                <w:sz w:val="22"/>
                <w:szCs w:val="22"/>
              </w:rPr>
              <w:t xml:space="preserve">; </w:t>
            </w:r>
            <w:r w:rsidR="00BB3827">
              <w:rPr>
                <w:rFonts w:asciiTheme="minorHAnsi" w:hAnsiTheme="minorHAnsi"/>
                <w:i/>
                <w:iCs/>
                <w:sz w:val="22"/>
                <w:szCs w:val="22"/>
              </w:rPr>
              <w:br/>
            </w:r>
            <w:r w:rsidR="00E8676B" w:rsidRPr="001044A9">
              <w:rPr>
                <w:rFonts w:asciiTheme="minorHAnsi" w:hAnsiTheme="minorHAnsi"/>
                <w:i/>
                <w:iCs/>
                <w:sz w:val="22"/>
                <w:szCs w:val="22"/>
              </w:rPr>
              <w:t xml:space="preserve">Council </w:t>
            </w:r>
            <w:hyperlink r:id="rId12" w:history="1">
              <w:r w:rsidR="00E8676B" w:rsidRPr="001044A9">
                <w:rPr>
                  <w:rFonts w:asciiTheme="minorHAnsi" w:hAnsiTheme="minorHAnsi"/>
                  <w:i/>
                  <w:iCs/>
                  <w:color w:val="0000FF"/>
                  <w:sz w:val="22"/>
                  <w:szCs w:val="22"/>
                  <w:u w:val="single"/>
                </w:rPr>
                <w:t>Resolution 647</w:t>
              </w:r>
            </w:hyperlink>
            <w:r w:rsidR="00E8676B" w:rsidRPr="001044A9">
              <w:rPr>
                <w:rFonts w:asciiTheme="minorHAnsi" w:hAnsiTheme="minorHAnsi"/>
                <w:i/>
                <w:iCs/>
                <w:sz w:val="22"/>
                <w:szCs w:val="22"/>
              </w:rPr>
              <w:t xml:space="preserve"> (</w:t>
            </w:r>
            <w:r w:rsidR="00D25AE8" w:rsidRPr="001044A9">
              <w:rPr>
                <w:rFonts w:asciiTheme="minorHAnsi" w:hAnsiTheme="minorHAnsi"/>
                <w:i/>
                <w:iCs/>
                <w:sz w:val="22"/>
                <w:szCs w:val="22"/>
              </w:rPr>
              <w:t xml:space="preserve">C-1969, last </w:t>
            </w:r>
            <w:r w:rsidR="00E8676B" w:rsidRPr="001044A9">
              <w:rPr>
                <w:rFonts w:asciiTheme="minorHAnsi" w:hAnsiTheme="minorHAnsi"/>
                <w:i/>
                <w:iCs/>
                <w:sz w:val="22"/>
                <w:szCs w:val="22"/>
              </w:rPr>
              <w:t>amended</w:t>
            </w:r>
            <w:r w:rsidR="00D25AE8" w:rsidRPr="001044A9">
              <w:rPr>
                <w:rFonts w:asciiTheme="minorHAnsi" w:hAnsiTheme="minorHAnsi"/>
                <w:i/>
                <w:iCs/>
                <w:sz w:val="22"/>
                <w:szCs w:val="22"/>
              </w:rPr>
              <w:t xml:space="preserve"> C03</w:t>
            </w:r>
            <w:r w:rsidR="00E8676B" w:rsidRPr="001044A9">
              <w:rPr>
                <w:rFonts w:asciiTheme="minorHAnsi" w:hAnsiTheme="minorHAnsi"/>
                <w:i/>
                <w:iCs/>
                <w:sz w:val="22"/>
                <w:szCs w:val="22"/>
              </w:rPr>
              <w:t>)</w:t>
            </w:r>
          </w:p>
        </w:tc>
      </w:tr>
      <w:bookmarkEnd w:id="6"/>
    </w:tbl>
    <w:p w14:paraId="10EA1F0A" w14:textId="77777777" w:rsidR="001044A9" w:rsidRDefault="001044A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 w:val="26"/>
          <w:szCs w:val="26"/>
        </w:rPr>
      </w:pPr>
      <w:r>
        <w:rPr>
          <w:rFonts w:asciiTheme="minorHAnsi" w:hAnsiTheme="minorHAnsi"/>
          <w:b/>
          <w:sz w:val="26"/>
          <w:szCs w:val="26"/>
        </w:rPr>
        <w:lastRenderedPageBreak/>
        <w:br w:type="page"/>
      </w:r>
    </w:p>
    <w:p w14:paraId="2A0248A2" w14:textId="0AF87B5A" w:rsidR="000538AD" w:rsidRPr="00227914" w:rsidRDefault="000538AD" w:rsidP="00227914">
      <w:pPr>
        <w:tabs>
          <w:tab w:val="clear" w:pos="567"/>
          <w:tab w:val="clear" w:pos="1134"/>
          <w:tab w:val="clear" w:pos="1701"/>
          <w:tab w:val="clear" w:pos="2268"/>
          <w:tab w:val="clear" w:pos="2835"/>
        </w:tabs>
        <w:spacing w:before="480" w:after="120"/>
        <w:outlineLvl w:val="0"/>
        <w:rPr>
          <w:rFonts w:asciiTheme="minorHAnsi" w:hAnsiTheme="minorHAnsi"/>
          <w:b/>
          <w:sz w:val="26"/>
          <w:szCs w:val="26"/>
        </w:rPr>
      </w:pPr>
      <w:r w:rsidRPr="00227914">
        <w:rPr>
          <w:rFonts w:asciiTheme="minorHAnsi" w:hAnsiTheme="minorHAnsi"/>
          <w:b/>
          <w:sz w:val="26"/>
          <w:szCs w:val="26"/>
        </w:rPr>
        <w:lastRenderedPageBreak/>
        <w:t>I.</w:t>
      </w:r>
      <w:r w:rsidRPr="00227914">
        <w:rPr>
          <w:rFonts w:asciiTheme="minorHAnsi" w:hAnsiTheme="minorHAnsi"/>
          <w:b/>
          <w:sz w:val="26"/>
          <w:szCs w:val="26"/>
        </w:rPr>
        <w:tab/>
        <w:t>Conditions of employment for appointed officials</w:t>
      </w:r>
    </w:p>
    <w:p w14:paraId="20FC7D09" w14:textId="631FE1CB" w:rsidR="005E1B8B" w:rsidRPr="00227914" w:rsidRDefault="000538AD" w:rsidP="00227914">
      <w:pPr>
        <w:tabs>
          <w:tab w:val="clear" w:pos="567"/>
          <w:tab w:val="clear" w:pos="1134"/>
          <w:tab w:val="clear" w:pos="1701"/>
          <w:tab w:val="clear" w:pos="2268"/>
          <w:tab w:val="clear" w:pos="2835"/>
        </w:tabs>
        <w:spacing w:before="160" w:after="120"/>
        <w:rPr>
          <w:rFonts w:asciiTheme="minorHAnsi" w:hAnsiTheme="minorHAnsi"/>
          <w:b/>
          <w:bCs/>
          <w:szCs w:val="24"/>
        </w:rPr>
      </w:pPr>
      <w:r w:rsidRPr="00227914">
        <w:rPr>
          <w:rFonts w:asciiTheme="minorHAnsi" w:hAnsiTheme="minorHAnsi"/>
          <w:b/>
          <w:bCs/>
          <w:szCs w:val="24"/>
        </w:rPr>
        <w:t>A.</w:t>
      </w:r>
      <w:r w:rsidRPr="00227914">
        <w:rPr>
          <w:rFonts w:asciiTheme="minorHAnsi" w:hAnsiTheme="minorHAnsi"/>
          <w:b/>
          <w:bCs/>
          <w:szCs w:val="24"/>
        </w:rPr>
        <w:tab/>
        <w:t xml:space="preserve">Staff members in the </w:t>
      </w:r>
      <w:r w:rsidR="003B4177" w:rsidRPr="00227914">
        <w:rPr>
          <w:rFonts w:asciiTheme="minorHAnsi" w:hAnsiTheme="minorHAnsi"/>
          <w:b/>
          <w:bCs/>
          <w:szCs w:val="24"/>
        </w:rPr>
        <w:t>P</w:t>
      </w:r>
      <w:r w:rsidRPr="00227914">
        <w:rPr>
          <w:rFonts w:asciiTheme="minorHAnsi" w:hAnsiTheme="minorHAnsi"/>
          <w:b/>
          <w:bCs/>
          <w:szCs w:val="24"/>
        </w:rPr>
        <w:t>rofessional and higher categories</w:t>
      </w:r>
    </w:p>
    <w:p w14:paraId="72756A96" w14:textId="7730E379" w:rsidR="005E1B8B" w:rsidRPr="00227914" w:rsidRDefault="53920DB6" w:rsidP="00227914">
      <w:pPr>
        <w:pStyle w:val="ListParagraph"/>
        <w:numPr>
          <w:ilvl w:val="0"/>
          <w:numId w:val="3"/>
        </w:numPr>
        <w:tabs>
          <w:tab w:val="clear" w:pos="567"/>
          <w:tab w:val="clear" w:pos="1134"/>
          <w:tab w:val="clear" w:pos="1701"/>
          <w:tab w:val="clear" w:pos="2268"/>
          <w:tab w:val="clear" w:pos="2835"/>
        </w:tabs>
        <w:ind w:left="0" w:firstLine="0"/>
        <w:contextualSpacing w:val="0"/>
        <w:jc w:val="both"/>
        <w:rPr>
          <w:szCs w:val="24"/>
        </w:rPr>
      </w:pPr>
      <w:r w:rsidRPr="45977724">
        <w:t>At its 78</w:t>
      </w:r>
      <w:r w:rsidR="5290BD1D" w:rsidRPr="45977724">
        <w:t>th</w:t>
      </w:r>
      <w:r w:rsidRPr="45977724">
        <w:t xml:space="preserve"> session (2023), the United Nations General Assembly (UNGA) decided to take no action on the item entitled “the United Nation common system” relating to conditions of service in the United Nations common system.</w:t>
      </w:r>
      <w:r w:rsidR="00C264F4" w:rsidRPr="00FA281C">
        <w:rPr>
          <w:rStyle w:val="FootnoteReference"/>
          <w:sz w:val="18"/>
          <w:szCs w:val="18"/>
          <w:lang w:val="en-US"/>
        </w:rPr>
        <w:footnoteReference w:id="3"/>
      </w:r>
    </w:p>
    <w:p w14:paraId="1D86E252" w14:textId="6CAF167D" w:rsidR="005E1B8B" w:rsidRPr="00227914" w:rsidRDefault="368507B1" w:rsidP="45977724">
      <w:pPr>
        <w:pStyle w:val="ListParagraph"/>
        <w:numPr>
          <w:ilvl w:val="0"/>
          <w:numId w:val="3"/>
        </w:numPr>
        <w:tabs>
          <w:tab w:val="clear" w:pos="567"/>
          <w:tab w:val="clear" w:pos="1134"/>
          <w:tab w:val="clear" w:pos="1701"/>
          <w:tab w:val="clear" w:pos="2268"/>
          <w:tab w:val="clear" w:pos="2835"/>
        </w:tabs>
        <w:ind w:left="0" w:firstLine="0"/>
        <w:contextualSpacing w:val="0"/>
        <w:jc w:val="both"/>
        <w:rPr>
          <w:szCs w:val="24"/>
        </w:rPr>
      </w:pPr>
      <w:r>
        <w:t>T</w:t>
      </w:r>
      <w:r w:rsidR="53920DB6">
        <w:t xml:space="preserve">he decisions taken by </w:t>
      </w:r>
      <w:r w:rsidR="273E6BC6" w:rsidRPr="3BD3436B">
        <w:rPr>
          <w:rFonts w:eastAsia="Calibri" w:cs="Calibri"/>
          <w:szCs w:val="24"/>
        </w:rPr>
        <w:t>the International Civil Service Commission (ICSC)</w:t>
      </w:r>
      <w:r w:rsidR="65744D5D">
        <w:t>,</w:t>
      </w:r>
      <w:r w:rsidR="53920DB6">
        <w:t xml:space="preserve"> </w:t>
      </w:r>
      <w:r w:rsidR="41089F10">
        <w:t>and changes made in accordance with the ICSC’s established procedures</w:t>
      </w:r>
      <w:r w:rsidR="3BA9DBED">
        <w:t xml:space="preserve"> under Article 11</w:t>
      </w:r>
      <w:r w:rsidR="41089F10">
        <w:t xml:space="preserve">, </w:t>
      </w:r>
      <w:r w:rsidR="53920DB6">
        <w:t>were implemented</w:t>
      </w:r>
      <w:r w:rsidR="7EA6F909">
        <w:t xml:space="preserve"> </w:t>
      </w:r>
      <w:r w:rsidR="53920DB6">
        <w:t>as indicated below.</w:t>
      </w:r>
    </w:p>
    <w:p w14:paraId="47D04872" w14:textId="77777777" w:rsidR="000538AD" w:rsidRPr="00227914" w:rsidRDefault="000538AD" w:rsidP="00227914">
      <w:pPr>
        <w:tabs>
          <w:tab w:val="clear" w:pos="567"/>
          <w:tab w:val="clear" w:pos="1134"/>
          <w:tab w:val="clear" w:pos="1701"/>
          <w:tab w:val="clear" w:pos="2268"/>
          <w:tab w:val="clear" w:pos="2835"/>
        </w:tabs>
        <w:spacing w:after="120"/>
        <w:ind w:left="720" w:firstLine="720"/>
        <w:jc w:val="both"/>
        <w:rPr>
          <w:rFonts w:asciiTheme="minorHAnsi" w:hAnsiTheme="minorHAnsi"/>
          <w:b/>
          <w:bCs/>
          <w:szCs w:val="24"/>
          <w:lang w:val="en-US"/>
        </w:rPr>
      </w:pPr>
      <w:r w:rsidRPr="00227914">
        <w:rPr>
          <w:rFonts w:asciiTheme="minorHAnsi" w:hAnsiTheme="minorHAnsi"/>
          <w:b/>
          <w:bCs/>
          <w:szCs w:val="24"/>
          <w:lang w:val="en-US"/>
        </w:rPr>
        <w:t>Pensionable remuneration</w:t>
      </w:r>
    </w:p>
    <w:p w14:paraId="24EFB722" w14:textId="29A27D0D" w:rsidR="00562734" w:rsidRPr="00227914" w:rsidRDefault="036E3247" w:rsidP="00227914">
      <w:pPr>
        <w:pStyle w:val="ListParagraph"/>
        <w:numPr>
          <w:ilvl w:val="0"/>
          <w:numId w:val="3"/>
        </w:numPr>
        <w:tabs>
          <w:tab w:val="clear" w:pos="567"/>
          <w:tab w:val="clear" w:pos="1134"/>
          <w:tab w:val="clear" w:pos="1701"/>
          <w:tab w:val="clear" w:pos="2268"/>
          <w:tab w:val="clear" w:pos="2835"/>
        </w:tabs>
        <w:spacing w:after="120"/>
        <w:ind w:left="0" w:firstLine="0"/>
        <w:contextualSpacing w:val="0"/>
        <w:jc w:val="both"/>
        <w:rPr>
          <w:szCs w:val="24"/>
        </w:rPr>
      </w:pPr>
      <w:r>
        <w:t>According to the I</w:t>
      </w:r>
      <w:r w:rsidR="7ABED856">
        <w:t xml:space="preserve">CSC’s </w:t>
      </w:r>
      <w:r>
        <w:t>established procedure, the scale of pensionable remuneration for the Professional and higher categories is recalculated at every review of the common scale of staff assessment, using the pensionable remuneration formula.</w:t>
      </w:r>
      <w:r w:rsidR="2D23154D">
        <w:t xml:space="preserve"> </w:t>
      </w:r>
      <w:r w:rsidR="363B007F">
        <w:t>Although no change was made to the common scale of staff assessment, the recalculation resulted in an increase to the scale of pensionable remuneration.</w:t>
      </w:r>
      <w:r w:rsidR="7CBD05C5">
        <w:t xml:space="preserve"> The recalculated pensionable remuneration scale </w:t>
      </w:r>
      <w:r w:rsidR="4CD2D214">
        <w:t>was</w:t>
      </w:r>
      <w:r w:rsidR="7CBD05C5">
        <w:t xml:space="preserve"> effective as of 1</w:t>
      </w:r>
      <w:r w:rsidR="0E9C06DB">
        <w:t> </w:t>
      </w:r>
      <w:r w:rsidR="7CBD05C5">
        <w:t>January</w:t>
      </w:r>
      <w:r w:rsidR="0E9C06DB">
        <w:t> </w:t>
      </w:r>
      <w:r w:rsidR="7CBD05C5">
        <w:t>2024.</w:t>
      </w:r>
    </w:p>
    <w:p w14:paraId="1C781562" w14:textId="59A41D22" w:rsidR="000538AD" w:rsidRPr="00227914" w:rsidRDefault="5F98D8A4" w:rsidP="00227914">
      <w:pPr>
        <w:pStyle w:val="ListParagraph"/>
        <w:numPr>
          <w:ilvl w:val="0"/>
          <w:numId w:val="3"/>
        </w:numPr>
        <w:tabs>
          <w:tab w:val="clear" w:pos="567"/>
          <w:tab w:val="clear" w:pos="1134"/>
          <w:tab w:val="clear" w:pos="1701"/>
          <w:tab w:val="clear" w:pos="2268"/>
          <w:tab w:val="clear" w:pos="2835"/>
        </w:tabs>
        <w:spacing w:after="120"/>
        <w:ind w:left="0" w:firstLine="0"/>
        <w:contextualSpacing w:val="0"/>
        <w:jc w:val="both"/>
        <w:rPr>
          <w:szCs w:val="24"/>
        </w:rPr>
      </w:pPr>
      <w:r w:rsidRPr="45977724">
        <w:t>Effective 1 February 202</w:t>
      </w:r>
      <w:r w:rsidR="4EE4E493" w:rsidRPr="45977724">
        <w:t>4</w:t>
      </w:r>
      <w:r w:rsidRPr="45977724">
        <w:t xml:space="preserve">, the post adjustment classification </w:t>
      </w:r>
      <w:r w:rsidR="6C3AD9BC" w:rsidRPr="45977724">
        <w:t xml:space="preserve">for </w:t>
      </w:r>
      <w:r w:rsidRPr="45977724">
        <w:t xml:space="preserve">New York </w:t>
      </w:r>
      <w:r w:rsidR="575941C1" w:rsidRPr="45977724">
        <w:t>was</w:t>
      </w:r>
      <w:r w:rsidR="3AEF439C" w:rsidRPr="00227914">
        <w:rPr>
          <w:szCs w:val="24"/>
        </w:rPr>
        <w:t xml:space="preserve"> </w:t>
      </w:r>
      <w:r w:rsidRPr="45977724">
        <w:t xml:space="preserve">changed from multiplier </w:t>
      </w:r>
      <w:r w:rsidR="39F0A237" w:rsidRPr="45977724">
        <w:t>80.5 to</w:t>
      </w:r>
      <w:r w:rsidRPr="00227914">
        <w:rPr>
          <w:szCs w:val="24"/>
        </w:rPr>
        <w:t xml:space="preserve"> </w:t>
      </w:r>
      <w:r w:rsidR="39F0A237" w:rsidRPr="45977724">
        <w:t>88.4,</w:t>
      </w:r>
      <w:r w:rsidRPr="45977724">
        <w:t xml:space="preserve"> resulting in an increase in the net remuneration </w:t>
      </w:r>
      <w:r w:rsidR="6C3AD9BC" w:rsidRPr="45977724">
        <w:t xml:space="preserve">in </w:t>
      </w:r>
      <w:r w:rsidRPr="45977724">
        <w:t xml:space="preserve">New York in the Professional and higher categories by a ratio of </w:t>
      </w:r>
      <w:r w:rsidR="4EE4E493" w:rsidRPr="45977724">
        <w:t>188.4</w:t>
      </w:r>
      <w:r w:rsidRPr="00227914">
        <w:rPr>
          <w:szCs w:val="24"/>
        </w:rPr>
        <w:t>/</w:t>
      </w:r>
      <w:r w:rsidR="4EE4E493" w:rsidRPr="45977724">
        <w:t>1</w:t>
      </w:r>
      <w:r w:rsidR="5043C968" w:rsidRPr="45977724">
        <w:t>80.</w:t>
      </w:r>
      <w:r w:rsidR="3AEF439C" w:rsidRPr="45977724">
        <w:t>5.</w:t>
      </w:r>
      <w:r w:rsidR="575941C1" w:rsidRPr="00227914">
        <w:rPr>
          <w:szCs w:val="24"/>
        </w:rPr>
        <w:t xml:space="preserve"> </w:t>
      </w:r>
      <w:r w:rsidR="0D5F3B3D" w:rsidRPr="45977724">
        <w:t>In accordance with Article 51(b) of the Regulations of the United Nations Joint Staff Pension Fund</w:t>
      </w:r>
      <w:r w:rsidR="7A86515E" w:rsidRPr="00227914">
        <w:rPr>
          <w:szCs w:val="24"/>
        </w:rPr>
        <w:t xml:space="preserve"> (</w:t>
      </w:r>
      <w:r w:rsidR="60DC427D" w:rsidRPr="45977724">
        <w:t>UNJSPF</w:t>
      </w:r>
      <w:r w:rsidR="7A86515E" w:rsidRPr="00227914">
        <w:rPr>
          <w:szCs w:val="24"/>
        </w:rPr>
        <w:t>)</w:t>
      </w:r>
      <w:r w:rsidR="51A5F6F0" w:rsidRPr="00227914">
        <w:rPr>
          <w:szCs w:val="24"/>
        </w:rPr>
        <w:t>,</w:t>
      </w:r>
      <w:r w:rsidR="00E916BB" w:rsidRPr="45977724">
        <w:rPr>
          <w:vertAlign w:val="superscript"/>
        </w:rPr>
        <w:footnoteReference w:id="4"/>
      </w:r>
      <w:r w:rsidR="6E0692B7" w:rsidRPr="00227914">
        <w:rPr>
          <w:szCs w:val="24"/>
        </w:rPr>
        <w:t xml:space="preserve"> </w:t>
      </w:r>
      <w:r w:rsidR="6355B29F" w:rsidRPr="45977724">
        <w:t xml:space="preserve">the </w:t>
      </w:r>
      <w:r w:rsidR="0D5F3B3D" w:rsidRPr="45977724">
        <w:t xml:space="preserve">scale of pensionable remuneration applicable to all staff in the Professional and </w:t>
      </w:r>
      <w:r w:rsidR="27DC1EEB" w:rsidRPr="45977724">
        <w:t xml:space="preserve">higher </w:t>
      </w:r>
      <w:r w:rsidR="0D5F3B3D" w:rsidRPr="45977724">
        <w:t xml:space="preserve">categories </w:t>
      </w:r>
      <w:r w:rsidR="76984A03" w:rsidRPr="45977724">
        <w:t>was</w:t>
      </w:r>
      <w:r w:rsidR="0D5F3B3D" w:rsidRPr="45977724">
        <w:t xml:space="preserve"> adjusted</w:t>
      </w:r>
      <w:r w:rsidR="1CBDB2E8" w:rsidRPr="45977724">
        <w:t xml:space="preserve"> on the same date and by the same percentage</w:t>
      </w:r>
      <w:r w:rsidR="0D5F3B3D" w:rsidRPr="00227914">
        <w:rPr>
          <w:szCs w:val="24"/>
        </w:rPr>
        <w:t>.</w:t>
      </w:r>
    </w:p>
    <w:p w14:paraId="6CADFE0E" w14:textId="07FE9126" w:rsidR="007D3BC7" w:rsidRPr="00227914" w:rsidRDefault="2B8EE6BD" w:rsidP="00227914">
      <w:pPr>
        <w:pStyle w:val="ListParagraph"/>
        <w:numPr>
          <w:ilvl w:val="0"/>
          <w:numId w:val="3"/>
        </w:numPr>
        <w:tabs>
          <w:tab w:val="clear" w:pos="567"/>
          <w:tab w:val="clear" w:pos="1134"/>
          <w:tab w:val="clear" w:pos="1701"/>
          <w:tab w:val="clear" w:pos="2268"/>
          <w:tab w:val="clear" w:pos="2835"/>
        </w:tabs>
        <w:spacing w:after="120"/>
        <w:ind w:left="0" w:firstLine="0"/>
        <w:contextualSpacing w:val="0"/>
        <w:jc w:val="both"/>
        <w:rPr>
          <w:szCs w:val="24"/>
        </w:rPr>
      </w:pPr>
      <w:r>
        <w:t>Consequently, t</w:t>
      </w:r>
      <w:r w:rsidR="0D5F3B3D">
        <w:t xml:space="preserve">he scale of pensionable remuneration for the Professional and </w:t>
      </w:r>
      <w:r w:rsidR="27DC1EEB">
        <w:t>higher</w:t>
      </w:r>
      <w:r w:rsidR="07E8CBEF">
        <w:t xml:space="preserve"> categories </w:t>
      </w:r>
      <w:r w:rsidR="29F1BD4D">
        <w:t>was</w:t>
      </w:r>
      <w:r w:rsidR="0D5F3B3D">
        <w:t xml:space="preserve"> adjusted </w:t>
      </w:r>
      <w:r w:rsidR="0F703219">
        <w:t xml:space="preserve">upwards </w:t>
      </w:r>
      <w:r w:rsidR="07FCC669">
        <w:t>by 1</w:t>
      </w:r>
      <w:r w:rsidR="61798960">
        <w:t>.</w:t>
      </w:r>
      <w:r w:rsidR="5043C968">
        <w:t>04</w:t>
      </w:r>
      <w:r w:rsidR="61798960">
        <w:t> per cent</w:t>
      </w:r>
      <w:r w:rsidR="53B776DC">
        <w:t xml:space="preserve"> </w:t>
      </w:r>
      <w:r w:rsidR="0D5F3B3D">
        <w:t xml:space="preserve">in accordance with the above provision, </w:t>
      </w:r>
      <w:r w:rsidR="2E0E87AF">
        <w:t xml:space="preserve">with effect from </w:t>
      </w:r>
      <w:r w:rsidR="0D5F3B3D">
        <w:t>1 February 202</w:t>
      </w:r>
      <w:r w:rsidR="5043C968">
        <w:t>4</w:t>
      </w:r>
      <w:r w:rsidR="0D5F3B3D">
        <w:t>.</w:t>
      </w:r>
    </w:p>
    <w:p w14:paraId="75644E8B" w14:textId="5C307BCF" w:rsidR="007D3BC7" w:rsidRPr="00227914" w:rsidRDefault="000538AD" w:rsidP="00227914">
      <w:pPr>
        <w:tabs>
          <w:tab w:val="clear" w:pos="567"/>
          <w:tab w:val="clear" w:pos="1134"/>
          <w:tab w:val="clear" w:pos="1701"/>
          <w:tab w:val="clear" w:pos="2268"/>
          <w:tab w:val="clear" w:pos="2835"/>
        </w:tabs>
        <w:overflowPunct/>
        <w:autoSpaceDE/>
        <w:adjustRightInd/>
        <w:spacing w:before="160" w:after="120"/>
        <w:jc w:val="both"/>
        <w:rPr>
          <w:rFonts w:asciiTheme="minorHAnsi" w:hAnsiTheme="minorHAnsi"/>
          <w:b/>
          <w:bCs/>
          <w:szCs w:val="24"/>
        </w:rPr>
      </w:pPr>
      <w:r w:rsidRPr="00227914">
        <w:rPr>
          <w:rFonts w:asciiTheme="minorHAnsi" w:hAnsiTheme="minorHAnsi"/>
          <w:b/>
          <w:bCs/>
          <w:szCs w:val="24"/>
        </w:rPr>
        <w:t>B.</w:t>
      </w:r>
      <w:r w:rsidRPr="00227914">
        <w:rPr>
          <w:rFonts w:asciiTheme="minorHAnsi" w:hAnsiTheme="minorHAnsi"/>
          <w:b/>
          <w:bCs/>
          <w:szCs w:val="24"/>
        </w:rPr>
        <w:tab/>
        <w:t>Staff members in the General Services category</w:t>
      </w:r>
    </w:p>
    <w:p w14:paraId="1ACFA2CE" w14:textId="2AD6BB0C" w:rsidR="000538AD" w:rsidRPr="00227914" w:rsidRDefault="0D5F3B3D" w:rsidP="00227914">
      <w:pPr>
        <w:pStyle w:val="ListParagraph"/>
        <w:numPr>
          <w:ilvl w:val="0"/>
          <w:numId w:val="3"/>
        </w:numPr>
        <w:tabs>
          <w:tab w:val="clear" w:pos="567"/>
          <w:tab w:val="clear" w:pos="1134"/>
          <w:tab w:val="clear" w:pos="1701"/>
          <w:tab w:val="clear" w:pos="2268"/>
          <w:tab w:val="clear" w:pos="2835"/>
        </w:tabs>
        <w:spacing w:after="120"/>
        <w:ind w:left="0" w:firstLine="0"/>
        <w:contextualSpacing w:val="0"/>
        <w:jc w:val="both"/>
        <w:rPr>
          <w:szCs w:val="24"/>
        </w:rPr>
      </w:pPr>
      <w:r w:rsidRPr="45977724">
        <w:t xml:space="preserve">The </w:t>
      </w:r>
      <w:r w:rsidR="2D402732" w:rsidRPr="45977724">
        <w:t xml:space="preserve">ICSC </w:t>
      </w:r>
      <w:r w:rsidR="27DC1EEB" w:rsidRPr="45977724">
        <w:t>methodology</w:t>
      </w:r>
      <w:r w:rsidRPr="45977724">
        <w:t xml:space="preserve"> for effecting interim adjustments of the salary scale for </w:t>
      </w:r>
      <w:r w:rsidR="4B62A011" w:rsidRPr="45977724">
        <w:t xml:space="preserve">Geneva-based </w:t>
      </w:r>
      <w:r w:rsidRPr="45977724">
        <w:t xml:space="preserve">staff in the General Service category </w:t>
      </w:r>
      <w:r w:rsidR="3C429C19" w:rsidRPr="45977724">
        <w:t xml:space="preserve">requires </w:t>
      </w:r>
      <w:r w:rsidRPr="45977724">
        <w:t xml:space="preserve">an adjustment in the net salaries of such staff whenever the consumer price index (CPI) for Geneva moves by </w:t>
      </w:r>
      <w:r w:rsidR="39F0A237" w:rsidRPr="45977724">
        <w:t>1.5 percent</w:t>
      </w:r>
      <w:r w:rsidRPr="00227914">
        <w:rPr>
          <w:szCs w:val="24"/>
        </w:rPr>
        <w:t xml:space="preserve"> </w:t>
      </w:r>
      <w:r w:rsidR="4B62A011" w:rsidRPr="45977724">
        <w:t>against</w:t>
      </w:r>
      <w:r w:rsidRPr="45977724">
        <w:t xml:space="preserve"> the</w:t>
      </w:r>
      <w:r w:rsidR="1A0F89EA" w:rsidRPr="00227914">
        <w:rPr>
          <w:szCs w:val="24"/>
        </w:rPr>
        <w:t xml:space="preserve"> </w:t>
      </w:r>
      <w:r w:rsidRPr="45977724">
        <w:t>index used at the time of the previous adjustment, or every 12 months, whichever comes first.</w:t>
      </w:r>
      <w:r w:rsidR="00D6027E" w:rsidRPr="45977724">
        <w:rPr>
          <w:vertAlign w:val="superscript"/>
        </w:rPr>
        <w:footnoteReference w:id="5"/>
      </w:r>
    </w:p>
    <w:p w14:paraId="2AA5698A" w14:textId="4C131294" w:rsidR="000538AD" w:rsidRPr="00227914" w:rsidRDefault="0D5F3B3D" w:rsidP="00227914">
      <w:pPr>
        <w:pStyle w:val="ListParagraph"/>
        <w:numPr>
          <w:ilvl w:val="0"/>
          <w:numId w:val="3"/>
        </w:numPr>
        <w:tabs>
          <w:tab w:val="clear" w:pos="567"/>
          <w:tab w:val="clear" w:pos="1134"/>
          <w:tab w:val="clear" w:pos="1701"/>
          <w:tab w:val="clear" w:pos="2268"/>
          <w:tab w:val="clear" w:pos="2835"/>
        </w:tabs>
        <w:spacing w:after="120"/>
        <w:ind w:left="0" w:firstLine="0"/>
        <w:contextualSpacing w:val="0"/>
        <w:jc w:val="both"/>
        <w:rPr>
          <w:szCs w:val="24"/>
        </w:rPr>
      </w:pPr>
      <w:r>
        <w:lastRenderedPageBreak/>
        <w:t>The Geneva CPI movement from September 202</w:t>
      </w:r>
      <w:r w:rsidR="0B40FBA3">
        <w:t>2</w:t>
      </w:r>
      <w:r>
        <w:t xml:space="preserve"> to September 202</w:t>
      </w:r>
      <w:r w:rsidR="0B40FBA3">
        <w:t>3</w:t>
      </w:r>
      <w:r>
        <w:t xml:space="preserve"> reflected a net variation of salary scales</w:t>
      </w:r>
      <w:r w:rsidR="51EE340B">
        <w:t>,</w:t>
      </w:r>
      <w:r>
        <w:t xml:space="preserve"> which</w:t>
      </w:r>
      <w:r w:rsidR="2DC8396B">
        <w:t>,</w:t>
      </w:r>
      <w:r>
        <w:t xml:space="preserve"> after </w:t>
      </w:r>
      <w:r w:rsidR="39F0A237">
        <w:t>considering</w:t>
      </w:r>
      <w:r>
        <w:t xml:space="preserve"> local taxation</w:t>
      </w:r>
      <w:r w:rsidR="1028A874">
        <w:t>,</w:t>
      </w:r>
      <w:r>
        <w:t xml:space="preserve"> amounts to</w:t>
      </w:r>
      <w:r w:rsidR="4B62A011">
        <w:t xml:space="preserve"> a rise of</w:t>
      </w:r>
      <w:r>
        <w:t xml:space="preserve"> </w:t>
      </w:r>
      <w:r w:rsidR="0B40FBA3">
        <w:t>1.5</w:t>
      </w:r>
      <w:r w:rsidR="5C68451C">
        <w:t xml:space="preserve"> </w:t>
      </w:r>
      <w:r w:rsidR="61798960">
        <w:t>per cent</w:t>
      </w:r>
      <w:r>
        <w:t xml:space="preserve">. Therefore, in </w:t>
      </w:r>
      <w:r w:rsidR="39F0A237">
        <w:t>applying</w:t>
      </w:r>
      <w:r>
        <w:t xml:space="preserve"> the above-mentioned procedure, the net salaries of staff in the General Service category </w:t>
      </w:r>
      <w:r w:rsidR="465DA67E">
        <w:t xml:space="preserve">in Geneva </w:t>
      </w:r>
      <w:r w:rsidR="18519B62">
        <w:t>were</w:t>
      </w:r>
      <w:r>
        <w:t xml:space="preserve"> updated accordingly</w:t>
      </w:r>
      <w:r w:rsidR="465DA67E">
        <w:t xml:space="preserve"> by the ICSC</w:t>
      </w:r>
      <w:r>
        <w:t xml:space="preserve">, the last </w:t>
      </w:r>
      <w:r w:rsidR="73DAFC68">
        <w:t xml:space="preserve">revision </w:t>
      </w:r>
      <w:r>
        <w:t>being revision 5</w:t>
      </w:r>
      <w:r w:rsidR="0B40FBA3">
        <w:t>9</w:t>
      </w:r>
      <w:r>
        <w:t>, effective 1 September 202</w:t>
      </w:r>
      <w:r w:rsidR="0B40FBA3">
        <w:t>3</w:t>
      </w:r>
      <w:r>
        <w:t>.</w:t>
      </w:r>
    </w:p>
    <w:p w14:paraId="555A0ABD" w14:textId="5E8187B2" w:rsidR="009B6BA2" w:rsidRPr="00227914" w:rsidRDefault="000538AD" w:rsidP="00227914">
      <w:pPr>
        <w:keepNext/>
        <w:tabs>
          <w:tab w:val="clear" w:pos="567"/>
          <w:tab w:val="clear" w:pos="1134"/>
          <w:tab w:val="clear" w:pos="1701"/>
          <w:tab w:val="clear" w:pos="2268"/>
          <w:tab w:val="clear" w:pos="2835"/>
        </w:tabs>
        <w:spacing w:before="480" w:after="120"/>
        <w:jc w:val="both"/>
        <w:outlineLvl w:val="0"/>
        <w:rPr>
          <w:rFonts w:asciiTheme="minorHAnsi" w:hAnsiTheme="minorHAnsi"/>
          <w:b/>
          <w:sz w:val="26"/>
          <w:szCs w:val="26"/>
        </w:rPr>
      </w:pPr>
      <w:r w:rsidRPr="00227914">
        <w:rPr>
          <w:rFonts w:asciiTheme="minorHAnsi" w:hAnsiTheme="minorHAnsi"/>
          <w:b/>
          <w:sz w:val="26"/>
          <w:szCs w:val="26"/>
        </w:rPr>
        <w:t>II.</w:t>
      </w:r>
      <w:r w:rsidRPr="00227914">
        <w:rPr>
          <w:rFonts w:asciiTheme="minorHAnsi" w:hAnsiTheme="minorHAnsi"/>
          <w:b/>
          <w:sz w:val="26"/>
          <w:szCs w:val="26"/>
        </w:rPr>
        <w:tab/>
        <w:t>Conditions of employment for elected officials</w:t>
      </w:r>
    </w:p>
    <w:p w14:paraId="623059BB" w14:textId="5CC5C155" w:rsidR="000538AD" w:rsidRPr="004C7947" w:rsidRDefault="1E0F7868" w:rsidP="004C7947">
      <w:pPr>
        <w:pStyle w:val="ListParagraph"/>
        <w:numPr>
          <w:ilvl w:val="0"/>
          <w:numId w:val="3"/>
        </w:numPr>
        <w:tabs>
          <w:tab w:val="clear" w:pos="567"/>
          <w:tab w:val="clear" w:pos="1134"/>
          <w:tab w:val="clear" w:pos="1701"/>
          <w:tab w:val="clear" w:pos="2268"/>
          <w:tab w:val="clear" w:pos="2835"/>
        </w:tabs>
        <w:spacing w:after="120" w:line="259" w:lineRule="auto"/>
        <w:ind w:left="0" w:firstLine="0"/>
        <w:jc w:val="both"/>
        <w:rPr>
          <w:szCs w:val="24"/>
        </w:rPr>
      </w:pPr>
      <w:r>
        <w:t xml:space="preserve">The pensionable remuneration applicable to elected officials has </w:t>
      </w:r>
      <w:r w:rsidR="7BFE581B">
        <w:t>been</w:t>
      </w:r>
      <w:r>
        <w:t xml:space="preserve"> adjusted </w:t>
      </w:r>
      <w:r w:rsidR="43B0D777">
        <w:t>i</w:t>
      </w:r>
      <w:r>
        <w:t>n the</w:t>
      </w:r>
      <w:r w:rsidR="211A511E">
        <w:t xml:space="preserve"> same proportion as the</w:t>
      </w:r>
      <w:r>
        <w:t xml:space="preserve"> pensionable remuneration applicable to appointed staff</w:t>
      </w:r>
      <w:r w:rsidR="61ED460C">
        <w:t xml:space="preserve"> (see paragraphs </w:t>
      </w:r>
      <w:r w:rsidR="31306872">
        <w:t xml:space="preserve">3 </w:t>
      </w:r>
      <w:r w:rsidR="61ED460C">
        <w:t xml:space="preserve">to </w:t>
      </w:r>
      <w:r w:rsidR="31306872">
        <w:t>5</w:t>
      </w:r>
      <w:r w:rsidR="61ED460C">
        <w:t>)</w:t>
      </w:r>
      <w:r w:rsidR="71F423C4">
        <w:t>.</w:t>
      </w:r>
      <w:r>
        <w:t xml:space="preserve"> </w:t>
      </w:r>
      <w:r w:rsidR="0676DCB6">
        <w:t xml:space="preserve">It results in </w:t>
      </w:r>
      <w:r w:rsidR="49734272">
        <w:t>an</w:t>
      </w:r>
      <w:r w:rsidR="43B0D777">
        <w:t xml:space="preserve"> </w:t>
      </w:r>
      <w:r w:rsidR="0676DCB6">
        <w:t>increase in pensionable remuneration</w:t>
      </w:r>
      <w:r w:rsidR="2FF582B8">
        <w:t xml:space="preserve"> </w:t>
      </w:r>
      <w:r w:rsidR="1864C152">
        <w:t xml:space="preserve">of </w:t>
      </w:r>
      <w:r w:rsidR="4751E21D">
        <w:t>1.0</w:t>
      </w:r>
      <w:r w:rsidR="0B40FBA3">
        <w:t>4</w:t>
      </w:r>
      <w:r w:rsidR="61798960">
        <w:t> per cent</w:t>
      </w:r>
      <w:r w:rsidR="2FC974A9">
        <w:t xml:space="preserve"> </w:t>
      </w:r>
      <w:r w:rsidR="6EA58FC2">
        <w:t xml:space="preserve">which is reflected in the </w:t>
      </w:r>
      <w:hyperlink w:anchor="Annex" w:history="1">
        <w:r w:rsidR="6EA58FC2" w:rsidRPr="00103147">
          <w:rPr>
            <w:rStyle w:val="Hyperlink"/>
          </w:rPr>
          <w:t>Annex</w:t>
        </w:r>
      </w:hyperlink>
      <w:r w:rsidR="6EA58FC2">
        <w:t xml:space="preserve"> hereto</w:t>
      </w:r>
      <w:r w:rsidR="48290036">
        <w:t>. The</w:t>
      </w:r>
      <w:r w:rsidR="75A566D1">
        <w:t xml:space="preserve"> additional cost ha</w:t>
      </w:r>
      <w:r w:rsidR="04002E91">
        <w:t>s</w:t>
      </w:r>
      <w:r w:rsidR="75A566D1">
        <w:t xml:space="preserve"> been included in the financial implications</w:t>
      </w:r>
      <w:r w:rsidR="2B55276D">
        <w:t xml:space="preserve"> </w:t>
      </w:r>
      <w:r w:rsidR="2B55276D" w:rsidRPr="3BD3436B">
        <w:rPr>
          <w:rFonts w:eastAsia="Calibri" w:cs="Calibri"/>
          <w:szCs w:val="24"/>
        </w:rPr>
        <w:t xml:space="preserve">total </w:t>
      </w:r>
      <w:r w:rsidR="2B55276D" w:rsidRPr="3BD3436B">
        <w:rPr>
          <w:rFonts w:eastAsia="Calibri" w:cs="Calibri"/>
          <w:color w:val="000000" w:themeColor="text1"/>
          <w:szCs w:val="24"/>
          <w:lang w:val="en-US"/>
        </w:rPr>
        <w:t>CHF</w:t>
      </w:r>
      <w:r w:rsidR="004C7947">
        <w:rPr>
          <w:rFonts w:eastAsia="Calibri" w:cs="Calibri"/>
          <w:color w:val="000000" w:themeColor="text1"/>
          <w:szCs w:val="24"/>
          <w:lang w:val="en-US"/>
        </w:rPr>
        <w:t> </w:t>
      </w:r>
      <w:r w:rsidR="2B55276D" w:rsidRPr="3BD3436B">
        <w:rPr>
          <w:rFonts w:eastAsia="Calibri" w:cs="Calibri"/>
          <w:color w:val="000000" w:themeColor="text1"/>
          <w:szCs w:val="24"/>
          <w:lang w:val="en-US"/>
        </w:rPr>
        <w:t>2</w:t>
      </w:r>
      <w:r w:rsidR="004C7947">
        <w:rPr>
          <w:rFonts w:eastAsia="Calibri" w:cs="Calibri"/>
          <w:color w:val="000000" w:themeColor="text1"/>
          <w:szCs w:val="24"/>
          <w:lang w:val="en-US"/>
        </w:rPr>
        <w:t> </w:t>
      </w:r>
      <w:r w:rsidR="2B55276D" w:rsidRPr="3BD3436B">
        <w:rPr>
          <w:rFonts w:eastAsia="Calibri" w:cs="Calibri"/>
          <w:color w:val="000000" w:themeColor="text1"/>
          <w:szCs w:val="24"/>
          <w:lang w:val="en-US"/>
        </w:rPr>
        <w:t>631</w:t>
      </w:r>
      <w:r w:rsidR="004C7947">
        <w:rPr>
          <w:rFonts w:eastAsia="Calibri" w:cs="Calibri"/>
          <w:color w:val="000000" w:themeColor="text1"/>
          <w:szCs w:val="24"/>
          <w:lang w:val="en-US"/>
        </w:rPr>
        <w:t> </w:t>
      </w:r>
      <w:r w:rsidR="2B55276D" w:rsidRPr="3BD3436B">
        <w:rPr>
          <w:rFonts w:eastAsia="Calibri" w:cs="Calibri"/>
          <w:color w:val="000000" w:themeColor="text1"/>
          <w:szCs w:val="24"/>
          <w:lang w:val="en-US"/>
        </w:rPr>
        <w:t>332</w:t>
      </w:r>
      <w:r w:rsidR="75A566D1">
        <w:t>.</w:t>
      </w:r>
    </w:p>
    <w:p w14:paraId="3C49DA84" w14:textId="566C37EA" w:rsidR="004C7947" w:rsidRPr="004C7947" w:rsidRDefault="004C7947" w:rsidP="004C7947">
      <w:pPr>
        <w:tabs>
          <w:tab w:val="clear" w:pos="567"/>
          <w:tab w:val="clear" w:pos="1134"/>
          <w:tab w:val="clear" w:pos="1701"/>
          <w:tab w:val="clear" w:pos="2268"/>
          <w:tab w:val="clear" w:pos="2835"/>
        </w:tabs>
        <w:spacing w:before="1440" w:after="120" w:line="259" w:lineRule="auto"/>
        <w:jc w:val="both"/>
        <w:rPr>
          <w:b/>
          <w:bCs/>
          <w:i/>
          <w:iCs/>
          <w:szCs w:val="24"/>
        </w:rPr>
      </w:pPr>
      <w:r w:rsidRPr="004C7947">
        <w:rPr>
          <w:b/>
          <w:bCs/>
          <w:i/>
          <w:iCs/>
          <w:szCs w:val="24"/>
        </w:rPr>
        <w:t>Annex: 1</w:t>
      </w:r>
    </w:p>
    <w:p w14:paraId="73EF41A8" w14:textId="77777777" w:rsidR="000538AD" w:rsidRPr="000538AD" w:rsidRDefault="000538AD" w:rsidP="000538AD">
      <w:pPr>
        <w:tabs>
          <w:tab w:val="clear" w:pos="567"/>
          <w:tab w:val="left" w:pos="720"/>
        </w:tabs>
        <w:overflowPunct/>
        <w:autoSpaceDE/>
        <w:adjustRightInd/>
        <w:spacing w:before="0"/>
        <w:rPr>
          <w:rFonts w:asciiTheme="minorHAnsi" w:eastAsiaTheme="minorEastAsia" w:hAnsiTheme="minorHAnsi" w:cstheme="minorBidi"/>
          <w:caps/>
          <w:sz w:val="28"/>
          <w:szCs w:val="22"/>
          <w:lang w:val="en-US" w:eastAsia="zh-CN"/>
        </w:rPr>
      </w:pPr>
      <w:r w:rsidRPr="000538AD">
        <w:rPr>
          <w:rFonts w:asciiTheme="minorHAnsi" w:eastAsiaTheme="minorEastAsia" w:hAnsiTheme="minorHAnsi" w:cstheme="minorBidi"/>
          <w:caps/>
          <w:sz w:val="28"/>
          <w:szCs w:val="22"/>
          <w:lang w:val="en-US" w:eastAsia="zh-CN"/>
        </w:rPr>
        <w:br w:type="page"/>
      </w:r>
    </w:p>
    <w:p w14:paraId="3CB6CB5C" w14:textId="77777777" w:rsidR="000538AD" w:rsidRPr="000538AD" w:rsidRDefault="000538AD" w:rsidP="000538AD">
      <w:pPr>
        <w:pStyle w:val="AnnexNo"/>
      </w:pPr>
      <w:bookmarkStart w:id="10" w:name="Annex"/>
      <w:r w:rsidRPr="000538AD">
        <w:lastRenderedPageBreak/>
        <w:t>Annex</w:t>
      </w:r>
      <w:bookmarkEnd w:id="10"/>
    </w:p>
    <w:p w14:paraId="4BA44FAE" w14:textId="05D347AB" w:rsidR="000538AD" w:rsidRPr="000538AD" w:rsidRDefault="000538AD" w:rsidP="002F4C01">
      <w:pPr>
        <w:pStyle w:val="AnnexNo"/>
      </w:pPr>
      <w:r w:rsidRPr="000538AD">
        <w:t>DRAFT RESOLUTION […]</w:t>
      </w:r>
    </w:p>
    <w:p w14:paraId="79919615" w14:textId="6D76D60E" w:rsidR="000538AD" w:rsidRPr="000538AD" w:rsidRDefault="000538AD" w:rsidP="000538AD">
      <w:pPr>
        <w:pStyle w:val="Annextitle"/>
      </w:pPr>
      <w:r w:rsidRPr="000538AD">
        <w:t xml:space="preserve">Conditions of service of ITU </w:t>
      </w:r>
      <w:r w:rsidR="002F4C01" w:rsidRPr="000538AD">
        <w:t>e</w:t>
      </w:r>
      <w:r w:rsidRPr="000538AD">
        <w:t xml:space="preserve">lected </w:t>
      </w:r>
      <w:r w:rsidR="002F4C01" w:rsidRPr="000538AD">
        <w:t>o</w:t>
      </w:r>
      <w:r w:rsidRPr="000538AD">
        <w:t>fficials</w:t>
      </w:r>
    </w:p>
    <w:p w14:paraId="61379598" w14:textId="77777777" w:rsidR="000538AD" w:rsidRPr="000538AD" w:rsidRDefault="000538AD" w:rsidP="000538AD">
      <w:pPr>
        <w:pStyle w:val="Normalaftertitle"/>
      </w:pPr>
      <w:r w:rsidRPr="000538AD">
        <w:t>The ITU Council,</w:t>
      </w:r>
    </w:p>
    <w:p w14:paraId="2C72CCB3" w14:textId="237741A0" w:rsidR="000538AD" w:rsidRPr="000538AD" w:rsidRDefault="002F4C01" w:rsidP="000538AD">
      <w:pPr>
        <w:pStyle w:val="Call"/>
      </w:pPr>
      <w:r>
        <w:t>recalling</w:t>
      </w:r>
    </w:p>
    <w:p w14:paraId="4B23B8C2" w14:textId="311D511F" w:rsidR="000538AD" w:rsidRPr="000538AD" w:rsidRDefault="000538AD" w:rsidP="000538AD">
      <w:r w:rsidRPr="000538AD">
        <w:t xml:space="preserve">Resolution 46 (Kyoto, 1994) </w:t>
      </w:r>
      <w:r w:rsidR="002F4C01">
        <w:t>of the</w:t>
      </w:r>
      <w:r w:rsidRPr="000538AD">
        <w:t xml:space="preserve"> Plenipotentiary Conference,</w:t>
      </w:r>
    </w:p>
    <w:p w14:paraId="3473BA20" w14:textId="77777777" w:rsidR="000538AD" w:rsidRPr="000538AD" w:rsidRDefault="000538AD" w:rsidP="000538AD">
      <w:pPr>
        <w:pStyle w:val="Call"/>
      </w:pPr>
      <w:r w:rsidRPr="000538AD">
        <w:t>having considered</w:t>
      </w:r>
    </w:p>
    <w:p w14:paraId="56B83AAF" w14:textId="4B7D37D4" w:rsidR="000538AD" w:rsidRPr="000538AD" w:rsidRDefault="000538AD" w:rsidP="000538AD">
      <w:r w:rsidRPr="000538AD">
        <w:t>the report by the Secretary-</w:t>
      </w:r>
      <w:r w:rsidRPr="0086255E">
        <w:t xml:space="preserve">General on the measures taken within the United Nations </w:t>
      </w:r>
      <w:r w:rsidR="002F4C01" w:rsidRPr="0086255E">
        <w:t>c</w:t>
      </w:r>
      <w:r w:rsidRPr="0086255E">
        <w:t xml:space="preserve">ommon </w:t>
      </w:r>
      <w:r w:rsidR="002F4C01" w:rsidRPr="0086255E">
        <w:t>s</w:t>
      </w:r>
      <w:r w:rsidRPr="0086255E">
        <w:t xml:space="preserve">ystem as a result of </w:t>
      </w:r>
      <w:r w:rsidR="00CD5876" w:rsidRPr="0086255E">
        <w:t xml:space="preserve">Resolution </w:t>
      </w:r>
      <w:r w:rsidR="00066758" w:rsidRPr="0086255E">
        <w:t>70/244</w:t>
      </w:r>
      <w:r w:rsidRPr="0086255E">
        <w:t xml:space="preserve"> of the United Nations General Assembly with regard to conditions of service</w:t>
      </w:r>
      <w:r w:rsidRPr="000538AD">
        <w:t>,</w:t>
      </w:r>
    </w:p>
    <w:p w14:paraId="74B03C57" w14:textId="77777777" w:rsidR="000538AD" w:rsidRPr="000538AD" w:rsidRDefault="000538AD" w:rsidP="000538AD">
      <w:pPr>
        <w:pStyle w:val="Call"/>
      </w:pPr>
      <w:r w:rsidRPr="000538AD">
        <w:t>resolves</w:t>
      </w:r>
    </w:p>
    <w:p w14:paraId="2807BD9C" w14:textId="40C58BE7" w:rsidR="000538AD" w:rsidRPr="000538AD" w:rsidRDefault="000538AD" w:rsidP="000538AD">
      <w:pPr>
        <w:spacing w:after="240"/>
        <w:rPr>
          <w:lang w:val="en-US"/>
        </w:rPr>
      </w:pPr>
      <w:r w:rsidRPr="000538AD">
        <w:t xml:space="preserve">to approve the following </w:t>
      </w:r>
      <w:r w:rsidRPr="0086255E">
        <w:t xml:space="preserve">pensionable remuneration with effect </w:t>
      </w:r>
      <w:r w:rsidR="00A250C2">
        <w:t>respectively from 1</w:t>
      </w:r>
      <w:r w:rsidR="00A250C2" w:rsidRPr="00A250C2">
        <w:rPr>
          <w:vertAlign w:val="superscript"/>
        </w:rPr>
        <w:t>st</w:t>
      </w:r>
      <w:r w:rsidR="00A250C2">
        <w:t xml:space="preserve"> January and 1</w:t>
      </w:r>
      <w:r w:rsidR="00A250C2" w:rsidRPr="00A250C2">
        <w:rPr>
          <w:vertAlign w:val="superscript"/>
        </w:rPr>
        <w:t>st</w:t>
      </w:r>
      <w:r w:rsidR="00797BCC">
        <w:t xml:space="preserve"> </w:t>
      </w:r>
      <w:r w:rsidRPr="0086255E">
        <w:t>February 202</w:t>
      </w:r>
      <w:r w:rsidR="00066758" w:rsidRPr="0086255E">
        <w:t>4</w:t>
      </w:r>
      <w:r w:rsidRPr="0086255E">
        <w:t xml:space="preserve"> for ITU </w:t>
      </w:r>
      <w:r w:rsidRPr="000538AD">
        <w:t>elected officials:</w:t>
      </w:r>
    </w:p>
    <w:tbl>
      <w:tblPr>
        <w:tblpPr w:leftFromText="180" w:rightFromText="180" w:vertAnchor="text"/>
        <w:tblW w:w="0" w:type="auto"/>
        <w:tblCellMar>
          <w:left w:w="0" w:type="dxa"/>
          <w:right w:w="0" w:type="dxa"/>
        </w:tblCellMar>
        <w:tblLook w:val="04A0" w:firstRow="1" w:lastRow="0" w:firstColumn="1" w:lastColumn="0" w:noHBand="0" w:noVBand="1"/>
      </w:tblPr>
      <w:tblGrid>
        <w:gridCol w:w="2507"/>
        <w:gridCol w:w="3163"/>
        <w:gridCol w:w="3391"/>
      </w:tblGrid>
      <w:tr w:rsidR="000538AD" w:rsidRPr="000538AD" w14:paraId="01B1EF27" w14:textId="77777777" w:rsidTr="3BD3436B">
        <w:tc>
          <w:tcPr>
            <w:tcW w:w="2507" w:type="dxa"/>
            <w:tcMar>
              <w:top w:w="0" w:type="dxa"/>
              <w:left w:w="108" w:type="dxa"/>
              <w:bottom w:w="0" w:type="dxa"/>
              <w:right w:w="108" w:type="dxa"/>
            </w:tcMar>
          </w:tcPr>
          <w:p w14:paraId="4C01C1A5"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eastAsiaTheme="minorEastAsia" w:cstheme="minorBidi"/>
                <w:b/>
                <w:szCs w:val="24"/>
                <w:lang w:val="en-US" w:eastAsia="zh-CN"/>
              </w:rPr>
            </w:pPr>
          </w:p>
        </w:tc>
        <w:tc>
          <w:tcPr>
            <w:tcW w:w="65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6EA4B7"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eastAsia="zh-CN"/>
              </w:rPr>
            </w:pPr>
            <w:r w:rsidRPr="000538AD">
              <w:rPr>
                <w:rFonts w:asciiTheme="minorHAnsi" w:eastAsiaTheme="minorEastAsia" w:hAnsiTheme="minorHAnsi" w:cstheme="minorBidi"/>
                <w:b/>
                <w:szCs w:val="24"/>
                <w:lang w:val="fr-FR" w:eastAsia="zh-CN"/>
              </w:rPr>
              <w:t>USD per annum</w:t>
            </w:r>
          </w:p>
        </w:tc>
      </w:tr>
      <w:tr w:rsidR="00797BCC" w:rsidRPr="000538AD" w14:paraId="2531C6B7" w14:textId="77777777" w:rsidTr="3BD3436B">
        <w:tc>
          <w:tcPr>
            <w:tcW w:w="2507" w:type="dxa"/>
            <w:tcMar>
              <w:top w:w="0" w:type="dxa"/>
              <w:left w:w="108" w:type="dxa"/>
              <w:bottom w:w="0" w:type="dxa"/>
              <w:right w:w="108" w:type="dxa"/>
            </w:tcMar>
          </w:tcPr>
          <w:p w14:paraId="22306996" w14:textId="77777777" w:rsidR="00797BCC" w:rsidRPr="000538AD" w:rsidRDefault="00797BCC"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val="fr-FR" w:eastAsia="zh-CN"/>
              </w:rPr>
            </w:pPr>
          </w:p>
        </w:tc>
        <w:tc>
          <w:tcPr>
            <w:tcW w:w="3163" w:type="dxa"/>
            <w:tcBorders>
              <w:top w:val="nil"/>
              <w:left w:val="single" w:sz="8" w:space="0" w:color="auto"/>
              <w:bottom w:val="nil"/>
              <w:right w:val="single" w:sz="8" w:space="0" w:color="auto"/>
            </w:tcBorders>
            <w:tcMar>
              <w:top w:w="0" w:type="dxa"/>
              <w:left w:w="108" w:type="dxa"/>
              <w:bottom w:w="0" w:type="dxa"/>
              <w:right w:w="108" w:type="dxa"/>
            </w:tcMar>
            <w:hideMark/>
          </w:tcPr>
          <w:p w14:paraId="1DF22878" w14:textId="15B5FFB1" w:rsidR="00797BCC" w:rsidRPr="00AE537C" w:rsidRDefault="00797BCC" w:rsidP="00AE537C">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 w:val="18"/>
                <w:szCs w:val="18"/>
                <w:highlight w:val="yellow"/>
                <w:lang w:val="fr-FR" w:eastAsia="zh-CN"/>
              </w:rPr>
            </w:pPr>
            <w:r w:rsidRPr="0086255E">
              <w:rPr>
                <w:rFonts w:asciiTheme="minorHAnsi" w:eastAsiaTheme="minorEastAsia" w:hAnsiTheme="minorHAnsi" w:cstheme="minorBidi"/>
                <w:b/>
                <w:szCs w:val="24"/>
                <w:lang w:val="fr-FR" w:eastAsia="zh-CN"/>
              </w:rPr>
              <w:t>Pensionable remuneration</w:t>
            </w:r>
            <w:r w:rsidRPr="0086255E">
              <w:rPr>
                <w:rFonts w:asciiTheme="minorHAnsi" w:eastAsiaTheme="minorEastAsia" w:hAnsiTheme="minorHAnsi" w:cstheme="minorBidi"/>
                <w:b/>
                <w:szCs w:val="24"/>
                <w:lang w:val="fr-FR" w:eastAsia="zh-CN"/>
              </w:rPr>
              <w:br/>
            </w:r>
            <w:r w:rsidRPr="0086255E">
              <w:rPr>
                <w:rFonts w:asciiTheme="minorHAnsi" w:eastAsiaTheme="minorEastAsia" w:hAnsiTheme="minorHAnsi" w:cstheme="minorBidi"/>
                <w:bCs/>
                <w:sz w:val="18"/>
                <w:szCs w:val="18"/>
                <w:lang w:val="fr-FR" w:eastAsia="zh-CN"/>
              </w:rPr>
              <w:t xml:space="preserve">(1 </w:t>
            </w:r>
            <w:r>
              <w:rPr>
                <w:rFonts w:asciiTheme="minorHAnsi" w:eastAsiaTheme="minorEastAsia" w:hAnsiTheme="minorHAnsi" w:cstheme="minorBidi"/>
                <w:bCs/>
                <w:sz w:val="18"/>
                <w:szCs w:val="18"/>
                <w:lang w:val="fr-FR" w:eastAsia="zh-CN"/>
              </w:rPr>
              <w:t xml:space="preserve">January </w:t>
            </w:r>
            <w:r w:rsidRPr="0086255E">
              <w:rPr>
                <w:rFonts w:asciiTheme="minorHAnsi" w:eastAsiaTheme="minorEastAsia" w:hAnsiTheme="minorHAnsi" w:cstheme="minorBidi"/>
                <w:bCs/>
                <w:sz w:val="18"/>
                <w:szCs w:val="18"/>
                <w:lang w:val="fr-FR" w:eastAsia="zh-CN"/>
              </w:rPr>
              <w:t>2024)</w:t>
            </w:r>
          </w:p>
        </w:tc>
        <w:tc>
          <w:tcPr>
            <w:tcW w:w="3391" w:type="dxa"/>
            <w:tcBorders>
              <w:top w:val="single" w:sz="8" w:space="0" w:color="auto"/>
              <w:left w:val="nil"/>
              <w:bottom w:val="nil"/>
              <w:right w:val="single" w:sz="8" w:space="0" w:color="auto"/>
            </w:tcBorders>
            <w:hideMark/>
          </w:tcPr>
          <w:p w14:paraId="6E0732B9" w14:textId="7DAE058C" w:rsidR="00797BCC" w:rsidRPr="0086255E" w:rsidRDefault="00797BCC"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val="fr-FR" w:eastAsia="zh-CN"/>
              </w:rPr>
            </w:pPr>
            <w:r w:rsidRPr="0086255E">
              <w:rPr>
                <w:rFonts w:asciiTheme="minorHAnsi" w:eastAsiaTheme="minorEastAsia" w:hAnsiTheme="minorHAnsi" w:cstheme="minorBidi"/>
                <w:b/>
                <w:szCs w:val="24"/>
                <w:lang w:val="fr-FR" w:eastAsia="zh-CN"/>
              </w:rPr>
              <w:t>Pensionable remuneration</w:t>
            </w:r>
            <w:r w:rsidRPr="0086255E">
              <w:rPr>
                <w:rFonts w:asciiTheme="minorHAnsi" w:eastAsiaTheme="minorEastAsia" w:hAnsiTheme="minorHAnsi" w:cstheme="minorBidi"/>
                <w:b/>
                <w:szCs w:val="24"/>
                <w:lang w:val="fr-FR" w:eastAsia="zh-CN"/>
              </w:rPr>
              <w:br/>
            </w:r>
            <w:r w:rsidRPr="0086255E">
              <w:rPr>
                <w:rFonts w:asciiTheme="minorHAnsi" w:eastAsiaTheme="minorEastAsia" w:hAnsiTheme="minorHAnsi" w:cstheme="minorBidi"/>
                <w:bCs/>
                <w:sz w:val="18"/>
                <w:szCs w:val="18"/>
                <w:lang w:val="fr-FR" w:eastAsia="zh-CN"/>
              </w:rPr>
              <w:t>(1 February 2024)</w:t>
            </w:r>
          </w:p>
        </w:tc>
      </w:tr>
      <w:tr w:rsidR="00797BCC" w:rsidRPr="000538AD" w14:paraId="5AA5BC3B" w14:textId="77777777" w:rsidTr="3BD3436B">
        <w:tc>
          <w:tcPr>
            <w:tcW w:w="2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1165A" w14:textId="77777777" w:rsidR="00797BCC" w:rsidRPr="000538AD" w:rsidRDefault="00797BCC" w:rsidP="00AE537C">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rPr>
                <w:rFonts w:cs="Calibri"/>
                <w:szCs w:val="24"/>
                <w:lang w:val="en-US"/>
              </w:rPr>
            </w:pPr>
            <w:r w:rsidRPr="000538AD">
              <w:rPr>
                <w:rFonts w:cs="Calibri"/>
                <w:szCs w:val="24"/>
                <w:lang w:val="en-US"/>
              </w:rPr>
              <w:t>Secretary-General</w:t>
            </w:r>
          </w:p>
        </w:tc>
        <w:tc>
          <w:tcPr>
            <w:tcW w:w="3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2FB6FD" w14:textId="19B49274" w:rsidR="00797BCC" w:rsidRPr="00AE537C" w:rsidRDefault="00797BCC" w:rsidP="442E8F6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center"/>
              <w:textAlignment w:val="auto"/>
              <w:rPr>
                <w:rFonts w:cs="Calibri"/>
                <w:strike/>
                <w:lang w:val="en-US"/>
              </w:rPr>
            </w:pPr>
            <w:r w:rsidRPr="3BD3436B">
              <w:rPr>
                <w:rFonts w:cs="Calibri"/>
                <w:lang w:val="en-US"/>
              </w:rPr>
              <w:t xml:space="preserve">437 453 </w:t>
            </w:r>
          </w:p>
        </w:tc>
        <w:tc>
          <w:tcPr>
            <w:tcW w:w="3391" w:type="dxa"/>
            <w:tcBorders>
              <w:top w:val="single" w:sz="8" w:space="0" w:color="auto"/>
              <w:left w:val="nil"/>
              <w:bottom w:val="single" w:sz="8" w:space="0" w:color="auto"/>
              <w:right w:val="single" w:sz="8" w:space="0" w:color="auto"/>
            </w:tcBorders>
            <w:vAlign w:val="center"/>
            <w:hideMark/>
          </w:tcPr>
          <w:p w14:paraId="1F8C0B99" w14:textId="621D0B0D" w:rsidR="00797BCC" w:rsidRPr="0086255E" w:rsidRDefault="00797BCC" w:rsidP="442E8F6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center"/>
              <w:textAlignment w:val="auto"/>
              <w:rPr>
                <w:rFonts w:cs="Calibri"/>
                <w:strike/>
                <w:lang w:val="en-US"/>
              </w:rPr>
            </w:pPr>
            <w:r w:rsidRPr="3BD3436B">
              <w:rPr>
                <w:rFonts w:cs="Calibri"/>
                <w:lang w:val="en-US"/>
              </w:rPr>
              <w:t>456 600</w:t>
            </w:r>
          </w:p>
        </w:tc>
      </w:tr>
      <w:tr w:rsidR="00797BCC" w:rsidRPr="000538AD" w14:paraId="59A06BC9" w14:textId="77777777" w:rsidTr="3BD3436B">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3007F" w14:textId="0688520D" w:rsidR="00797BCC" w:rsidRPr="000538AD" w:rsidRDefault="00797BCC" w:rsidP="00AE537C">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rPr>
                <w:rFonts w:cs="Calibri"/>
                <w:szCs w:val="24"/>
                <w:lang w:val="en-US"/>
              </w:rPr>
            </w:pPr>
            <w:r w:rsidRPr="000538AD">
              <w:rPr>
                <w:rFonts w:cs="Calibri"/>
                <w:szCs w:val="24"/>
                <w:lang w:val="en-US"/>
              </w:rPr>
              <w:t>Deputy Secretary-General</w:t>
            </w:r>
            <w:r w:rsidRPr="000538AD">
              <w:rPr>
                <w:rFonts w:cs="Calibri"/>
                <w:szCs w:val="24"/>
                <w:lang w:val="en-US"/>
              </w:rPr>
              <w:br/>
              <w:t xml:space="preserve">and Directors of </w:t>
            </w:r>
            <w:r>
              <w:rPr>
                <w:rFonts w:cs="Calibri"/>
                <w:szCs w:val="24"/>
                <w:lang w:val="en-US"/>
              </w:rPr>
              <w:t xml:space="preserve">the </w:t>
            </w:r>
            <w:r w:rsidRPr="000538AD">
              <w:rPr>
                <w:rFonts w:cs="Calibri"/>
                <w:szCs w:val="24"/>
                <w:lang w:val="en-US"/>
              </w:rPr>
              <w:t>Bureaux</w:t>
            </w:r>
          </w:p>
        </w:tc>
        <w:tc>
          <w:tcPr>
            <w:tcW w:w="3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E7E021" w14:textId="5A4D7039" w:rsidR="00797BCC" w:rsidRPr="00AE537C" w:rsidRDefault="00797BCC" w:rsidP="00AE537C">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160" w:after="40"/>
              <w:jc w:val="center"/>
              <w:textAlignment w:val="auto"/>
              <w:rPr>
                <w:rFonts w:cs="Calibri"/>
                <w:strike/>
                <w:szCs w:val="24"/>
                <w:lang w:val="en-US"/>
              </w:rPr>
            </w:pPr>
            <w:r w:rsidRPr="00AE537C">
              <w:rPr>
                <w:rFonts w:cs="Calibri"/>
                <w:szCs w:val="24"/>
                <w:lang w:val="en-US"/>
              </w:rPr>
              <w:t xml:space="preserve">405 722 </w:t>
            </w:r>
          </w:p>
        </w:tc>
        <w:tc>
          <w:tcPr>
            <w:tcW w:w="3391" w:type="dxa"/>
            <w:tcBorders>
              <w:top w:val="nil"/>
              <w:left w:val="nil"/>
              <w:bottom w:val="single" w:sz="8" w:space="0" w:color="auto"/>
              <w:right w:val="single" w:sz="8" w:space="0" w:color="auto"/>
            </w:tcBorders>
            <w:vAlign w:val="center"/>
            <w:hideMark/>
          </w:tcPr>
          <w:p w14:paraId="728E56AF" w14:textId="0F3DE5F1" w:rsidR="00797BCC" w:rsidRPr="0086255E" w:rsidRDefault="00797BCC" w:rsidP="00AE537C">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160" w:after="40"/>
              <w:jc w:val="center"/>
              <w:textAlignment w:val="auto"/>
              <w:rPr>
                <w:rFonts w:cs="Calibri"/>
                <w:strike/>
                <w:szCs w:val="24"/>
                <w:lang w:val="en-US"/>
              </w:rPr>
            </w:pPr>
            <w:r w:rsidRPr="0086255E">
              <w:rPr>
                <w:rFonts w:cs="Calibri"/>
                <w:szCs w:val="24"/>
                <w:lang w:val="en-US"/>
              </w:rPr>
              <w:t>423 480</w:t>
            </w:r>
          </w:p>
        </w:tc>
      </w:tr>
    </w:tbl>
    <w:p w14:paraId="16566EB5" w14:textId="513A5FB1" w:rsidR="00A514A4" w:rsidRPr="00E8676B" w:rsidRDefault="000538AD" w:rsidP="001673A2">
      <w:pPr>
        <w:spacing w:before="840"/>
        <w:jc w:val="center"/>
      </w:pPr>
      <w:r w:rsidRPr="000538AD">
        <w:rPr>
          <w:lang w:val="en-US"/>
        </w:rPr>
        <w:t>________________</w:t>
      </w:r>
    </w:p>
    <w:sectPr w:rsidR="00A514A4" w:rsidRPr="00E8676B" w:rsidSect="00CA07E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C961" w14:textId="77777777" w:rsidR="00CA07E9" w:rsidRDefault="00CA07E9">
      <w:r>
        <w:separator/>
      </w:r>
    </w:p>
  </w:endnote>
  <w:endnote w:type="continuationSeparator" w:id="0">
    <w:p w14:paraId="0068A241" w14:textId="77777777" w:rsidR="00CA07E9" w:rsidRDefault="00CA07E9">
      <w:r>
        <w:continuationSeparator/>
      </w:r>
    </w:p>
  </w:endnote>
  <w:endnote w:type="continuationNotice" w:id="1">
    <w:p w14:paraId="35265565" w14:textId="77777777" w:rsidR="00CA07E9" w:rsidRDefault="00CA07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DF6ADD">
      <w:trPr>
        <w:jc w:val="center"/>
      </w:trPr>
      <w:tc>
        <w:tcPr>
          <w:tcW w:w="1803" w:type="dxa"/>
          <w:vAlign w:val="center"/>
        </w:tcPr>
        <w:p w14:paraId="3FDA5160" w14:textId="703C4B42" w:rsidR="00EE49E8" w:rsidRDefault="00EE49E8" w:rsidP="00EE49E8">
          <w:pPr>
            <w:pStyle w:val="Header"/>
            <w:jc w:val="left"/>
            <w:rPr>
              <w:noProof/>
            </w:rPr>
          </w:pPr>
        </w:p>
      </w:tc>
      <w:tc>
        <w:tcPr>
          <w:tcW w:w="8261" w:type="dxa"/>
        </w:tcPr>
        <w:p w14:paraId="35709C74" w14:textId="7BD5EB9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5131FC" w:rsidRPr="00623AE3">
            <w:rPr>
              <w:bCs/>
            </w:rPr>
            <w:t>C</w:t>
          </w:r>
          <w:r w:rsidR="005131FC">
            <w:rPr>
              <w:bCs/>
            </w:rPr>
            <w:t>24</w:t>
          </w:r>
          <w:r w:rsidR="005131FC" w:rsidRPr="00623AE3">
            <w:rPr>
              <w:bCs/>
            </w:rPr>
            <w:t>/</w:t>
          </w:r>
          <w:r w:rsidR="001044A9">
            <w:rPr>
              <w:bCs/>
            </w:rPr>
            <w:t>23</w:t>
          </w:r>
          <w:r w:rsidR="005131FC"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10314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5E919E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5131FC" w:rsidRPr="00623AE3">
            <w:rPr>
              <w:bCs/>
            </w:rPr>
            <w:t>C</w:t>
          </w:r>
          <w:r w:rsidR="005131FC">
            <w:rPr>
              <w:bCs/>
            </w:rPr>
            <w:t>24</w:t>
          </w:r>
          <w:r w:rsidR="005131FC" w:rsidRPr="00623AE3">
            <w:rPr>
              <w:bCs/>
            </w:rPr>
            <w:t>/</w:t>
          </w:r>
          <w:r w:rsidR="001044A9">
            <w:rPr>
              <w:bCs/>
            </w:rPr>
            <w:t>23</w:t>
          </w:r>
          <w:r w:rsidR="005131FC"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D42C" w14:textId="77777777" w:rsidR="00CA07E9" w:rsidRDefault="00CA07E9">
      <w:r>
        <w:t>____________________</w:t>
      </w:r>
    </w:p>
  </w:footnote>
  <w:footnote w:type="continuationSeparator" w:id="0">
    <w:p w14:paraId="6A17C4B9" w14:textId="77777777" w:rsidR="00CA07E9" w:rsidRDefault="00CA07E9">
      <w:r>
        <w:continuationSeparator/>
      </w:r>
    </w:p>
  </w:footnote>
  <w:footnote w:type="continuationNotice" w:id="1">
    <w:p w14:paraId="1390624F" w14:textId="77777777" w:rsidR="00CA07E9" w:rsidRDefault="00CA07E9">
      <w:pPr>
        <w:spacing w:before="0"/>
      </w:pPr>
    </w:p>
  </w:footnote>
  <w:footnote w:id="2">
    <w:p w14:paraId="3F234E73" w14:textId="58AFC174" w:rsidR="45977724" w:rsidRDefault="45977724" w:rsidP="004C7947">
      <w:pPr>
        <w:tabs>
          <w:tab w:val="left" w:pos="720"/>
        </w:tabs>
        <w:ind w:left="284" w:hanging="284"/>
        <w:rPr>
          <w:rFonts w:eastAsia="Calibri" w:cs="Calibri"/>
          <w:sz w:val="20"/>
        </w:rPr>
      </w:pPr>
      <w:r w:rsidRPr="45977724">
        <w:rPr>
          <w:rStyle w:val="FootnoteReference"/>
        </w:rPr>
        <w:footnoteRef/>
      </w:r>
      <w:r w:rsidR="004C7947">
        <w:rPr>
          <w:rFonts w:eastAsia="Calibri" w:cs="Calibri"/>
          <w:szCs w:val="24"/>
        </w:rPr>
        <w:tab/>
      </w:r>
      <w:r w:rsidRPr="45977724">
        <w:rPr>
          <w:rFonts w:eastAsia="Calibri" w:cs="Calibri"/>
          <w:szCs w:val="24"/>
        </w:rPr>
        <w:t>“</w:t>
      </w:r>
      <w:r w:rsidRPr="45977724">
        <w:rPr>
          <w:rFonts w:eastAsia="Calibri" w:cs="Calibri"/>
          <w:sz w:val="20"/>
        </w:rPr>
        <w:t>To authorize, during the implementation of the budget for 2024-2025, the Secretary-General to adjust the appropriations in relation to the items of expenses in a) and b) below, in accordance with changes incurred, through the use of the Reserve Account, provided that the Reserve Account is kept at the level prescribed in Decision 5 (Rev. Bucharest, 2022):</w:t>
      </w:r>
    </w:p>
    <w:p w14:paraId="368480B3" w14:textId="58289BCA" w:rsidR="45977724" w:rsidRDefault="45977724" w:rsidP="004C7947">
      <w:pPr>
        <w:tabs>
          <w:tab w:val="left" w:pos="720"/>
        </w:tabs>
        <w:ind w:left="568" w:hanging="284"/>
      </w:pPr>
      <w:r w:rsidRPr="45977724">
        <w:rPr>
          <w:rFonts w:eastAsia="Calibri" w:cs="Calibri"/>
          <w:sz w:val="20"/>
        </w:rPr>
        <w:t>a)</w:t>
      </w:r>
      <w:r w:rsidR="004C7947">
        <w:rPr>
          <w:rFonts w:eastAsia="Calibri" w:cs="Calibri"/>
          <w:sz w:val="20"/>
        </w:rPr>
        <w:tab/>
      </w:r>
      <w:r w:rsidRPr="45977724">
        <w:rPr>
          <w:rFonts w:eastAsia="Calibri" w:cs="Calibri"/>
          <w:sz w:val="20"/>
        </w:rPr>
        <w:t>increases in salary scales, pension contributions and allowances, including post adjustments, applicable to Geneva, as adopted by the United Nations common system;</w:t>
      </w:r>
    </w:p>
    <w:p w14:paraId="1E5992D8" w14:textId="38E96406" w:rsidR="45977724" w:rsidRDefault="45977724" w:rsidP="45977724">
      <w:pPr>
        <w:tabs>
          <w:tab w:val="left" w:pos="720"/>
        </w:tabs>
        <w:spacing w:before="0"/>
        <w:ind w:left="568" w:hanging="284"/>
      </w:pPr>
      <w:r w:rsidRPr="45977724">
        <w:rPr>
          <w:rFonts w:eastAsia="Calibri" w:cs="Calibri"/>
          <w:sz w:val="20"/>
        </w:rPr>
        <w:t>b)</w:t>
      </w:r>
      <w:r w:rsidR="004C7947">
        <w:rPr>
          <w:rFonts w:eastAsia="Calibri" w:cs="Calibri"/>
          <w:sz w:val="20"/>
        </w:rPr>
        <w:tab/>
      </w:r>
      <w:r w:rsidRPr="45977724">
        <w:rPr>
          <w:rFonts w:eastAsia="Calibri" w:cs="Calibri"/>
          <w:sz w:val="20"/>
        </w:rPr>
        <w:t>fluctuations in the exchange rate between the United States dollar and the Swiss franc in so far as this affects the staff costs for those staff members on United Nations salary scales.”</w:t>
      </w:r>
    </w:p>
  </w:footnote>
  <w:footnote w:id="3">
    <w:p w14:paraId="5E5553EC" w14:textId="071FC5ED" w:rsidR="00C264F4" w:rsidRPr="00227914" w:rsidRDefault="00C264F4">
      <w:pPr>
        <w:pStyle w:val="Default"/>
        <w:tabs>
          <w:tab w:val="left" w:pos="284"/>
        </w:tabs>
        <w:rPr>
          <w:rFonts w:ascii="Calibri" w:eastAsia="Calibri" w:hAnsi="Calibri" w:cs="Calibri"/>
          <w:sz w:val="20"/>
          <w:szCs w:val="20"/>
        </w:rPr>
      </w:pPr>
      <w:r w:rsidRPr="45977724">
        <w:rPr>
          <w:rStyle w:val="FootnoteReference"/>
          <w:rFonts w:asciiTheme="minorHAnsi" w:hAnsiTheme="minorHAnsi" w:cstheme="minorBidi"/>
        </w:rPr>
        <w:footnoteRef/>
      </w:r>
      <w:r w:rsidR="004C7947">
        <w:rPr>
          <w:rFonts w:ascii="Calibri" w:eastAsia="Calibri" w:hAnsi="Calibri" w:cs="Calibri"/>
          <w:sz w:val="20"/>
          <w:szCs w:val="20"/>
        </w:rPr>
        <w:tab/>
      </w:r>
      <w:r w:rsidR="45977724" w:rsidRPr="45977724">
        <w:rPr>
          <w:rFonts w:ascii="Calibri" w:eastAsia="Calibri" w:hAnsi="Calibri" w:cs="Calibri"/>
          <w:sz w:val="20"/>
          <w:szCs w:val="20"/>
        </w:rPr>
        <w:t>Article 10 of the ICSC’s statute which will be revised by the UNGA at its 79th session in the fall of 2024.</w:t>
      </w:r>
    </w:p>
    <w:p w14:paraId="50CB93FB" w14:textId="532D2CE2" w:rsidR="00C264F4" w:rsidRPr="00227914" w:rsidRDefault="004C7947" w:rsidP="004C7947">
      <w:pPr>
        <w:pStyle w:val="Default"/>
        <w:tabs>
          <w:tab w:val="left" w:pos="426"/>
        </w:tabs>
        <w:rPr>
          <w:rFonts w:asciiTheme="minorHAnsi" w:hAnsiTheme="minorHAnsi" w:cstheme="minorBidi"/>
          <w:sz w:val="20"/>
          <w:szCs w:val="20"/>
        </w:rPr>
      </w:pPr>
      <w:r>
        <w:rPr>
          <w:rFonts w:asciiTheme="minorHAnsi" w:hAnsiTheme="minorHAnsi" w:cstheme="minorBidi"/>
          <w:sz w:val="20"/>
          <w:szCs w:val="20"/>
        </w:rPr>
        <w:tab/>
      </w:r>
      <w:r w:rsidR="45977724" w:rsidRPr="45977724">
        <w:rPr>
          <w:rFonts w:asciiTheme="minorHAnsi" w:hAnsiTheme="minorHAnsi" w:cstheme="minorBidi"/>
          <w:sz w:val="20"/>
          <w:szCs w:val="20"/>
        </w:rPr>
        <w:t xml:space="preserve">(i) There will be no adjustment to base/floor salary scale, </w:t>
      </w:r>
    </w:p>
    <w:p w14:paraId="2CF8E0F2" w14:textId="6F9BE8FF" w:rsidR="00C264F4" w:rsidRPr="00227914" w:rsidRDefault="00227914" w:rsidP="004C7947">
      <w:pPr>
        <w:pStyle w:val="Default"/>
        <w:tabs>
          <w:tab w:val="left" w:pos="426"/>
        </w:tabs>
        <w:rPr>
          <w:rFonts w:asciiTheme="minorHAnsi" w:hAnsiTheme="minorHAnsi" w:cstheme="minorHAnsi"/>
          <w:sz w:val="20"/>
          <w:szCs w:val="20"/>
        </w:rPr>
      </w:pPr>
      <w:r w:rsidRPr="00227914">
        <w:rPr>
          <w:rFonts w:asciiTheme="minorHAnsi" w:hAnsiTheme="minorHAnsi" w:cstheme="minorHAnsi"/>
          <w:sz w:val="20"/>
          <w:szCs w:val="20"/>
        </w:rPr>
        <w:tab/>
      </w:r>
      <w:r w:rsidR="00C264F4" w:rsidRPr="00227914">
        <w:rPr>
          <w:rFonts w:asciiTheme="minorHAnsi" w:hAnsiTheme="minorHAnsi" w:cstheme="minorHAnsi"/>
          <w:sz w:val="20"/>
          <w:szCs w:val="20"/>
        </w:rPr>
        <w:t xml:space="preserve">(ii) There will be no consolidation of the post adjustment, and </w:t>
      </w:r>
    </w:p>
    <w:p w14:paraId="1DB1AAED" w14:textId="693DBE21" w:rsidR="00E916BB" w:rsidRDefault="00227914" w:rsidP="004C7947">
      <w:pPr>
        <w:pStyle w:val="FootnoteText"/>
        <w:tabs>
          <w:tab w:val="clear" w:pos="256"/>
          <w:tab w:val="clear" w:pos="567"/>
          <w:tab w:val="clear" w:pos="1134"/>
          <w:tab w:val="clear" w:pos="1701"/>
          <w:tab w:val="clear" w:pos="2268"/>
          <w:tab w:val="clear" w:pos="2835"/>
          <w:tab w:val="left" w:pos="426"/>
        </w:tabs>
        <w:spacing w:before="0"/>
        <w:ind w:left="0" w:firstLine="0"/>
        <w:rPr>
          <w:rFonts w:asciiTheme="minorHAnsi" w:hAnsiTheme="minorHAnsi" w:cstheme="minorHAnsi"/>
          <w:sz w:val="22"/>
          <w:szCs w:val="22"/>
        </w:rPr>
      </w:pPr>
      <w:r w:rsidRPr="00227914">
        <w:rPr>
          <w:rFonts w:asciiTheme="minorHAnsi" w:hAnsiTheme="minorHAnsi" w:cstheme="minorHAnsi"/>
          <w:sz w:val="20"/>
        </w:rPr>
        <w:tab/>
      </w:r>
      <w:r w:rsidR="00C264F4" w:rsidRPr="00227914">
        <w:rPr>
          <w:rFonts w:asciiTheme="minorHAnsi" w:hAnsiTheme="minorHAnsi" w:cstheme="minorHAnsi"/>
          <w:sz w:val="20"/>
        </w:rPr>
        <w:t>(iii) There will be no adjustment to the children’s and secondary dependants’ allowances</w:t>
      </w:r>
    </w:p>
  </w:footnote>
  <w:footnote w:id="4">
    <w:p w14:paraId="3FE385CA" w14:textId="2E52E746" w:rsidR="00E916BB" w:rsidRPr="00E916BB" w:rsidRDefault="00E916BB" w:rsidP="00227914">
      <w:pPr>
        <w:pStyle w:val="FootnoteText"/>
        <w:tabs>
          <w:tab w:val="clear" w:pos="256"/>
          <w:tab w:val="clear" w:pos="567"/>
          <w:tab w:val="clear" w:pos="1134"/>
          <w:tab w:val="clear" w:pos="1701"/>
          <w:tab w:val="clear" w:pos="2268"/>
          <w:tab w:val="clear" w:pos="2835"/>
        </w:tabs>
        <w:ind w:left="284" w:hanging="284"/>
        <w:rPr>
          <w:lang w:eastAsia="zh-CN"/>
        </w:rPr>
      </w:pPr>
      <w:r>
        <w:rPr>
          <w:rStyle w:val="FootnoteReference"/>
        </w:rPr>
        <w:footnoteRef/>
      </w:r>
      <w:r w:rsidR="00227914">
        <w:tab/>
      </w:r>
      <w:r w:rsidR="00534931" w:rsidRPr="00227914">
        <w:rPr>
          <w:rStyle w:val="cf01"/>
          <w:rFonts w:asciiTheme="minorHAnsi" w:hAnsiTheme="minorHAnsi" w:cstheme="minorHAnsi"/>
          <w:sz w:val="20"/>
          <w:szCs w:val="20"/>
        </w:rPr>
        <w:t>Article 51(b): "In the case of participants in the Professional and higher categories, the scale of pensionable remuneration, shall be as set out in the ICSC website... It shall be adjusted on the same date as the net remuneration amounts of officials in the Professional and higher categories in New York are adjusted. Such adjustment shall be by a uniform percentage equal to the weighted average percentage variation in the net remuneration amounts, as determined by the International Civil Service Commission."</w:t>
      </w:r>
    </w:p>
  </w:footnote>
  <w:footnote w:id="5">
    <w:p w14:paraId="092E511B" w14:textId="5603F810" w:rsidR="00D6027E" w:rsidRDefault="00D6027E" w:rsidP="00227914">
      <w:pPr>
        <w:pStyle w:val="FootnoteText"/>
        <w:tabs>
          <w:tab w:val="clear" w:pos="256"/>
        </w:tabs>
        <w:rPr>
          <w:lang w:eastAsia="zh-CN"/>
        </w:rPr>
      </w:pPr>
      <w:r>
        <w:rPr>
          <w:rStyle w:val="FootnoteReference"/>
        </w:rPr>
        <w:footnoteRef/>
      </w:r>
      <w:r>
        <w:t xml:space="preserve"> </w:t>
      </w:r>
      <w:bookmarkStart w:id="8" w:name="_Hlk160464180"/>
      <w:bookmarkStart w:id="9" w:name="_Hlk160464181"/>
      <w:r w:rsidR="00792705" w:rsidRPr="00227914">
        <w:rPr>
          <w:rFonts w:asciiTheme="minorHAnsi" w:hAnsiTheme="minorHAnsi"/>
          <w:sz w:val="20"/>
        </w:rPr>
        <w:t>“</w:t>
      </w:r>
      <w:r w:rsidR="00792705" w:rsidRPr="00227914">
        <w:rPr>
          <w:rStyle w:val="cf01"/>
          <w:rFonts w:asciiTheme="minorHAnsi" w:hAnsiTheme="minorHAnsi" w:cstheme="minorHAnsi"/>
          <w:sz w:val="20"/>
          <w:szCs w:val="20"/>
        </w:rPr>
        <w:t>Methodology for surveys of the best prevailing conditions of employment at headquarters duty stations (survey methodology I)”</w:t>
      </w:r>
      <w:r w:rsidR="00792705" w:rsidRPr="00227914">
        <w:rPr>
          <w:rStyle w:val="cf01"/>
          <w:rFonts w:asciiTheme="minorHAnsi" w:hAnsiTheme="minorHAnsi" w:cstheme="minorHAnsi" w:hint="eastAsia"/>
          <w:sz w:val="20"/>
          <w:szCs w:val="20"/>
        </w:rPr>
        <w:t>,</w:t>
      </w:r>
      <w:r w:rsidR="00792705" w:rsidRPr="00227914">
        <w:rPr>
          <w:rStyle w:val="cf01"/>
          <w:rFonts w:asciiTheme="minorHAnsi" w:hAnsiTheme="minorHAnsi" w:cstheme="minorHAnsi"/>
          <w:sz w:val="20"/>
          <w:szCs w:val="20"/>
        </w:rPr>
        <w:t xml:space="preserve"> ICSC/94/R.16, August 10, 2022.</w:t>
      </w:r>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4C7947" w:rsidRPr="004C7947" w14:paraId="54435659" w14:textId="77777777" w:rsidTr="00D235A8">
      <w:trPr>
        <w:trHeight w:val="1104"/>
        <w:jc w:val="center"/>
      </w:trPr>
      <w:tc>
        <w:tcPr>
          <w:tcW w:w="4390" w:type="dxa"/>
          <w:vAlign w:val="center"/>
        </w:tcPr>
        <w:p w14:paraId="5DDE7308" w14:textId="77777777" w:rsidR="004C7947" w:rsidRPr="004C7947" w:rsidRDefault="004C7947" w:rsidP="004C7947">
          <w:pPr>
            <w:tabs>
              <w:tab w:val="clear" w:pos="567"/>
              <w:tab w:val="clear" w:pos="1134"/>
              <w:tab w:val="clear" w:pos="1701"/>
              <w:tab w:val="clear" w:pos="2268"/>
              <w:tab w:val="clear" w:pos="2835"/>
            </w:tabs>
            <w:spacing w:before="0"/>
            <w:rPr>
              <w:rFonts w:ascii="Arial" w:hAnsi="Arial" w:cs="Arial"/>
              <w:b/>
              <w:bCs/>
              <w:color w:val="009CD6"/>
              <w:sz w:val="36"/>
              <w:szCs w:val="36"/>
            </w:rPr>
          </w:pPr>
          <w:bookmarkStart w:id="11" w:name="_Hlk133422111"/>
          <w:r w:rsidRPr="004C7947">
            <w:rPr>
              <w:noProof/>
              <w:color w:val="7F7F7F" w:themeColor="text1" w:themeTint="80"/>
              <w:sz w:val="18"/>
            </w:rPr>
            <w:drawing>
              <wp:inline distT="0" distB="0" distL="0" distR="0" wp14:anchorId="36547CC8" wp14:editId="6243E67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39EFD9AA" w14:textId="77777777" w:rsidR="004C7947" w:rsidRPr="004C7947" w:rsidRDefault="004C7947" w:rsidP="004C7947">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417E2DD8" w14:textId="77777777" w:rsidR="004C7947" w:rsidRPr="004C7947" w:rsidRDefault="004C7947" w:rsidP="004C7947">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20B17E34" w14:textId="77777777" w:rsidR="004C7947" w:rsidRPr="004C7947" w:rsidRDefault="004C7947" w:rsidP="004C7947">
          <w:pPr>
            <w:tabs>
              <w:tab w:val="clear" w:pos="567"/>
              <w:tab w:val="clear" w:pos="1134"/>
              <w:tab w:val="clear" w:pos="1701"/>
              <w:tab w:val="clear" w:pos="2268"/>
              <w:tab w:val="clear" w:pos="2835"/>
            </w:tabs>
            <w:spacing w:before="0"/>
            <w:jc w:val="right"/>
            <w:rPr>
              <w:rFonts w:ascii="Arial" w:hAnsi="Arial" w:cs="Arial"/>
              <w:color w:val="009CD6"/>
              <w:sz w:val="18"/>
              <w:szCs w:val="18"/>
            </w:rPr>
          </w:pPr>
          <w:r w:rsidRPr="004C7947">
            <w:rPr>
              <w:rFonts w:ascii="Arial" w:hAnsi="Arial" w:cs="Arial"/>
              <w:b/>
              <w:bCs/>
              <w:color w:val="009CD6"/>
              <w:sz w:val="18"/>
              <w:szCs w:val="18"/>
            </w:rPr>
            <w:t xml:space="preserve"> </w:t>
          </w:r>
        </w:p>
      </w:tc>
    </w:tr>
  </w:tbl>
  <w:bookmarkEnd w:id="11"/>
  <w:p w14:paraId="7B70BDC9" w14:textId="77777777"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7FD1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77CC4"/>
    <w:multiLevelType w:val="hybridMultilevel"/>
    <w:tmpl w:val="9E20B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A4302"/>
    <w:multiLevelType w:val="hybridMultilevel"/>
    <w:tmpl w:val="E0802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D3396"/>
    <w:multiLevelType w:val="hybridMultilevel"/>
    <w:tmpl w:val="ACE43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F320E"/>
    <w:multiLevelType w:val="hybridMultilevel"/>
    <w:tmpl w:val="EFF4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440974">
    <w:abstractNumId w:val="0"/>
  </w:num>
  <w:num w:numId="2" w16cid:durableId="712576067">
    <w:abstractNumId w:val="5"/>
  </w:num>
  <w:num w:numId="3" w16cid:durableId="2106531866">
    <w:abstractNumId w:val="4"/>
  </w:num>
  <w:num w:numId="4" w16cid:durableId="977686905">
    <w:abstractNumId w:val="3"/>
  </w:num>
  <w:num w:numId="5" w16cid:durableId="1856116468">
    <w:abstractNumId w:val="1"/>
  </w:num>
  <w:num w:numId="6" w16cid:durableId="202377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12F"/>
    <w:rsid w:val="00002F6C"/>
    <w:rsid w:val="00003CAE"/>
    <w:rsid w:val="00006986"/>
    <w:rsid w:val="00006C99"/>
    <w:rsid w:val="0001335F"/>
    <w:rsid w:val="00017226"/>
    <w:rsid w:val="000210D4"/>
    <w:rsid w:val="00022138"/>
    <w:rsid w:val="00036D3E"/>
    <w:rsid w:val="0003790C"/>
    <w:rsid w:val="00042A78"/>
    <w:rsid w:val="00053300"/>
    <w:rsid w:val="000538AD"/>
    <w:rsid w:val="0005567E"/>
    <w:rsid w:val="00062076"/>
    <w:rsid w:val="00063016"/>
    <w:rsid w:val="000636BD"/>
    <w:rsid w:val="00066758"/>
    <w:rsid w:val="00066795"/>
    <w:rsid w:val="00074814"/>
    <w:rsid w:val="00076AF6"/>
    <w:rsid w:val="00085CF2"/>
    <w:rsid w:val="00090D09"/>
    <w:rsid w:val="000910D6"/>
    <w:rsid w:val="00095500"/>
    <w:rsid w:val="000B1705"/>
    <w:rsid w:val="000B3500"/>
    <w:rsid w:val="000B3BC7"/>
    <w:rsid w:val="000B6054"/>
    <w:rsid w:val="000C03A8"/>
    <w:rsid w:val="000D45EE"/>
    <w:rsid w:val="000D471D"/>
    <w:rsid w:val="000D53ED"/>
    <w:rsid w:val="000D75B2"/>
    <w:rsid w:val="000D79D2"/>
    <w:rsid w:val="000E09E4"/>
    <w:rsid w:val="000F0804"/>
    <w:rsid w:val="00103147"/>
    <w:rsid w:val="001044A9"/>
    <w:rsid w:val="00104D0A"/>
    <w:rsid w:val="001058E5"/>
    <w:rsid w:val="001121F5"/>
    <w:rsid w:val="001132B3"/>
    <w:rsid w:val="00124225"/>
    <w:rsid w:val="00130DA0"/>
    <w:rsid w:val="001400DC"/>
    <w:rsid w:val="00140CE1"/>
    <w:rsid w:val="00150223"/>
    <w:rsid w:val="00165F10"/>
    <w:rsid w:val="001673A2"/>
    <w:rsid w:val="0017539C"/>
    <w:rsid w:val="00175AC2"/>
    <w:rsid w:val="0017609F"/>
    <w:rsid w:val="001863F7"/>
    <w:rsid w:val="001945FB"/>
    <w:rsid w:val="0019793C"/>
    <w:rsid w:val="001A1667"/>
    <w:rsid w:val="001A7B29"/>
    <w:rsid w:val="001A7D1D"/>
    <w:rsid w:val="001B3ABA"/>
    <w:rsid w:val="001B51DD"/>
    <w:rsid w:val="001C0D88"/>
    <w:rsid w:val="001C628E"/>
    <w:rsid w:val="001E0F7B"/>
    <w:rsid w:val="001E37AA"/>
    <w:rsid w:val="001F6009"/>
    <w:rsid w:val="001F625C"/>
    <w:rsid w:val="001F79C3"/>
    <w:rsid w:val="002119FD"/>
    <w:rsid w:val="002130E0"/>
    <w:rsid w:val="00220BC1"/>
    <w:rsid w:val="00223309"/>
    <w:rsid w:val="00227914"/>
    <w:rsid w:val="00247D62"/>
    <w:rsid w:val="00256582"/>
    <w:rsid w:val="00261ECF"/>
    <w:rsid w:val="00264425"/>
    <w:rsid w:val="00265875"/>
    <w:rsid w:val="0027303B"/>
    <w:rsid w:val="0028109B"/>
    <w:rsid w:val="00281B9C"/>
    <w:rsid w:val="002860C3"/>
    <w:rsid w:val="002877E4"/>
    <w:rsid w:val="00287BB4"/>
    <w:rsid w:val="002A2188"/>
    <w:rsid w:val="002A3B2E"/>
    <w:rsid w:val="002A3C6E"/>
    <w:rsid w:val="002A675B"/>
    <w:rsid w:val="002B1F58"/>
    <w:rsid w:val="002B6507"/>
    <w:rsid w:val="002B7B1A"/>
    <w:rsid w:val="002C1C7A"/>
    <w:rsid w:val="002C54E2"/>
    <w:rsid w:val="002D5890"/>
    <w:rsid w:val="002D63DD"/>
    <w:rsid w:val="002F28AC"/>
    <w:rsid w:val="002F4C01"/>
    <w:rsid w:val="002F5EC0"/>
    <w:rsid w:val="0030160F"/>
    <w:rsid w:val="0030443A"/>
    <w:rsid w:val="00311A0D"/>
    <w:rsid w:val="00316F74"/>
    <w:rsid w:val="00320223"/>
    <w:rsid w:val="00322D0D"/>
    <w:rsid w:val="0032609C"/>
    <w:rsid w:val="00352012"/>
    <w:rsid w:val="00361465"/>
    <w:rsid w:val="00363C5E"/>
    <w:rsid w:val="003642E7"/>
    <w:rsid w:val="003668B8"/>
    <w:rsid w:val="003815F7"/>
    <w:rsid w:val="003877F5"/>
    <w:rsid w:val="003922E6"/>
    <w:rsid w:val="003942D4"/>
    <w:rsid w:val="003958A8"/>
    <w:rsid w:val="003A0B5A"/>
    <w:rsid w:val="003A1782"/>
    <w:rsid w:val="003A726C"/>
    <w:rsid w:val="003B04D5"/>
    <w:rsid w:val="003B4177"/>
    <w:rsid w:val="003B57A8"/>
    <w:rsid w:val="003C2533"/>
    <w:rsid w:val="003C4E87"/>
    <w:rsid w:val="003C5BFC"/>
    <w:rsid w:val="003D3A4D"/>
    <w:rsid w:val="003D573D"/>
    <w:rsid w:val="003D5A7F"/>
    <w:rsid w:val="003E3FA3"/>
    <w:rsid w:val="003E7579"/>
    <w:rsid w:val="003F1D6E"/>
    <w:rsid w:val="0040152A"/>
    <w:rsid w:val="004029D2"/>
    <w:rsid w:val="0040435A"/>
    <w:rsid w:val="00404D75"/>
    <w:rsid w:val="0040506E"/>
    <w:rsid w:val="004072DA"/>
    <w:rsid w:val="00411D9B"/>
    <w:rsid w:val="00416A24"/>
    <w:rsid w:val="0042159D"/>
    <w:rsid w:val="00422043"/>
    <w:rsid w:val="00431D9E"/>
    <w:rsid w:val="00432D92"/>
    <w:rsid w:val="004336F4"/>
    <w:rsid w:val="00433CE8"/>
    <w:rsid w:val="00433E7E"/>
    <w:rsid w:val="00434A5C"/>
    <w:rsid w:val="00436166"/>
    <w:rsid w:val="00452B7D"/>
    <w:rsid w:val="004544D9"/>
    <w:rsid w:val="00456BE7"/>
    <w:rsid w:val="004655AB"/>
    <w:rsid w:val="00465F11"/>
    <w:rsid w:val="00467D16"/>
    <w:rsid w:val="00472BAD"/>
    <w:rsid w:val="004809B3"/>
    <w:rsid w:val="00482518"/>
    <w:rsid w:val="00483014"/>
    <w:rsid w:val="00484009"/>
    <w:rsid w:val="0048400C"/>
    <w:rsid w:val="00485032"/>
    <w:rsid w:val="00485C63"/>
    <w:rsid w:val="004877A9"/>
    <w:rsid w:val="00490AEE"/>
    <w:rsid w:val="00490E72"/>
    <w:rsid w:val="00491157"/>
    <w:rsid w:val="004921C8"/>
    <w:rsid w:val="0049451F"/>
    <w:rsid w:val="00495B0B"/>
    <w:rsid w:val="00495EB9"/>
    <w:rsid w:val="004A1A36"/>
    <w:rsid w:val="004A1B8B"/>
    <w:rsid w:val="004B03CE"/>
    <w:rsid w:val="004B18D6"/>
    <w:rsid w:val="004B5669"/>
    <w:rsid w:val="004C3687"/>
    <w:rsid w:val="004C5A5C"/>
    <w:rsid w:val="004C7947"/>
    <w:rsid w:val="004D1851"/>
    <w:rsid w:val="004D599D"/>
    <w:rsid w:val="004E2EA5"/>
    <w:rsid w:val="004E3AEB"/>
    <w:rsid w:val="004E4583"/>
    <w:rsid w:val="004E621C"/>
    <w:rsid w:val="004E790A"/>
    <w:rsid w:val="0050223C"/>
    <w:rsid w:val="005131FC"/>
    <w:rsid w:val="00522B35"/>
    <w:rsid w:val="005243FF"/>
    <w:rsid w:val="00534931"/>
    <w:rsid w:val="005360FA"/>
    <w:rsid w:val="00540987"/>
    <w:rsid w:val="00542986"/>
    <w:rsid w:val="00551C9C"/>
    <w:rsid w:val="00552FD4"/>
    <w:rsid w:val="0055460E"/>
    <w:rsid w:val="00554F95"/>
    <w:rsid w:val="00562734"/>
    <w:rsid w:val="00564FBC"/>
    <w:rsid w:val="00566F73"/>
    <w:rsid w:val="00572757"/>
    <w:rsid w:val="00576EE2"/>
    <w:rsid w:val="005800BC"/>
    <w:rsid w:val="00582442"/>
    <w:rsid w:val="00586498"/>
    <w:rsid w:val="00591DCC"/>
    <w:rsid w:val="005921A9"/>
    <w:rsid w:val="005961A3"/>
    <w:rsid w:val="005A1103"/>
    <w:rsid w:val="005A11EA"/>
    <w:rsid w:val="005A60A6"/>
    <w:rsid w:val="005B074D"/>
    <w:rsid w:val="005D0CEA"/>
    <w:rsid w:val="005D1E9D"/>
    <w:rsid w:val="005D36C6"/>
    <w:rsid w:val="005E1B8B"/>
    <w:rsid w:val="005E6C34"/>
    <w:rsid w:val="005E738D"/>
    <w:rsid w:val="005F3269"/>
    <w:rsid w:val="005F51B0"/>
    <w:rsid w:val="00602067"/>
    <w:rsid w:val="006129A9"/>
    <w:rsid w:val="006130C6"/>
    <w:rsid w:val="006159B8"/>
    <w:rsid w:val="00623AE3"/>
    <w:rsid w:val="0062401B"/>
    <w:rsid w:val="00630B30"/>
    <w:rsid w:val="00633FC7"/>
    <w:rsid w:val="0063725D"/>
    <w:rsid w:val="0064737F"/>
    <w:rsid w:val="006535F1"/>
    <w:rsid w:val="00654CF9"/>
    <w:rsid w:val="0065557D"/>
    <w:rsid w:val="00660D50"/>
    <w:rsid w:val="006620D2"/>
    <w:rsid w:val="006621DE"/>
    <w:rsid w:val="00662984"/>
    <w:rsid w:val="006630E9"/>
    <w:rsid w:val="00670B80"/>
    <w:rsid w:val="006716BB"/>
    <w:rsid w:val="00671862"/>
    <w:rsid w:val="00684D30"/>
    <w:rsid w:val="00686D5A"/>
    <w:rsid w:val="00697DD9"/>
    <w:rsid w:val="006A6F68"/>
    <w:rsid w:val="006B1859"/>
    <w:rsid w:val="006B23D8"/>
    <w:rsid w:val="006B6680"/>
    <w:rsid w:val="006B6DCC"/>
    <w:rsid w:val="006C42AF"/>
    <w:rsid w:val="006D59EF"/>
    <w:rsid w:val="006E198E"/>
    <w:rsid w:val="006F1373"/>
    <w:rsid w:val="006F48D6"/>
    <w:rsid w:val="006F532F"/>
    <w:rsid w:val="00702DEF"/>
    <w:rsid w:val="00703B6B"/>
    <w:rsid w:val="00706861"/>
    <w:rsid w:val="00707FB0"/>
    <w:rsid w:val="007141B8"/>
    <w:rsid w:val="007227A4"/>
    <w:rsid w:val="00727B82"/>
    <w:rsid w:val="00735E77"/>
    <w:rsid w:val="007410A9"/>
    <w:rsid w:val="0075051B"/>
    <w:rsid w:val="00753B6C"/>
    <w:rsid w:val="007653EC"/>
    <w:rsid w:val="00780DF3"/>
    <w:rsid w:val="0078146D"/>
    <w:rsid w:val="0078211E"/>
    <w:rsid w:val="0078319C"/>
    <w:rsid w:val="0078548D"/>
    <w:rsid w:val="00792705"/>
    <w:rsid w:val="00793188"/>
    <w:rsid w:val="00794D34"/>
    <w:rsid w:val="00797BCC"/>
    <w:rsid w:val="007C060E"/>
    <w:rsid w:val="007C1248"/>
    <w:rsid w:val="007C1E57"/>
    <w:rsid w:val="007C41C6"/>
    <w:rsid w:val="007D3BC7"/>
    <w:rsid w:val="007E43F8"/>
    <w:rsid w:val="007F25AA"/>
    <w:rsid w:val="00811045"/>
    <w:rsid w:val="00813E5E"/>
    <w:rsid w:val="008142C6"/>
    <w:rsid w:val="00815F38"/>
    <w:rsid w:val="00817239"/>
    <w:rsid w:val="0082407F"/>
    <w:rsid w:val="0083581B"/>
    <w:rsid w:val="00843BF1"/>
    <w:rsid w:val="0084448F"/>
    <w:rsid w:val="0084476D"/>
    <w:rsid w:val="00853B1D"/>
    <w:rsid w:val="008609BA"/>
    <w:rsid w:val="0086255E"/>
    <w:rsid w:val="00863874"/>
    <w:rsid w:val="00864AFF"/>
    <w:rsid w:val="00865925"/>
    <w:rsid w:val="008725CC"/>
    <w:rsid w:val="0087327C"/>
    <w:rsid w:val="00882BA0"/>
    <w:rsid w:val="00883931"/>
    <w:rsid w:val="00890882"/>
    <w:rsid w:val="008964D4"/>
    <w:rsid w:val="008A5C99"/>
    <w:rsid w:val="008B0AFB"/>
    <w:rsid w:val="008B4A6A"/>
    <w:rsid w:val="008C1C53"/>
    <w:rsid w:val="008C685C"/>
    <w:rsid w:val="008C7E27"/>
    <w:rsid w:val="008D0D37"/>
    <w:rsid w:val="008D1194"/>
    <w:rsid w:val="008D135C"/>
    <w:rsid w:val="008D43E0"/>
    <w:rsid w:val="008F2876"/>
    <w:rsid w:val="008F4C55"/>
    <w:rsid w:val="008F7448"/>
    <w:rsid w:val="0090147A"/>
    <w:rsid w:val="0090639C"/>
    <w:rsid w:val="0091328E"/>
    <w:rsid w:val="009173EF"/>
    <w:rsid w:val="009174C4"/>
    <w:rsid w:val="00926D4C"/>
    <w:rsid w:val="00932906"/>
    <w:rsid w:val="00937F7D"/>
    <w:rsid w:val="00942ADC"/>
    <w:rsid w:val="00942D62"/>
    <w:rsid w:val="00946008"/>
    <w:rsid w:val="00947D89"/>
    <w:rsid w:val="00956550"/>
    <w:rsid w:val="00960C59"/>
    <w:rsid w:val="00961B0B"/>
    <w:rsid w:val="00986A3B"/>
    <w:rsid w:val="00986E2B"/>
    <w:rsid w:val="009902A1"/>
    <w:rsid w:val="00994325"/>
    <w:rsid w:val="009960C4"/>
    <w:rsid w:val="009A2936"/>
    <w:rsid w:val="009A7403"/>
    <w:rsid w:val="009B38C3"/>
    <w:rsid w:val="009B6BA2"/>
    <w:rsid w:val="009C2C3A"/>
    <w:rsid w:val="009D06C9"/>
    <w:rsid w:val="009D1425"/>
    <w:rsid w:val="009D4F60"/>
    <w:rsid w:val="009E17BD"/>
    <w:rsid w:val="009E485A"/>
    <w:rsid w:val="00A04CEC"/>
    <w:rsid w:val="00A07F20"/>
    <w:rsid w:val="00A14AD4"/>
    <w:rsid w:val="00A160A2"/>
    <w:rsid w:val="00A17014"/>
    <w:rsid w:val="00A23797"/>
    <w:rsid w:val="00A250C2"/>
    <w:rsid w:val="00A27F92"/>
    <w:rsid w:val="00A32257"/>
    <w:rsid w:val="00A32D6A"/>
    <w:rsid w:val="00A336BF"/>
    <w:rsid w:val="00A36D20"/>
    <w:rsid w:val="00A42F08"/>
    <w:rsid w:val="00A44716"/>
    <w:rsid w:val="00A514A4"/>
    <w:rsid w:val="00A54171"/>
    <w:rsid w:val="00A55622"/>
    <w:rsid w:val="00A6466B"/>
    <w:rsid w:val="00A65A47"/>
    <w:rsid w:val="00A73406"/>
    <w:rsid w:val="00A8151C"/>
    <w:rsid w:val="00A83502"/>
    <w:rsid w:val="00A84507"/>
    <w:rsid w:val="00A93598"/>
    <w:rsid w:val="00A96663"/>
    <w:rsid w:val="00AC4F5A"/>
    <w:rsid w:val="00AC565F"/>
    <w:rsid w:val="00AD15B3"/>
    <w:rsid w:val="00AD3606"/>
    <w:rsid w:val="00AD4A3D"/>
    <w:rsid w:val="00AE2C4B"/>
    <w:rsid w:val="00AE33DF"/>
    <w:rsid w:val="00AE537C"/>
    <w:rsid w:val="00AF374D"/>
    <w:rsid w:val="00AF400C"/>
    <w:rsid w:val="00AF6E49"/>
    <w:rsid w:val="00B0297C"/>
    <w:rsid w:val="00B02E85"/>
    <w:rsid w:val="00B04A67"/>
    <w:rsid w:val="00B0583C"/>
    <w:rsid w:val="00B2704A"/>
    <w:rsid w:val="00B31E50"/>
    <w:rsid w:val="00B337C7"/>
    <w:rsid w:val="00B36163"/>
    <w:rsid w:val="00B40A81"/>
    <w:rsid w:val="00B44910"/>
    <w:rsid w:val="00B72267"/>
    <w:rsid w:val="00B76D2D"/>
    <w:rsid w:val="00B76EB6"/>
    <w:rsid w:val="00B7737B"/>
    <w:rsid w:val="00B77B60"/>
    <w:rsid w:val="00B824C8"/>
    <w:rsid w:val="00B84B9D"/>
    <w:rsid w:val="00B874E5"/>
    <w:rsid w:val="00B87DA3"/>
    <w:rsid w:val="00B97664"/>
    <w:rsid w:val="00BA0EC8"/>
    <w:rsid w:val="00BB0768"/>
    <w:rsid w:val="00BB3827"/>
    <w:rsid w:val="00BB4D99"/>
    <w:rsid w:val="00BC0F40"/>
    <w:rsid w:val="00BC251A"/>
    <w:rsid w:val="00BC6F3B"/>
    <w:rsid w:val="00BD032B"/>
    <w:rsid w:val="00BD0709"/>
    <w:rsid w:val="00BD305A"/>
    <w:rsid w:val="00BD4C11"/>
    <w:rsid w:val="00BE048E"/>
    <w:rsid w:val="00BE2640"/>
    <w:rsid w:val="00BE4350"/>
    <w:rsid w:val="00C01189"/>
    <w:rsid w:val="00C01CEE"/>
    <w:rsid w:val="00C15292"/>
    <w:rsid w:val="00C16D5B"/>
    <w:rsid w:val="00C264F4"/>
    <w:rsid w:val="00C27151"/>
    <w:rsid w:val="00C325EF"/>
    <w:rsid w:val="00C35A9C"/>
    <w:rsid w:val="00C374DE"/>
    <w:rsid w:val="00C37B8B"/>
    <w:rsid w:val="00C4745F"/>
    <w:rsid w:val="00C47AD4"/>
    <w:rsid w:val="00C5061E"/>
    <w:rsid w:val="00C52D81"/>
    <w:rsid w:val="00C55198"/>
    <w:rsid w:val="00C571A0"/>
    <w:rsid w:val="00C6676B"/>
    <w:rsid w:val="00C71AA5"/>
    <w:rsid w:val="00C75404"/>
    <w:rsid w:val="00C76B43"/>
    <w:rsid w:val="00C875E2"/>
    <w:rsid w:val="00C8781C"/>
    <w:rsid w:val="00CA07E9"/>
    <w:rsid w:val="00CA5148"/>
    <w:rsid w:val="00CA571C"/>
    <w:rsid w:val="00CA6393"/>
    <w:rsid w:val="00CB1231"/>
    <w:rsid w:val="00CB18FF"/>
    <w:rsid w:val="00CC21DE"/>
    <w:rsid w:val="00CC644E"/>
    <w:rsid w:val="00CD03A3"/>
    <w:rsid w:val="00CD0C08"/>
    <w:rsid w:val="00CD5876"/>
    <w:rsid w:val="00CE03FB"/>
    <w:rsid w:val="00CE1047"/>
    <w:rsid w:val="00CE1D52"/>
    <w:rsid w:val="00CE237B"/>
    <w:rsid w:val="00CE433C"/>
    <w:rsid w:val="00CE6F14"/>
    <w:rsid w:val="00CF0161"/>
    <w:rsid w:val="00CF33F3"/>
    <w:rsid w:val="00CF40FC"/>
    <w:rsid w:val="00D00F24"/>
    <w:rsid w:val="00D06183"/>
    <w:rsid w:val="00D07715"/>
    <w:rsid w:val="00D115F2"/>
    <w:rsid w:val="00D21751"/>
    <w:rsid w:val="00D2283D"/>
    <w:rsid w:val="00D22C42"/>
    <w:rsid w:val="00D24CFE"/>
    <w:rsid w:val="00D25AE8"/>
    <w:rsid w:val="00D26E0A"/>
    <w:rsid w:val="00D300C1"/>
    <w:rsid w:val="00D337A6"/>
    <w:rsid w:val="00D36A60"/>
    <w:rsid w:val="00D6027E"/>
    <w:rsid w:val="00D65041"/>
    <w:rsid w:val="00D73D01"/>
    <w:rsid w:val="00D77CF2"/>
    <w:rsid w:val="00D80BAE"/>
    <w:rsid w:val="00D82025"/>
    <w:rsid w:val="00D8347C"/>
    <w:rsid w:val="00D84860"/>
    <w:rsid w:val="00D87B38"/>
    <w:rsid w:val="00D93F57"/>
    <w:rsid w:val="00DB1476"/>
    <w:rsid w:val="00DB1936"/>
    <w:rsid w:val="00DB384B"/>
    <w:rsid w:val="00DC7AE1"/>
    <w:rsid w:val="00DE1DEC"/>
    <w:rsid w:val="00DE59DA"/>
    <w:rsid w:val="00DE608F"/>
    <w:rsid w:val="00DF0189"/>
    <w:rsid w:val="00DF62AF"/>
    <w:rsid w:val="00DF6ADD"/>
    <w:rsid w:val="00E06FD5"/>
    <w:rsid w:val="00E10E80"/>
    <w:rsid w:val="00E124F0"/>
    <w:rsid w:val="00E16545"/>
    <w:rsid w:val="00E258C8"/>
    <w:rsid w:val="00E37B9A"/>
    <w:rsid w:val="00E4665B"/>
    <w:rsid w:val="00E60F04"/>
    <w:rsid w:val="00E65B24"/>
    <w:rsid w:val="00E70404"/>
    <w:rsid w:val="00E81BCD"/>
    <w:rsid w:val="00E830F3"/>
    <w:rsid w:val="00E854E4"/>
    <w:rsid w:val="00E8676B"/>
    <w:rsid w:val="00E86DBF"/>
    <w:rsid w:val="00E874A7"/>
    <w:rsid w:val="00E916BB"/>
    <w:rsid w:val="00EA166F"/>
    <w:rsid w:val="00EA1DDC"/>
    <w:rsid w:val="00EB0A49"/>
    <w:rsid w:val="00EB0D6F"/>
    <w:rsid w:val="00EB2232"/>
    <w:rsid w:val="00EB5D4A"/>
    <w:rsid w:val="00EC5337"/>
    <w:rsid w:val="00EC5547"/>
    <w:rsid w:val="00ED7E40"/>
    <w:rsid w:val="00EE25FE"/>
    <w:rsid w:val="00EE49E8"/>
    <w:rsid w:val="00F038C4"/>
    <w:rsid w:val="00F10EE5"/>
    <w:rsid w:val="00F16913"/>
    <w:rsid w:val="00F16BAB"/>
    <w:rsid w:val="00F2150A"/>
    <w:rsid w:val="00F231D8"/>
    <w:rsid w:val="00F232C2"/>
    <w:rsid w:val="00F42BB4"/>
    <w:rsid w:val="00F44C00"/>
    <w:rsid w:val="00F45A95"/>
    <w:rsid w:val="00F46C5F"/>
    <w:rsid w:val="00F46FC1"/>
    <w:rsid w:val="00F579F1"/>
    <w:rsid w:val="00F61CED"/>
    <w:rsid w:val="00F632C0"/>
    <w:rsid w:val="00F65D20"/>
    <w:rsid w:val="00F7548B"/>
    <w:rsid w:val="00F80BDB"/>
    <w:rsid w:val="00F82BD0"/>
    <w:rsid w:val="00F86E31"/>
    <w:rsid w:val="00F90485"/>
    <w:rsid w:val="00F94A63"/>
    <w:rsid w:val="00F95B22"/>
    <w:rsid w:val="00FA1C28"/>
    <w:rsid w:val="00FA281C"/>
    <w:rsid w:val="00FA77FD"/>
    <w:rsid w:val="00FB1279"/>
    <w:rsid w:val="00FB35D5"/>
    <w:rsid w:val="00FB6B76"/>
    <w:rsid w:val="00FB7596"/>
    <w:rsid w:val="00FC06A8"/>
    <w:rsid w:val="00FC2150"/>
    <w:rsid w:val="00FC4629"/>
    <w:rsid w:val="00FC6123"/>
    <w:rsid w:val="00FD0CD8"/>
    <w:rsid w:val="00FD7C4D"/>
    <w:rsid w:val="00FE0BB6"/>
    <w:rsid w:val="00FE266F"/>
    <w:rsid w:val="00FE4077"/>
    <w:rsid w:val="00FE61DD"/>
    <w:rsid w:val="00FE77D2"/>
    <w:rsid w:val="00FF42A3"/>
    <w:rsid w:val="020C9CDE"/>
    <w:rsid w:val="034A94AF"/>
    <w:rsid w:val="036E3247"/>
    <w:rsid w:val="04002E91"/>
    <w:rsid w:val="0599B769"/>
    <w:rsid w:val="0600FC74"/>
    <w:rsid w:val="0676DCB6"/>
    <w:rsid w:val="07E8CBEF"/>
    <w:rsid w:val="07FCC669"/>
    <w:rsid w:val="087EF0B7"/>
    <w:rsid w:val="0B40FBA3"/>
    <w:rsid w:val="0B85C71C"/>
    <w:rsid w:val="0C0479F7"/>
    <w:rsid w:val="0D5F3B3D"/>
    <w:rsid w:val="0E9C06DB"/>
    <w:rsid w:val="0F703219"/>
    <w:rsid w:val="1028A874"/>
    <w:rsid w:val="10A1F9BF"/>
    <w:rsid w:val="11CA1B12"/>
    <w:rsid w:val="133CAEBF"/>
    <w:rsid w:val="148919BC"/>
    <w:rsid w:val="14DEB7BF"/>
    <w:rsid w:val="174F8FCD"/>
    <w:rsid w:val="17FF4ABF"/>
    <w:rsid w:val="18519B62"/>
    <w:rsid w:val="1864C152"/>
    <w:rsid w:val="19BDA62C"/>
    <w:rsid w:val="1A0F89EA"/>
    <w:rsid w:val="1AB0B24E"/>
    <w:rsid w:val="1C1EFDFB"/>
    <w:rsid w:val="1CBDB2E8"/>
    <w:rsid w:val="1E0F7868"/>
    <w:rsid w:val="1E85544B"/>
    <w:rsid w:val="211A511E"/>
    <w:rsid w:val="273E6BC6"/>
    <w:rsid w:val="27831BE8"/>
    <w:rsid w:val="27DC1EEB"/>
    <w:rsid w:val="280B48D1"/>
    <w:rsid w:val="293BBFDA"/>
    <w:rsid w:val="29F1BD4D"/>
    <w:rsid w:val="2B55276D"/>
    <w:rsid w:val="2B8EE6BD"/>
    <w:rsid w:val="2C3A13A8"/>
    <w:rsid w:val="2D23154D"/>
    <w:rsid w:val="2D402732"/>
    <w:rsid w:val="2DC8396B"/>
    <w:rsid w:val="2E0E87AF"/>
    <w:rsid w:val="2E1CD15C"/>
    <w:rsid w:val="2E49C82F"/>
    <w:rsid w:val="2EB9039D"/>
    <w:rsid w:val="2F74B00D"/>
    <w:rsid w:val="2FC974A9"/>
    <w:rsid w:val="2FF582B8"/>
    <w:rsid w:val="31306872"/>
    <w:rsid w:val="3300CD86"/>
    <w:rsid w:val="33655615"/>
    <w:rsid w:val="339A98DD"/>
    <w:rsid w:val="3536A723"/>
    <w:rsid w:val="363B007F"/>
    <w:rsid w:val="368507B1"/>
    <w:rsid w:val="384B4675"/>
    <w:rsid w:val="39F0A237"/>
    <w:rsid w:val="3AEF439C"/>
    <w:rsid w:val="3BA9DBED"/>
    <w:rsid w:val="3BD3436B"/>
    <w:rsid w:val="3C429C19"/>
    <w:rsid w:val="3DCC54AC"/>
    <w:rsid w:val="3E453A0A"/>
    <w:rsid w:val="40DE0865"/>
    <w:rsid w:val="41089F10"/>
    <w:rsid w:val="41E2F6DE"/>
    <w:rsid w:val="43005F53"/>
    <w:rsid w:val="43B0D777"/>
    <w:rsid w:val="442E8F62"/>
    <w:rsid w:val="44CFDE22"/>
    <w:rsid w:val="45977724"/>
    <w:rsid w:val="465DA67E"/>
    <w:rsid w:val="473729A8"/>
    <w:rsid w:val="4751E21D"/>
    <w:rsid w:val="48290036"/>
    <w:rsid w:val="49734272"/>
    <w:rsid w:val="49969751"/>
    <w:rsid w:val="4AC00E9A"/>
    <w:rsid w:val="4AFA98C1"/>
    <w:rsid w:val="4B62A011"/>
    <w:rsid w:val="4B9E999D"/>
    <w:rsid w:val="4C5BDEFB"/>
    <w:rsid w:val="4C775F44"/>
    <w:rsid w:val="4C915129"/>
    <w:rsid w:val="4CD2D214"/>
    <w:rsid w:val="4EE4E493"/>
    <w:rsid w:val="4F1DDD52"/>
    <w:rsid w:val="4FE8A2A0"/>
    <w:rsid w:val="5043C968"/>
    <w:rsid w:val="51847301"/>
    <w:rsid w:val="51A5F6F0"/>
    <w:rsid w:val="51EE340B"/>
    <w:rsid w:val="5290BD1D"/>
    <w:rsid w:val="53920DB6"/>
    <w:rsid w:val="53B776DC"/>
    <w:rsid w:val="5636A497"/>
    <w:rsid w:val="575941C1"/>
    <w:rsid w:val="57A606C2"/>
    <w:rsid w:val="5863F552"/>
    <w:rsid w:val="5B6D04FB"/>
    <w:rsid w:val="5C3B9029"/>
    <w:rsid w:val="5C68451C"/>
    <w:rsid w:val="5E4226B6"/>
    <w:rsid w:val="5F98D8A4"/>
    <w:rsid w:val="60032C5E"/>
    <w:rsid w:val="60DC427D"/>
    <w:rsid w:val="60F2895D"/>
    <w:rsid w:val="612D11EE"/>
    <w:rsid w:val="61798960"/>
    <w:rsid w:val="61ED460C"/>
    <w:rsid w:val="6323BBF6"/>
    <w:rsid w:val="6355B29F"/>
    <w:rsid w:val="64D22656"/>
    <w:rsid w:val="65744D5D"/>
    <w:rsid w:val="669EF595"/>
    <w:rsid w:val="69C0B3D6"/>
    <w:rsid w:val="6C3AD9BC"/>
    <w:rsid w:val="6CF85498"/>
    <w:rsid w:val="6E0692B7"/>
    <w:rsid w:val="6EA58FC2"/>
    <w:rsid w:val="6EF14826"/>
    <w:rsid w:val="6FD90C39"/>
    <w:rsid w:val="70CE453D"/>
    <w:rsid w:val="71F423C4"/>
    <w:rsid w:val="73AB90EC"/>
    <w:rsid w:val="73DAFC68"/>
    <w:rsid w:val="742A57CA"/>
    <w:rsid w:val="743D8B62"/>
    <w:rsid w:val="748B0545"/>
    <w:rsid w:val="75A566D1"/>
    <w:rsid w:val="76984A03"/>
    <w:rsid w:val="7A86515E"/>
    <w:rsid w:val="7ABED856"/>
    <w:rsid w:val="7BE50214"/>
    <w:rsid w:val="7BFE581B"/>
    <w:rsid w:val="7C73428A"/>
    <w:rsid w:val="7CBD05C5"/>
    <w:rsid w:val="7CDF780A"/>
    <w:rsid w:val="7E541809"/>
    <w:rsid w:val="7EA6F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7B8393B5-C6E2-414B-99B8-FE022E37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C6F3B"/>
    <w:pPr>
      <w:framePr w:hSpace="180" w:wrap="around" w:vAnchor="page" w:hAnchor="page" w:x="1821" w:y="2317"/>
      <w:spacing w:before="240"/>
    </w:pPr>
    <w:rPr>
      <w:b/>
      <w:sz w:val="32"/>
      <w:szCs w:val="1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B0297C"/>
    <w:rPr>
      <w:rFonts w:ascii="Calibri" w:hAnsi="Calibri"/>
      <w:sz w:val="24"/>
      <w:lang w:val="en-GB" w:eastAsia="en-US"/>
    </w:rPr>
  </w:style>
  <w:style w:type="character" w:styleId="CommentReference">
    <w:name w:val="annotation reference"/>
    <w:basedOn w:val="DefaultParagraphFont"/>
    <w:semiHidden/>
    <w:unhideWhenUsed/>
    <w:rsid w:val="00F86E31"/>
    <w:rPr>
      <w:sz w:val="16"/>
      <w:szCs w:val="16"/>
    </w:rPr>
  </w:style>
  <w:style w:type="paragraph" w:styleId="CommentText">
    <w:name w:val="annotation text"/>
    <w:basedOn w:val="Normal"/>
    <w:link w:val="CommentTextChar"/>
    <w:unhideWhenUsed/>
    <w:rsid w:val="00F86E31"/>
    <w:rPr>
      <w:sz w:val="20"/>
    </w:rPr>
  </w:style>
  <w:style w:type="character" w:customStyle="1" w:styleId="CommentTextChar">
    <w:name w:val="Comment Text Char"/>
    <w:basedOn w:val="DefaultParagraphFont"/>
    <w:link w:val="CommentText"/>
    <w:rsid w:val="00F86E31"/>
    <w:rPr>
      <w:rFonts w:ascii="Calibri" w:hAnsi="Calibri"/>
      <w:lang w:val="en-GB" w:eastAsia="en-US"/>
    </w:rPr>
  </w:style>
  <w:style w:type="paragraph" w:styleId="CommentSubject">
    <w:name w:val="annotation subject"/>
    <w:basedOn w:val="CommentText"/>
    <w:next w:val="CommentText"/>
    <w:link w:val="CommentSubjectChar"/>
    <w:semiHidden/>
    <w:unhideWhenUsed/>
    <w:rsid w:val="00F86E31"/>
    <w:rPr>
      <w:b/>
      <w:bCs/>
    </w:rPr>
  </w:style>
  <w:style w:type="character" w:customStyle="1" w:styleId="CommentSubjectChar">
    <w:name w:val="Comment Subject Char"/>
    <w:basedOn w:val="CommentTextChar"/>
    <w:link w:val="CommentSubject"/>
    <w:semiHidden/>
    <w:rsid w:val="00F86E31"/>
    <w:rPr>
      <w:rFonts w:ascii="Calibri" w:hAnsi="Calibri"/>
      <w:b/>
      <w:bCs/>
      <w:lang w:val="en-GB" w:eastAsia="en-US"/>
    </w:rPr>
  </w:style>
  <w:style w:type="character" w:customStyle="1" w:styleId="cf01">
    <w:name w:val="cf01"/>
    <w:basedOn w:val="DefaultParagraphFont"/>
    <w:rsid w:val="00D00F24"/>
    <w:rPr>
      <w:rFonts w:ascii="Segoe UI" w:hAnsi="Segoe UI" w:cs="Segoe UI" w:hint="default"/>
      <w:sz w:val="18"/>
      <w:szCs w:val="18"/>
    </w:rPr>
  </w:style>
  <w:style w:type="paragraph" w:styleId="ListParagraph">
    <w:name w:val="List Paragraph"/>
    <w:basedOn w:val="Normal"/>
    <w:uiPriority w:val="34"/>
    <w:qFormat/>
    <w:rsid w:val="008964D4"/>
    <w:pPr>
      <w:ind w:left="720"/>
      <w:contextualSpacing/>
    </w:pPr>
  </w:style>
  <w:style w:type="paragraph" w:customStyle="1" w:styleId="pf0">
    <w:name w:val="pf0"/>
    <w:basedOn w:val="Normal"/>
    <w:rsid w:val="00986A3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styleId="NormalWeb">
    <w:name w:val="Normal (Web)"/>
    <w:basedOn w:val="Normal"/>
    <w:uiPriority w:val="99"/>
    <w:unhideWhenUsed/>
    <w:rsid w:val="0091328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BC0F40"/>
    <w:rPr>
      <w:color w:val="605E5C"/>
      <w:shd w:val="clear" w:color="auto" w:fill="E1DFDD"/>
    </w:rPr>
  </w:style>
  <w:style w:type="character" w:customStyle="1" w:styleId="FootnoteTextChar">
    <w:name w:val="Footnote Text Char"/>
    <w:basedOn w:val="DefaultParagraphFont"/>
    <w:link w:val="FootnoteText"/>
    <w:rsid w:val="004C5A5C"/>
    <w:rPr>
      <w:rFonts w:ascii="Calibri" w:hAnsi="Calibri"/>
      <w:sz w:val="24"/>
      <w:lang w:val="en-GB" w:eastAsia="en-US"/>
    </w:rPr>
  </w:style>
  <w:style w:type="paragraph" w:customStyle="1" w:styleId="Default">
    <w:name w:val="Default"/>
    <w:rsid w:val="004C5A5C"/>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semiHidden/>
    <w:unhideWhenUsed/>
    <w:rsid w:val="002233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3309"/>
    <w:rPr>
      <w:rFonts w:ascii="Segoe UI" w:hAnsi="Segoe UI" w:cs="Segoe UI"/>
      <w:sz w:val="18"/>
      <w:szCs w:val="18"/>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40003">
      <w:bodyDiv w:val="1"/>
      <w:marLeft w:val="0"/>
      <w:marRight w:val="0"/>
      <w:marTop w:val="0"/>
      <w:marBottom w:val="0"/>
      <w:divBdr>
        <w:top w:val="none" w:sz="0" w:space="0" w:color="auto"/>
        <w:left w:val="none" w:sz="0" w:space="0" w:color="auto"/>
        <w:bottom w:val="none" w:sz="0" w:space="0" w:color="auto"/>
        <w:right w:val="none" w:sz="0" w:space="0" w:color="auto"/>
      </w:divBdr>
    </w:div>
    <w:div w:id="21096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itu.int/dms_pub/itu-s/opb/conf/S-CONF-CL-2022-PDF-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4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ECC3-F702-490B-BDA8-BBEAADDACB05}">
  <ds:schemaRefs>
    <ds:schemaRef ds:uri="http://purl.org/dc/elements/1.1/"/>
    <ds:schemaRef ds:uri="http://schemas.microsoft.com/office/2006/documentManagement/types"/>
    <ds:schemaRef ds:uri="085b46e1-7f22-4e81-9ba5-912dc5a5fd9a"/>
    <ds:schemaRef ds:uri="98b04e1e-0540-4930-9623-702d547a0a33"/>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826F8F-BA96-4275-971B-E0C11D5E4C47}">
  <ds:schemaRefs>
    <ds:schemaRef ds:uri="http://schemas.openxmlformats.org/officeDocument/2006/bibliography"/>
  </ds:schemaRefs>
</ds:datastoreItem>
</file>

<file path=customXml/itemProps3.xml><?xml version="1.0" encoding="utf-8"?>
<ds:datastoreItem xmlns:ds="http://schemas.openxmlformats.org/officeDocument/2006/customXml" ds:itemID="{9FA89F02-B3D5-40BC-AB28-A2C2035A5887}">
  <ds:schemaRefs>
    <ds:schemaRef ds:uri="http://schemas.microsoft.com/sharepoint/v3/contenttype/forms"/>
  </ds:schemaRefs>
</ds:datastoreItem>
</file>

<file path=customXml/itemProps4.xml><?xml version="1.0" encoding="utf-8"?>
<ds:datastoreItem xmlns:ds="http://schemas.openxmlformats.org/officeDocument/2006/customXml" ds:itemID="{554035D5-894C-45A8-8DF6-7FF84EC1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1042</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 - Pool</Manager>
  <Company>International Telecommunication Union (ITU)</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2024</dc:subject>
  <dc:creator>Ulrika Martinius</dc:creator>
  <cp:keywords>C2024, C24, Council-24</cp:keywords>
  <dc:description/>
  <cp:lastModifiedBy>Brouard, Ricarda</cp:lastModifiedBy>
  <cp:revision>5</cp:revision>
  <cp:lastPrinted>2024-03-05T11:53:00Z</cp:lastPrinted>
  <dcterms:created xsi:type="dcterms:W3CDTF">2024-04-04T08:15:00Z</dcterms:created>
  <dcterms:modified xsi:type="dcterms:W3CDTF">2024-04-09T16:47:00Z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3736ecdf0c11138f53e02b2b9543be0cd2a47951f39f01e3672efe9259b97270</vt:lpwstr>
  </property>
  <property fmtid="{D5CDD505-2E9C-101B-9397-08002B2CF9AE}" pid="9" name="ContentTypeId">
    <vt:lpwstr>0x010100927A014BF6FE3A4AB656F5985E3C82C4</vt:lpwstr>
  </property>
</Properties>
</file>