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233FBD" w:rsidRPr="00813E5E" w14:paraId="16C8DD02" w14:textId="77777777" w:rsidTr="00C538FC">
        <w:trPr>
          <w:cantSplit/>
          <w:trHeight w:val="23"/>
        </w:trPr>
        <w:tc>
          <w:tcPr>
            <w:tcW w:w="3969" w:type="dxa"/>
            <w:vMerge w:val="restart"/>
            <w:tcMar>
              <w:left w:w="0" w:type="dxa"/>
            </w:tcMar>
          </w:tcPr>
          <w:p w14:paraId="380780FF" w14:textId="5E18E335" w:rsidR="00233FBD" w:rsidRPr="00E85629" w:rsidRDefault="00233FBD" w:rsidP="00233FBD">
            <w:pPr>
              <w:tabs>
                <w:tab w:val="left" w:pos="851"/>
              </w:tabs>
              <w:spacing w:before="0" w:line="240" w:lineRule="atLeast"/>
              <w:rPr>
                <w:b/>
              </w:rPr>
            </w:pPr>
            <w:bookmarkStart w:id="0" w:name="_Hlk133421839"/>
            <w:r w:rsidRPr="00D43B85">
              <w:rPr>
                <w:b/>
              </w:rPr>
              <w:t>Punto del orden del día</w:t>
            </w:r>
            <w:r>
              <w:rPr>
                <w:b/>
              </w:rPr>
              <w:t xml:space="preserve">: </w:t>
            </w:r>
            <w:r w:rsidR="00324DA3">
              <w:rPr>
                <w:b/>
              </w:rPr>
              <w:t>PL 3</w:t>
            </w:r>
          </w:p>
        </w:tc>
        <w:tc>
          <w:tcPr>
            <w:tcW w:w="5245" w:type="dxa"/>
          </w:tcPr>
          <w:p w14:paraId="12EC8577" w14:textId="35BD4A63" w:rsidR="00233FBD" w:rsidRPr="00E85629" w:rsidRDefault="00233FBD" w:rsidP="00233FBD">
            <w:pPr>
              <w:tabs>
                <w:tab w:val="left" w:pos="851"/>
              </w:tabs>
              <w:spacing w:before="0" w:line="240" w:lineRule="atLeast"/>
              <w:jc w:val="right"/>
              <w:rPr>
                <w:b/>
              </w:rPr>
            </w:pPr>
            <w:r w:rsidRPr="007B622E">
              <w:rPr>
                <w:b/>
                <w:lang w:val="es-ES"/>
              </w:rPr>
              <w:t>Documento C24/30-S</w:t>
            </w:r>
          </w:p>
        </w:tc>
      </w:tr>
      <w:tr w:rsidR="00233FBD" w:rsidRPr="00813E5E" w14:paraId="2F7BAD0F" w14:textId="77777777" w:rsidTr="00C538FC">
        <w:trPr>
          <w:cantSplit/>
        </w:trPr>
        <w:tc>
          <w:tcPr>
            <w:tcW w:w="3969" w:type="dxa"/>
            <w:vMerge/>
          </w:tcPr>
          <w:p w14:paraId="32D340BD" w14:textId="77777777" w:rsidR="00233FBD" w:rsidRPr="00813E5E" w:rsidRDefault="00233FBD" w:rsidP="00233FBD">
            <w:pPr>
              <w:tabs>
                <w:tab w:val="left" w:pos="851"/>
              </w:tabs>
              <w:spacing w:line="240" w:lineRule="atLeast"/>
              <w:rPr>
                <w:b/>
              </w:rPr>
            </w:pPr>
          </w:p>
        </w:tc>
        <w:tc>
          <w:tcPr>
            <w:tcW w:w="5245" w:type="dxa"/>
          </w:tcPr>
          <w:p w14:paraId="6D67502D" w14:textId="3616AD49" w:rsidR="00233FBD" w:rsidRPr="00E85629" w:rsidRDefault="00233FBD" w:rsidP="00233FBD">
            <w:pPr>
              <w:tabs>
                <w:tab w:val="left" w:pos="851"/>
              </w:tabs>
              <w:spacing w:before="0"/>
              <w:jc w:val="right"/>
              <w:rPr>
                <w:b/>
              </w:rPr>
            </w:pPr>
            <w:r w:rsidRPr="007B622E">
              <w:rPr>
                <w:b/>
                <w:lang w:val="es-ES"/>
              </w:rPr>
              <w:t>6 de mayo de 2024</w:t>
            </w:r>
          </w:p>
        </w:tc>
      </w:tr>
      <w:tr w:rsidR="00233FBD" w:rsidRPr="00F24B71" w14:paraId="14ED61B8" w14:textId="77777777" w:rsidTr="00C538FC">
        <w:trPr>
          <w:cantSplit/>
          <w:trHeight w:val="23"/>
        </w:trPr>
        <w:tc>
          <w:tcPr>
            <w:tcW w:w="3969" w:type="dxa"/>
            <w:vMerge/>
          </w:tcPr>
          <w:p w14:paraId="36AAE2B4" w14:textId="77777777" w:rsidR="00233FBD" w:rsidRPr="00813E5E" w:rsidRDefault="00233FBD" w:rsidP="00233FBD">
            <w:pPr>
              <w:tabs>
                <w:tab w:val="left" w:pos="851"/>
              </w:tabs>
              <w:spacing w:line="240" w:lineRule="atLeast"/>
              <w:rPr>
                <w:b/>
              </w:rPr>
            </w:pPr>
          </w:p>
        </w:tc>
        <w:tc>
          <w:tcPr>
            <w:tcW w:w="5245" w:type="dxa"/>
          </w:tcPr>
          <w:p w14:paraId="54C7ED74" w14:textId="43CBCBE3" w:rsidR="00233FBD" w:rsidRPr="00F24B71" w:rsidRDefault="00233FBD" w:rsidP="00233FBD">
            <w:pPr>
              <w:tabs>
                <w:tab w:val="left" w:pos="851"/>
              </w:tabs>
              <w:spacing w:before="0" w:line="240" w:lineRule="atLeast"/>
              <w:jc w:val="right"/>
              <w:rPr>
                <w:b/>
                <w:bCs/>
              </w:rPr>
            </w:pPr>
            <w:r w:rsidRPr="007B622E">
              <w:rPr>
                <w:b/>
                <w:lang w:val="es-ES"/>
              </w:rPr>
              <w:t>Original: inglés</w:t>
            </w:r>
          </w:p>
        </w:tc>
      </w:tr>
      <w:tr w:rsidR="00FE57F6" w:rsidRPr="00813E5E" w14:paraId="28C23F0D" w14:textId="77777777" w:rsidTr="00C538FC">
        <w:trPr>
          <w:cantSplit/>
          <w:trHeight w:val="23"/>
        </w:trPr>
        <w:tc>
          <w:tcPr>
            <w:tcW w:w="3969" w:type="dxa"/>
          </w:tcPr>
          <w:p w14:paraId="71CA9CDE" w14:textId="77777777" w:rsidR="00FE57F6" w:rsidRPr="00813E5E" w:rsidRDefault="00FE57F6" w:rsidP="00C538FC">
            <w:pPr>
              <w:tabs>
                <w:tab w:val="left" w:pos="851"/>
              </w:tabs>
              <w:spacing w:line="240" w:lineRule="atLeast"/>
              <w:rPr>
                <w:b/>
              </w:rPr>
            </w:pPr>
          </w:p>
        </w:tc>
        <w:tc>
          <w:tcPr>
            <w:tcW w:w="5245" w:type="dxa"/>
          </w:tcPr>
          <w:p w14:paraId="04F0E65D" w14:textId="77777777" w:rsidR="00FE57F6" w:rsidRDefault="00FE57F6" w:rsidP="00C538FC">
            <w:pPr>
              <w:tabs>
                <w:tab w:val="left" w:pos="851"/>
              </w:tabs>
              <w:spacing w:before="0" w:line="240" w:lineRule="atLeast"/>
              <w:jc w:val="right"/>
              <w:rPr>
                <w:b/>
              </w:rPr>
            </w:pPr>
          </w:p>
        </w:tc>
      </w:tr>
      <w:tr w:rsidR="00FE57F6" w:rsidRPr="00FE57F6" w14:paraId="0744CD5D" w14:textId="77777777" w:rsidTr="00C538FC">
        <w:trPr>
          <w:cantSplit/>
        </w:trPr>
        <w:tc>
          <w:tcPr>
            <w:tcW w:w="9214" w:type="dxa"/>
            <w:gridSpan w:val="2"/>
            <w:tcMar>
              <w:left w:w="0" w:type="dxa"/>
            </w:tcMar>
          </w:tcPr>
          <w:p w14:paraId="3EF99137" w14:textId="77777777" w:rsidR="00FE57F6" w:rsidRPr="004B5D49" w:rsidRDefault="00F24B71" w:rsidP="00324DA3">
            <w:pPr>
              <w:pStyle w:val="Source"/>
              <w:spacing w:before="120"/>
              <w:jc w:val="left"/>
              <w:rPr>
                <w:sz w:val="34"/>
                <w:szCs w:val="34"/>
                <w:lang w:val="es-ES"/>
              </w:rPr>
            </w:pPr>
            <w:r w:rsidRPr="00C538FC">
              <w:rPr>
                <w:rFonts w:cstheme="minorHAnsi"/>
                <w:sz w:val="34"/>
                <w:szCs w:val="34"/>
              </w:rPr>
              <w:t>Informe de</w:t>
            </w:r>
            <w:r w:rsidR="004B5D49">
              <w:rPr>
                <w:rFonts w:cstheme="minorHAnsi"/>
                <w:sz w:val="34"/>
                <w:szCs w:val="34"/>
              </w:rPr>
              <w:t xml:space="preserve"> </w:t>
            </w:r>
            <w:r w:rsidRPr="00C538FC">
              <w:rPr>
                <w:rFonts w:cstheme="minorHAnsi"/>
                <w:sz w:val="34"/>
                <w:szCs w:val="34"/>
              </w:rPr>
              <w:t>l</w:t>
            </w:r>
            <w:r w:rsidR="004B5D49">
              <w:rPr>
                <w:rFonts w:cstheme="minorHAnsi"/>
                <w:sz w:val="34"/>
                <w:szCs w:val="34"/>
              </w:rPr>
              <w:t>a</w:t>
            </w:r>
            <w:r w:rsidRPr="00C538FC">
              <w:rPr>
                <w:rFonts w:cstheme="minorHAnsi"/>
                <w:sz w:val="34"/>
                <w:szCs w:val="34"/>
              </w:rPr>
              <w:t xml:space="preserve"> Secretari</w:t>
            </w:r>
            <w:r w:rsidR="004B5D49">
              <w:rPr>
                <w:rFonts w:cstheme="minorHAnsi"/>
                <w:sz w:val="34"/>
                <w:szCs w:val="34"/>
              </w:rPr>
              <w:t>a</w:t>
            </w:r>
            <w:r w:rsidRPr="00C538FC">
              <w:rPr>
                <w:rFonts w:cstheme="minorHAnsi"/>
                <w:sz w:val="34"/>
                <w:szCs w:val="34"/>
              </w:rPr>
              <w:t xml:space="preserve"> General</w:t>
            </w:r>
          </w:p>
        </w:tc>
      </w:tr>
      <w:tr w:rsidR="00FE57F6" w:rsidRPr="00813E5E" w14:paraId="5E2B474A" w14:textId="77777777" w:rsidTr="00C538FC">
        <w:trPr>
          <w:cantSplit/>
        </w:trPr>
        <w:tc>
          <w:tcPr>
            <w:tcW w:w="9214" w:type="dxa"/>
            <w:gridSpan w:val="2"/>
            <w:tcMar>
              <w:left w:w="0" w:type="dxa"/>
            </w:tcMar>
          </w:tcPr>
          <w:p w14:paraId="75872F37" w14:textId="1C978572" w:rsidR="00FE57F6" w:rsidRPr="00233FBD" w:rsidRDefault="00233FBD" w:rsidP="00C538FC">
            <w:pPr>
              <w:pStyle w:val="Subtitle"/>
              <w:framePr w:hSpace="0" w:wrap="auto" w:hAnchor="text" w:xAlign="left" w:yAlign="inline"/>
              <w:rPr>
                <w:lang w:val="es-ES"/>
              </w:rPr>
            </w:pPr>
            <w:r w:rsidRPr="007B622E">
              <w:rPr>
                <w:lang w:val="es-ES"/>
              </w:rPr>
              <w:t>PREPARATIVOS PARA LA CONFERENCIA MUNDIAL DE DESARROLLO DE LAS TELECOMUNICACIONES 2025 (CMDT-25)</w:t>
            </w:r>
          </w:p>
        </w:tc>
      </w:tr>
      <w:tr w:rsidR="00FE57F6" w:rsidRPr="00813E5E" w14:paraId="4DC483B4" w14:textId="77777777" w:rsidTr="00C538FC">
        <w:trPr>
          <w:cantSplit/>
        </w:trPr>
        <w:tc>
          <w:tcPr>
            <w:tcW w:w="9214" w:type="dxa"/>
            <w:gridSpan w:val="2"/>
            <w:tcBorders>
              <w:top w:val="single" w:sz="4" w:space="0" w:color="auto"/>
              <w:bottom w:val="single" w:sz="4" w:space="0" w:color="auto"/>
            </w:tcBorders>
            <w:tcMar>
              <w:left w:w="0" w:type="dxa"/>
            </w:tcMar>
          </w:tcPr>
          <w:p w14:paraId="3D5ADAE4" w14:textId="2F60C31E" w:rsidR="00FE57F6" w:rsidRPr="00F24B71" w:rsidRDefault="00F24B71" w:rsidP="00C538FC">
            <w:pPr>
              <w:spacing w:before="160"/>
              <w:rPr>
                <w:b/>
                <w:bCs/>
                <w:sz w:val="26"/>
                <w:szCs w:val="26"/>
                <w:lang w:val="es-ES"/>
              </w:rPr>
            </w:pPr>
            <w:r w:rsidRPr="00F24B71">
              <w:rPr>
                <w:b/>
                <w:bCs/>
                <w:sz w:val="26"/>
                <w:szCs w:val="26"/>
                <w:lang w:val="es-ES"/>
              </w:rPr>
              <w:t>Objetivo</w:t>
            </w:r>
          </w:p>
          <w:p w14:paraId="3A5217EF" w14:textId="77777777" w:rsidR="00233FBD" w:rsidRPr="007B622E" w:rsidRDefault="00233FBD" w:rsidP="00233FBD">
            <w:pPr>
              <w:spacing w:after="120"/>
              <w:rPr>
                <w:rFonts w:asciiTheme="minorHAnsi" w:hAnsiTheme="minorHAnsi" w:cstheme="minorHAnsi"/>
                <w:szCs w:val="24"/>
                <w:lang w:val="es-ES"/>
              </w:rPr>
            </w:pPr>
            <w:r w:rsidRPr="007B622E">
              <w:rPr>
                <w:rFonts w:asciiTheme="minorHAnsi" w:hAnsiTheme="minorHAnsi" w:cstheme="minorHAnsi"/>
                <w:szCs w:val="24"/>
                <w:lang w:val="es-ES"/>
              </w:rPr>
              <w:t xml:space="preserve">El presente documento informa al Consejo sobre la invitación recibida por parte del Ministerio de Desarrollo Digital y Transporte de la República de Azerbaiyán para acoger la Conferencia Mundial de Desarrollo de las Telecomunicaciones de 2025 (CMDT-25) en Bakú, con fecha de lunes 17 de noviembre a viernes 28 de noviembre de 2025. De igual forma incluye el punto del orden del día propuesto. </w:t>
            </w:r>
          </w:p>
          <w:p w14:paraId="0A0ADBF5" w14:textId="77777777" w:rsidR="00233FBD" w:rsidRDefault="00233FBD" w:rsidP="00233FBD">
            <w:pPr>
              <w:spacing w:before="160"/>
              <w:rPr>
                <w:rFonts w:asciiTheme="minorHAnsi" w:hAnsiTheme="minorHAnsi" w:cstheme="minorHAnsi"/>
                <w:szCs w:val="24"/>
                <w:lang w:val="es-ES"/>
              </w:rPr>
            </w:pPr>
            <w:r w:rsidRPr="007B622E">
              <w:rPr>
                <w:rFonts w:asciiTheme="minorHAnsi" w:hAnsiTheme="minorHAnsi" w:cstheme="minorHAnsi"/>
                <w:szCs w:val="24"/>
                <w:lang w:val="es-ES"/>
              </w:rPr>
              <w:t xml:space="preserve">De conformidad con el número 42 y el número 212 del Convenio de la UIT, se invitará al Consejo a fijar el lugar y las fechas preciosas de la siguiente Conferencia Mundial de Desarrollo de las Telecomunicaciones (CMDT) y a consentir el proyecto de orden del día con la aprobación de la mayoría de los Estados Miembros. </w:t>
            </w:r>
          </w:p>
          <w:p w14:paraId="5D1C98A4" w14:textId="27051BDE" w:rsidR="00FE57F6" w:rsidRPr="00F24B71" w:rsidRDefault="00F24B71" w:rsidP="00233FBD">
            <w:pPr>
              <w:spacing w:before="160"/>
              <w:rPr>
                <w:b/>
                <w:bCs/>
                <w:sz w:val="26"/>
                <w:szCs w:val="26"/>
                <w:lang w:val="es-ES"/>
              </w:rPr>
            </w:pPr>
            <w:r w:rsidRPr="00F24B71">
              <w:rPr>
                <w:b/>
                <w:bCs/>
                <w:sz w:val="26"/>
                <w:szCs w:val="26"/>
                <w:lang w:val="es-ES"/>
              </w:rPr>
              <w:t xml:space="preserve">Acción solicitada </w:t>
            </w:r>
            <w:r w:rsidR="00677A97">
              <w:rPr>
                <w:b/>
                <w:bCs/>
                <w:sz w:val="26"/>
                <w:szCs w:val="26"/>
                <w:lang w:val="es-ES"/>
              </w:rPr>
              <w:t>al</w:t>
            </w:r>
            <w:r w:rsidRPr="00F24B71">
              <w:rPr>
                <w:b/>
                <w:bCs/>
                <w:sz w:val="26"/>
                <w:szCs w:val="26"/>
                <w:lang w:val="es-ES"/>
              </w:rPr>
              <w:t xml:space="preserve"> Consejo</w:t>
            </w:r>
          </w:p>
          <w:p w14:paraId="74532D76" w14:textId="77777777" w:rsidR="00233FBD" w:rsidRPr="007B622E" w:rsidRDefault="00233FBD" w:rsidP="00233FBD">
            <w:pPr>
              <w:pStyle w:val="Index1"/>
              <w:rPr>
                <w:rFonts w:cs="Calibri"/>
                <w:szCs w:val="24"/>
                <w:lang w:val="es-ES" w:eastAsia="zh-CN"/>
              </w:rPr>
            </w:pPr>
            <w:r w:rsidRPr="007B622E">
              <w:rPr>
                <w:rFonts w:cs="Calibri"/>
                <w:szCs w:val="24"/>
                <w:lang w:val="es-ES" w:eastAsia="zh-CN"/>
              </w:rPr>
              <w:t xml:space="preserve">Se invita al Consejo: </w:t>
            </w:r>
          </w:p>
          <w:p w14:paraId="3604048C" w14:textId="64F75249" w:rsidR="00233FBD" w:rsidRPr="007B622E" w:rsidRDefault="00233FBD" w:rsidP="00233FBD">
            <w:pPr>
              <w:pStyle w:val="enumlev1"/>
              <w:rPr>
                <w:lang w:val="es-ES"/>
              </w:rPr>
            </w:pPr>
            <w:r>
              <w:rPr>
                <w:lang w:val="es-ES"/>
              </w:rPr>
              <w:sym w:font="Symbol" w:char="F0B7"/>
            </w:r>
            <w:r>
              <w:rPr>
                <w:lang w:val="es-ES"/>
              </w:rPr>
              <w:tab/>
            </w:r>
            <w:r w:rsidRPr="007B622E">
              <w:rPr>
                <w:lang w:val="es-ES"/>
              </w:rPr>
              <w:t xml:space="preserve">a </w:t>
            </w:r>
            <w:r w:rsidRPr="007B622E">
              <w:rPr>
                <w:b/>
                <w:bCs/>
                <w:lang w:val="es-ES"/>
              </w:rPr>
              <w:t>decidir</w:t>
            </w:r>
            <w:r w:rsidRPr="007B622E">
              <w:rPr>
                <w:lang w:val="es-ES"/>
              </w:rPr>
              <w:t xml:space="preserve"> el lugar y las fechas exactas de la CMDT-25, a reserva de la aprobación de la mayoría de los Estados Miembros de la Unión y a </w:t>
            </w:r>
            <w:r w:rsidRPr="007B622E">
              <w:rPr>
                <w:b/>
                <w:bCs/>
                <w:lang w:val="es-ES"/>
              </w:rPr>
              <w:t>adoptar</w:t>
            </w:r>
            <w:r w:rsidRPr="007B622E">
              <w:rPr>
                <w:lang w:val="es-ES"/>
              </w:rPr>
              <w:t xml:space="preserve"> el proyecto de decisión que figura en el </w:t>
            </w:r>
            <w:hyperlink w:anchor="Annex2" w:history="1">
              <w:r w:rsidRPr="007B622E">
                <w:rPr>
                  <w:rStyle w:val="Hyperlink"/>
                  <w:b/>
                  <w:bCs/>
                  <w:lang w:val="es-ES"/>
                </w:rPr>
                <w:t>Anexo 2</w:t>
              </w:r>
            </w:hyperlink>
            <w:r w:rsidRPr="007B622E">
              <w:rPr>
                <w:lang w:val="es-ES"/>
              </w:rPr>
              <w:t xml:space="preserve"> a este documento; y </w:t>
            </w:r>
          </w:p>
          <w:p w14:paraId="532F524A" w14:textId="684F121D" w:rsidR="00233FBD" w:rsidRPr="007B622E" w:rsidRDefault="00233FBD" w:rsidP="00233FBD">
            <w:pPr>
              <w:pStyle w:val="enumlev1"/>
              <w:rPr>
                <w:lang w:val="es-ES"/>
              </w:rPr>
            </w:pPr>
            <w:r>
              <w:rPr>
                <w:lang w:val="es-ES"/>
              </w:rPr>
              <w:sym w:font="Symbol" w:char="F0B7"/>
            </w:r>
            <w:r>
              <w:rPr>
                <w:lang w:val="es-ES"/>
              </w:rPr>
              <w:tab/>
            </w:r>
            <w:r w:rsidRPr="007B622E">
              <w:rPr>
                <w:lang w:val="es-ES"/>
              </w:rPr>
              <w:t xml:space="preserve">a aprobar el Proyecto de orden del día de la CMDT-25 que figura en el </w:t>
            </w:r>
            <w:hyperlink w:anchor="Annex3" w:history="1">
              <w:r w:rsidRPr="007B622E">
                <w:rPr>
                  <w:rStyle w:val="Hyperlink"/>
                  <w:lang w:val="es-ES"/>
                </w:rPr>
                <w:t>Anexo 3</w:t>
              </w:r>
            </w:hyperlink>
            <w:r w:rsidRPr="007B622E">
              <w:rPr>
                <w:lang w:val="es-ES"/>
              </w:rPr>
              <w:t xml:space="preserve">, a reserva de la aprobación de la mayoría de los Estados Miembros de la Unión. </w:t>
            </w:r>
          </w:p>
          <w:p w14:paraId="29ECF93D" w14:textId="77777777" w:rsidR="00FE57F6" w:rsidRPr="00F24B71" w:rsidRDefault="00F24B71" w:rsidP="00C538FC">
            <w:pPr>
              <w:spacing w:before="160"/>
              <w:rPr>
                <w:b/>
                <w:bCs/>
                <w:sz w:val="26"/>
                <w:szCs w:val="26"/>
                <w:lang w:val="es-ES"/>
              </w:rPr>
            </w:pPr>
            <w:r w:rsidRPr="00F24B71">
              <w:rPr>
                <w:b/>
                <w:bCs/>
                <w:sz w:val="26"/>
                <w:szCs w:val="26"/>
                <w:lang w:val="es-ES"/>
              </w:rPr>
              <w:t>Vínculos pertinentes con el Plan Estratégico</w:t>
            </w:r>
          </w:p>
          <w:p w14:paraId="12BA6689" w14:textId="77777777" w:rsidR="00233FBD" w:rsidRPr="007B622E" w:rsidRDefault="00233FBD" w:rsidP="00233FBD">
            <w:pPr>
              <w:rPr>
                <w:lang w:val="es-ES"/>
              </w:rPr>
            </w:pPr>
            <w:r w:rsidRPr="007B622E">
              <w:rPr>
                <w:lang w:val="es-ES"/>
              </w:rPr>
              <w:t>Impulso de los Miembros; Plataforma de convocación.</w:t>
            </w:r>
          </w:p>
          <w:p w14:paraId="086B6CFB" w14:textId="0F40B320" w:rsidR="00D43B85" w:rsidRDefault="00F24B71" w:rsidP="00C538FC">
            <w:pPr>
              <w:spacing w:before="160"/>
              <w:rPr>
                <w:b/>
                <w:bCs/>
                <w:sz w:val="26"/>
                <w:szCs w:val="26"/>
              </w:rPr>
            </w:pPr>
            <w:r w:rsidRPr="00F24B71">
              <w:rPr>
                <w:b/>
                <w:bCs/>
                <w:sz w:val="26"/>
                <w:szCs w:val="26"/>
              </w:rPr>
              <w:t>Repercusiones financieras</w:t>
            </w:r>
          </w:p>
          <w:p w14:paraId="570AED91" w14:textId="4F00522F" w:rsidR="00FE57F6" w:rsidRPr="00D43B85" w:rsidRDefault="00233FBD" w:rsidP="00324DA3">
            <w:pPr>
              <w:rPr>
                <w:b/>
                <w:bCs/>
                <w:szCs w:val="24"/>
              </w:rPr>
            </w:pPr>
            <w:r w:rsidRPr="007B622E">
              <w:rPr>
                <w:lang w:val="es-ES"/>
              </w:rPr>
              <w:t>Se ejecutará dentro del presupuesto asignado para 2024-2025.</w:t>
            </w:r>
          </w:p>
          <w:p w14:paraId="5948AA98" w14:textId="77777777" w:rsidR="00FE57F6" w:rsidRPr="00813E5E" w:rsidRDefault="00FE57F6" w:rsidP="00324DA3">
            <w:pPr>
              <w:rPr>
                <w:caps/>
                <w:sz w:val="22"/>
              </w:rPr>
            </w:pPr>
            <w:r w:rsidRPr="00813E5E">
              <w:rPr>
                <w:sz w:val="22"/>
              </w:rPr>
              <w:t>____________</w:t>
            </w:r>
            <w:r>
              <w:rPr>
                <w:sz w:val="22"/>
              </w:rPr>
              <w:t>______</w:t>
            </w:r>
          </w:p>
          <w:p w14:paraId="53C56EAC" w14:textId="49991881" w:rsidR="00FE57F6" w:rsidRDefault="00F24B71" w:rsidP="00324DA3">
            <w:pPr>
              <w:spacing w:before="240" w:after="120"/>
              <w:rPr>
                <w:b/>
                <w:bCs/>
                <w:sz w:val="26"/>
                <w:szCs w:val="26"/>
              </w:rPr>
            </w:pPr>
            <w:r w:rsidRPr="00F24B71">
              <w:rPr>
                <w:b/>
                <w:bCs/>
                <w:sz w:val="26"/>
                <w:szCs w:val="26"/>
              </w:rPr>
              <w:t>Referencia</w:t>
            </w:r>
            <w:r w:rsidR="00233FBD">
              <w:rPr>
                <w:b/>
                <w:bCs/>
                <w:sz w:val="26"/>
                <w:szCs w:val="26"/>
              </w:rPr>
              <w:t>s</w:t>
            </w:r>
          </w:p>
          <w:p w14:paraId="58339413" w14:textId="1EA32664" w:rsidR="00FE57F6" w:rsidRPr="00324DA3" w:rsidRDefault="00324DA3" w:rsidP="00C538FC">
            <w:pPr>
              <w:spacing w:after="160"/>
              <w:rPr>
                <w:sz w:val="22"/>
                <w:szCs w:val="22"/>
              </w:rPr>
            </w:pPr>
            <w:hyperlink r:id="rId7" w:history="1">
              <w:r w:rsidR="00233FBD" w:rsidRPr="00324DA3">
                <w:rPr>
                  <w:rStyle w:val="Hyperlink"/>
                  <w:i/>
                  <w:iCs/>
                  <w:sz w:val="22"/>
                  <w:szCs w:val="22"/>
                  <w:lang w:val="es-ES"/>
                </w:rPr>
                <w:t>Número 141 de la Constitución de la UIT</w:t>
              </w:r>
            </w:hyperlink>
            <w:r w:rsidR="00233FBD" w:rsidRPr="00324DA3">
              <w:rPr>
                <w:i/>
                <w:iCs/>
                <w:sz w:val="22"/>
                <w:szCs w:val="22"/>
                <w:lang w:val="es-ES"/>
              </w:rPr>
              <w:t xml:space="preserve">; </w:t>
            </w:r>
            <w:hyperlink r:id="rId8" w:history="1">
              <w:r w:rsidR="00233FBD" w:rsidRPr="00324DA3">
                <w:rPr>
                  <w:rStyle w:val="Hyperlink"/>
                  <w:i/>
                  <w:iCs/>
                  <w:sz w:val="22"/>
                  <w:szCs w:val="22"/>
                  <w:lang w:val="es-ES"/>
                </w:rPr>
                <w:t>Número 42 del Convenio de la UIT</w:t>
              </w:r>
            </w:hyperlink>
            <w:r w:rsidR="00233FBD" w:rsidRPr="00324DA3">
              <w:rPr>
                <w:rStyle w:val="Hyperlink"/>
                <w:i/>
                <w:iCs/>
                <w:sz w:val="22"/>
                <w:szCs w:val="22"/>
                <w:lang w:val="es-ES"/>
              </w:rPr>
              <w:t xml:space="preserve">; </w:t>
            </w:r>
            <w:hyperlink r:id="rId9" w:history="1">
              <w:r w:rsidR="00233FBD" w:rsidRPr="00324DA3">
                <w:rPr>
                  <w:rStyle w:val="Hyperlink"/>
                  <w:i/>
                  <w:iCs/>
                  <w:sz w:val="22"/>
                  <w:szCs w:val="22"/>
                  <w:lang w:val="es-ES"/>
                </w:rPr>
                <w:t>Capítulo I del Reglamento General de las conferencias, asambleas y reuniones de la Unión</w:t>
              </w:r>
            </w:hyperlink>
            <w:r w:rsidR="00233FBD" w:rsidRPr="00324DA3">
              <w:rPr>
                <w:rStyle w:val="Hyperlink"/>
                <w:i/>
                <w:iCs/>
                <w:sz w:val="22"/>
                <w:szCs w:val="22"/>
                <w:lang w:val="es-ES"/>
              </w:rPr>
              <w:t>;</w:t>
            </w:r>
            <w:r w:rsidR="00233FBD" w:rsidRPr="00324DA3">
              <w:rPr>
                <w:i/>
                <w:iCs/>
                <w:sz w:val="22"/>
                <w:szCs w:val="22"/>
                <w:lang w:val="es-ES"/>
              </w:rPr>
              <w:t xml:space="preserve"> </w:t>
            </w:r>
            <w:hyperlink r:id="rId10" w:history="1">
              <w:r w:rsidR="00233FBD" w:rsidRPr="00324DA3">
                <w:rPr>
                  <w:rStyle w:val="Hyperlink"/>
                  <w:i/>
                  <w:iCs/>
                  <w:sz w:val="22"/>
                  <w:szCs w:val="22"/>
                  <w:lang w:val="es-ES"/>
                </w:rPr>
                <w:t>Resolución 77 (Rev. Bucarest, 2022)</w:t>
              </w:r>
            </w:hyperlink>
            <w:r w:rsidR="00233FBD" w:rsidRPr="00324DA3">
              <w:rPr>
                <w:i/>
                <w:iCs/>
                <w:sz w:val="22"/>
                <w:szCs w:val="22"/>
                <w:lang w:val="es-ES"/>
              </w:rPr>
              <w:t xml:space="preserve"> y </w:t>
            </w:r>
            <w:hyperlink r:id="rId11" w:history="1">
              <w:r w:rsidR="00233FBD" w:rsidRPr="00324DA3">
                <w:rPr>
                  <w:rStyle w:val="Hyperlink"/>
                  <w:i/>
                  <w:iCs/>
                  <w:sz w:val="22"/>
                  <w:szCs w:val="22"/>
                  <w:lang w:val="es-ES"/>
                </w:rPr>
                <w:t xml:space="preserve">Resolución 111 (Rev. </w:t>
              </w:r>
              <w:proofErr w:type="spellStart"/>
              <w:r w:rsidR="00233FBD" w:rsidRPr="00324DA3">
                <w:rPr>
                  <w:rStyle w:val="Hyperlink"/>
                  <w:i/>
                  <w:iCs/>
                  <w:sz w:val="22"/>
                  <w:szCs w:val="22"/>
                  <w:lang w:val="es-ES"/>
                </w:rPr>
                <w:t>Busán</w:t>
              </w:r>
              <w:proofErr w:type="spellEnd"/>
              <w:r w:rsidR="00233FBD" w:rsidRPr="00324DA3">
                <w:rPr>
                  <w:rStyle w:val="Hyperlink"/>
                  <w:i/>
                  <w:iCs/>
                  <w:sz w:val="22"/>
                  <w:szCs w:val="22"/>
                  <w:lang w:val="es-ES"/>
                </w:rPr>
                <w:t>, 2014)</w:t>
              </w:r>
            </w:hyperlink>
            <w:r w:rsidR="00233FBD" w:rsidRPr="00324DA3">
              <w:rPr>
                <w:rStyle w:val="Hyperlink"/>
                <w:i/>
                <w:iCs/>
                <w:sz w:val="22"/>
                <w:szCs w:val="22"/>
                <w:lang w:val="es-ES"/>
              </w:rPr>
              <w:t xml:space="preserve"> de la Conferencia de Plenipotenciarios; Carta Circular </w:t>
            </w:r>
            <w:hyperlink r:id="rId12" w:history="1">
              <w:r w:rsidR="00233FBD" w:rsidRPr="00324DA3">
                <w:rPr>
                  <w:rStyle w:val="Hyperlink"/>
                  <w:i/>
                  <w:iCs/>
                  <w:sz w:val="22"/>
                  <w:szCs w:val="22"/>
                  <w:lang w:val="es-ES"/>
                </w:rPr>
                <w:t>CL-23/51</w:t>
              </w:r>
            </w:hyperlink>
          </w:p>
        </w:tc>
      </w:tr>
      <w:bookmarkEnd w:id="0"/>
    </w:tbl>
    <w:p w14:paraId="44179D23" w14:textId="77777777" w:rsidR="001559F5" w:rsidRPr="00324DA3" w:rsidRDefault="001559F5">
      <w:pPr>
        <w:tabs>
          <w:tab w:val="clear" w:pos="567"/>
          <w:tab w:val="clear" w:pos="1134"/>
          <w:tab w:val="clear" w:pos="1701"/>
          <w:tab w:val="clear" w:pos="2268"/>
          <w:tab w:val="clear" w:pos="2835"/>
        </w:tabs>
        <w:overflowPunct/>
        <w:autoSpaceDE/>
        <w:autoSpaceDN/>
        <w:adjustRightInd/>
        <w:spacing w:before="0"/>
        <w:textAlignment w:val="auto"/>
        <w:rPr>
          <w:sz w:val="12"/>
          <w:szCs w:val="12"/>
        </w:rPr>
      </w:pPr>
      <w:r w:rsidRPr="00324DA3">
        <w:rPr>
          <w:sz w:val="12"/>
          <w:szCs w:val="12"/>
        </w:rPr>
        <w:br w:type="page"/>
      </w:r>
    </w:p>
    <w:p w14:paraId="67CD111B" w14:textId="5D96C3C2" w:rsidR="00DD0DC3" w:rsidRPr="007B622E" w:rsidRDefault="00DD0DC3" w:rsidP="00E91EF7">
      <w:pPr>
        <w:pStyle w:val="Heading1"/>
        <w:rPr>
          <w:lang w:val="es-ES"/>
        </w:rPr>
      </w:pPr>
      <w:r w:rsidRPr="007B622E">
        <w:rPr>
          <w:lang w:val="es-ES"/>
        </w:rPr>
        <w:lastRenderedPageBreak/>
        <w:t>1</w:t>
      </w:r>
      <w:r w:rsidRPr="007B622E">
        <w:rPr>
          <w:lang w:val="es-ES"/>
        </w:rPr>
        <w:tab/>
        <w:t>Antecedentes</w:t>
      </w:r>
    </w:p>
    <w:p w14:paraId="41163664" w14:textId="77777777" w:rsidR="00DD0DC3" w:rsidRPr="007B622E" w:rsidRDefault="00DD0DC3" w:rsidP="00E91EF7">
      <w:pPr>
        <w:rPr>
          <w:lang w:val="es-ES"/>
        </w:rPr>
      </w:pPr>
      <w:r w:rsidRPr="007B622E">
        <w:rPr>
          <w:lang w:val="es-ES"/>
        </w:rPr>
        <w:t>1.1</w:t>
      </w:r>
      <w:r w:rsidRPr="007B622E">
        <w:rPr>
          <w:lang w:val="es-ES"/>
        </w:rPr>
        <w:tab/>
        <w:t>En el número 141 de la Constitución de la UIT se estipula que normalmente se convocará una CMDT entre dos Conferencias de Plenipotenciarios.</w:t>
      </w:r>
    </w:p>
    <w:p w14:paraId="0C3169C1" w14:textId="77777777" w:rsidR="00DD0DC3" w:rsidRPr="007B622E" w:rsidRDefault="00DD0DC3" w:rsidP="00E91EF7">
      <w:pPr>
        <w:rPr>
          <w:lang w:val="es-ES"/>
        </w:rPr>
      </w:pPr>
      <w:r w:rsidRPr="007B622E">
        <w:rPr>
          <w:lang w:val="es-ES"/>
        </w:rPr>
        <w:t>1.2</w:t>
      </w:r>
      <w:r w:rsidRPr="007B622E">
        <w:rPr>
          <w:lang w:val="es-ES"/>
        </w:rPr>
        <w:tab/>
        <w:t xml:space="preserve">En la Resolución 77 (Rev. Bucarest, 2022) de la Conferencia de Plenipotenciarios se resuelve de la CMDT-25 se celebre durante el último trimestre de 2025 en Bangkok, Tailandia. </w:t>
      </w:r>
    </w:p>
    <w:p w14:paraId="5EB2D945" w14:textId="77777777" w:rsidR="00DD0DC3" w:rsidRPr="007B622E" w:rsidRDefault="00DD0DC3" w:rsidP="00E91EF7">
      <w:pPr>
        <w:rPr>
          <w:lang w:val="es-ES"/>
        </w:rPr>
      </w:pPr>
      <w:r w:rsidRPr="007B622E">
        <w:rPr>
          <w:lang w:val="es-ES"/>
        </w:rPr>
        <w:t>1.3</w:t>
      </w:r>
      <w:r w:rsidRPr="007B622E">
        <w:rPr>
          <w:lang w:val="es-ES"/>
        </w:rPr>
        <w:tab/>
        <w:t xml:space="preserve">En la Resolución 111 (Rev. </w:t>
      </w:r>
      <w:proofErr w:type="spellStart"/>
      <w:r w:rsidRPr="007B622E">
        <w:rPr>
          <w:lang w:val="es-ES"/>
        </w:rPr>
        <w:t>Busán</w:t>
      </w:r>
      <w:proofErr w:type="spellEnd"/>
      <w:r w:rsidRPr="007B622E">
        <w:rPr>
          <w:lang w:val="es-ES"/>
        </w:rPr>
        <w:t>, 2014) de la Conferencia de Plenipotenciarios se resuelve que la Unión y sus Estados Miembros hagan todo lo posible, con los medios disponibles, por evitar que el periodo planificado de conferencias o asambleas de la UIT coincida con un periodo considerado como religioso importante para un Estado Miembro.</w:t>
      </w:r>
    </w:p>
    <w:p w14:paraId="0E4602D6" w14:textId="09FCC69E" w:rsidR="00DD0DC3" w:rsidRPr="007B622E" w:rsidRDefault="00DD0DC3" w:rsidP="00E91EF7">
      <w:pPr>
        <w:rPr>
          <w:lang w:val="es-ES"/>
        </w:rPr>
      </w:pPr>
      <w:bookmarkStart w:id="1" w:name="OLE_LINK6"/>
      <w:bookmarkStart w:id="2" w:name="OLE_LINK5"/>
      <w:r w:rsidRPr="007B622E">
        <w:rPr>
          <w:lang w:val="es-ES"/>
        </w:rPr>
        <w:t>1.4</w:t>
      </w:r>
      <w:r w:rsidRPr="007B622E">
        <w:rPr>
          <w:lang w:val="es-ES"/>
        </w:rPr>
        <w:tab/>
        <w:t xml:space="preserve">En el número 42 del Convenio y el Capítulo I del Reglamento General de las conferencias, asambleas y reuniones de la Unión se exige que, en ausencia de una decisión de la Conferencia de Plenipotenciarios en ese sentido, sea el Consejo de la UIT el que, con la aprobación de la mayoría de los Estados Miembros, determine las fechas exactas y el lugar en que se celebrará una CMDT. </w:t>
      </w:r>
    </w:p>
    <w:p w14:paraId="2EE78C42" w14:textId="77777777" w:rsidR="00DD0DC3" w:rsidRPr="007B622E" w:rsidRDefault="00DD0DC3" w:rsidP="00E91EF7">
      <w:pPr>
        <w:rPr>
          <w:lang w:val="es-ES"/>
        </w:rPr>
      </w:pPr>
      <w:r w:rsidRPr="007B622E">
        <w:rPr>
          <w:szCs w:val="24"/>
          <w:lang w:val="es-ES"/>
        </w:rPr>
        <w:t>1.5.</w:t>
      </w:r>
      <w:r w:rsidRPr="007B622E">
        <w:rPr>
          <w:szCs w:val="24"/>
          <w:lang w:val="es-ES"/>
        </w:rPr>
        <w:tab/>
      </w:r>
      <w:r w:rsidRPr="007B622E">
        <w:rPr>
          <w:lang w:val="es-ES"/>
        </w:rPr>
        <w:t xml:space="preserve">El 7 de diciembre de 2023, la Oficina de la Comisión Nacional de Radiodifusión y Telecomunicaciones informó oficialmente a la Secretaria General de que, debido a circunstancias imprevistas, Tailandia no podrá acoger la Conferencia. Por consiguiente, a través de la </w:t>
      </w:r>
      <w:hyperlink r:id="rId13" w:history="1">
        <w:r w:rsidRPr="007B622E">
          <w:rPr>
            <w:rStyle w:val="Hyperlink"/>
            <w:lang w:val="es-ES"/>
          </w:rPr>
          <w:t>CL23/51</w:t>
        </w:r>
      </w:hyperlink>
      <w:r w:rsidRPr="007B622E">
        <w:rPr>
          <w:lang w:val="es-ES"/>
        </w:rPr>
        <w:t>, la Secretaria General invitó a los Estados Miembros que estuvieran interesados en acoger la CMDT-25 a que le informaran al respecto.</w:t>
      </w:r>
    </w:p>
    <w:p w14:paraId="03FC8284" w14:textId="77777777" w:rsidR="00DD0DC3" w:rsidRPr="007B622E" w:rsidRDefault="00DD0DC3" w:rsidP="00E91EF7">
      <w:pPr>
        <w:rPr>
          <w:lang w:val="es-ES"/>
        </w:rPr>
      </w:pPr>
      <w:r w:rsidRPr="007B622E">
        <w:rPr>
          <w:lang w:val="es-ES"/>
        </w:rPr>
        <w:t>1.6</w:t>
      </w:r>
      <w:r w:rsidRPr="007B622E">
        <w:rPr>
          <w:lang w:val="es-ES"/>
        </w:rPr>
        <w:tab/>
      </w:r>
      <w:r w:rsidRPr="007B622E">
        <w:rPr>
          <w:szCs w:val="24"/>
          <w:lang w:val="es-ES"/>
        </w:rPr>
        <w:t xml:space="preserve">El 15 de marzo de 2024, la Secretaria General de la UIT recibió una invitación del Gobierno de la República de Azerbaiyán. Tras los intercambios con el Director de la BDT, el Ministro de Desarrollo Digital y Transporte ha confirmado en una carta, de fecha 3 de abril de 2024 su intención de acoger la conferencia en Bakú, a finales de noviembre de 2025. En una carta de seguimiento, de fecha 26 de abril de 2024, se propuso el periodo comprendido entre el 17 y el 28 de noviembre de 2025 (véase el </w:t>
      </w:r>
      <w:hyperlink w:anchor="Annex1" w:history="1">
        <w:r w:rsidRPr="007B622E">
          <w:rPr>
            <w:rStyle w:val="Hyperlink"/>
            <w:szCs w:val="24"/>
            <w:lang w:val="es-ES"/>
          </w:rPr>
          <w:t>Anexo 1</w:t>
        </w:r>
      </w:hyperlink>
      <w:r w:rsidRPr="007B622E">
        <w:rPr>
          <w:szCs w:val="24"/>
          <w:lang w:val="es-ES"/>
        </w:rPr>
        <w:t>).</w:t>
      </w:r>
    </w:p>
    <w:bookmarkEnd w:id="1"/>
    <w:bookmarkEnd w:id="2"/>
    <w:p w14:paraId="0927C0D2" w14:textId="77777777" w:rsidR="00DD0DC3" w:rsidRPr="007B622E" w:rsidRDefault="00DD0DC3" w:rsidP="00E91EF7">
      <w:pPr>
        <w:rPr>
          <w:lang w:val="es-ES"/>
        </w:rPr>
      </w:pPr>
      <w:r w:rsidRPr="007B622E">
        <w:rPr>
          <w:szCs w:val="24"/>
          <w:lang w:val="es-ES"/>
        </w:rPr>
        <w:t>1.8</w:t>
      </w:r>
      <w:r w:rsidRPr="007B622E">
        <w:rPr>
          <w:szCs w:val="24"/>
          <w:lang w:val="es-ES"/>
        </w:rPr>
        <w:tab/>
      </w:r>
      <w:r w:rsidRPr="007B622E">
        <w:rPr>
          <w:lang w:val="es-ES"/>
        </w:rPr>
        <w:t xml:space="preserve">En el </w:t>
      </w:r>
      <w:hyperlink w:anchor="Annex3" w:history="1">
        <w:r w:rsidRPr="007B622E">
          <w:rPr>
            <w:rStyle w:val="Hyperlink"/>
            <w:lang w:val="es-ES"/>
          </w:rPr>
          <w:t>Anexo 3</w:t>
        </w:r>
      </w:hyperlink>
      <w:r w:rsidRPr="007B622E">
        <w:rPr>
          <w:lang w:val="es-ES"/>
        </w:rPr>
        <w:t xml:space="preserve"> se presenta un proyecto de orden del día de la próxima CMDT-25 para su aprobación por el Consejo, previo acuerdo de la mayoría de los Estados Miembros de la Unión.</w:t>
      </w:r>
    </w:p>
    <w:p w14:paraId="551CFAF9" w14:textId="77777777" w:rsidR="00DD0DC3" w:rsidRPr="007B622E" w:rsidRDefault="00DD0DC3" w:rsidP="00E91EF7">
      <w:pPr>
        <w:rPr>
          <w:szCs w:val="24"/>
          <w:lang w:val="es-ES"/>
        </w:rPr>
      </w:pPr>
      <w:r w:rsidRPr="007B622E">
        <w:rPr>
          <w:szCs w:val="24"/>
          <w:lang w:val="es-ES"/>
        </w:rPr>
        <w:t>1.9</w:t>
      </w:r>
      <w:r w:rsidRPr="007B622E">
        <w:rPr>
          <w:szCs w:val="24"/>
          <w:lang w:val="es-ES"/>
        </w:rPr>
        <w:tab/>
        <w:t>El proyecto de orden del día se presenta al Grupo Asesor de Desarrollo de las Telecomunicaciones (GADT) (20-</w:t>
      </w:r>
      <w:r w:rsidRPr="00E91EF7">
        <w:rPr>
          <w:lang w:val="es-ES"/>
        </w:rPr>
        <w:t>23</w:t>
      </w:r>
      <w:r w:rsidRPr="007B622E">
        <w:rPr>
          <w:szCs w:val="24"/>
          <w:lang w:val="es-ES"/>
        </w:rPr>
        <w:t xml:space="preserve"> de mayo de 2024) para su debate y aprobación. Después del GADT podría presentarse al Consejo una versión revisada.</w:t>
      </w:r>
    </w:p>
    <w:p w14:paraId="53D5159F" w14:textId="7659033C" w:rsidR="00DD0DC3" w:rsidRPr="007B622E" w:rsidRDefault="00DD0DC3" w:rsidP="00E91EF7">
      <w:pPr>
        <w:pStyle w:val="Heading1"/>
        <w:rPr>
          <w:b w:val="0"/>
          <w:bCs/>
          <w:szCs w:val="24"/>
          <w:lang w:val="es-ES"/>
        </w:rPr>
      </w:pPr>
      <w:r w:rsidRPr="00E91EF7">
        <w:rPr>
          <w:lang w:val="es-ES"/>
        </w:rPr>
        <w:t>2</w:t>
      </w:r>
      <w:r w:rsidRPr="00E91EF7">
        <w:rPr>
          <w:lang w:val="es-ES"/>
        </w:rPr>
        <w:tab/>
        <w:t>Propuesta</w:t>
      </w:r>
    </w:p>
    <w:p w14:paraId="30AB5592" w14:textId="77777777" w:rsidR="00DD0DC3" w:rsidRPr="007B622E" w:rsidRDefault="00DD0DC3" w:rsidP="00E91EF7">
      <w:pPr>
        <w:rPr>
          <w:lang w:val="es-ES"/>
        </w:rPr>
      </w:pPr>
      <w:r w:rsidRPr="007B622E">
        <w:rPr>
          <w:lang w:val="es-ES"/>
        </w:rPr>
        <w:t>2.1</w:t>
      </w:r>
      <w:r w:rsidRPr="007B622E">
        <w:rPr>
          <w:lang w:val="es-ES"/>
        </w:rPr>
        <w:tab/>
        <w:t xml:space="preserve">Se </w:t>
      </w:r>
      <w:r w:rsidRPr="00E91EF7">
        <w:rPr>
          <w:szCs w:val="24"/>
          <w:lang w:val="es-ES"/>
        </w:rPr>
        <w:t>invita</w:t>
      </w:r>
      <w:r w:rsidRPr="007B622E">
        <w:rPr>
          <w:lang w:val="es-ES"/>
        </w:rPr>
        <w:t xml:space="preserve"> al Consejo:</w:t>
      </w:r>
    </w:p>
    <w:p w14:paraId="37FE8F97" w14:textId="161C93DE" w:rsidR="00DD0DC3" w:rsidRPr="007B622E" w:rsidRDefault="00E91EF7" w:rsidP="00E91EF7">
      <w:pPr>
        <w:pStyle w:val="enumlev1"/>
        <w:rPr>
          <w:lang w:val="es-ES"/>
        </w:rPr>
      </w:pPr>
      <w:r>
        <w:rPr>
          <w:lang w:val="es-ES"/>
        </w:rPr>
        <w:sym w:font="Symbol" w:char="F0B7"/>
      </w:r>
      <w:r>
        <w:rPr>
          <w:lang w:val="es-ES"/>
        </w:rPr>
        <w:tab/>
      </w:r>
      <w:r w:rsidR="00DD0DC3" w:rsidRPr="007B622E">
        <w:rPr>
          <w:lang w:val="es-ES"/>
        </w:rPr>
        <w:t xml:space="preserve">a considerar la invitación de la República de Azerbaiyán para celebrar la CMDT-25 en Bakú, Azerbaiyán del 17 al 28 de noviembre de 2025 y a adoptar el proyecto de Acuerdo que figura en el </w:t>
      </w:r>
      <w:hyperlink w:anchor="Annex2" w:history="1">
        <w:r w:rsidR="00DD0DC3" w:rsidRPr="007B622E">
          <w:rPr>
            <w:rStyle w:val="Hyperlink"/>
            <w:lang w:val="es-ES"/>
          </w:rPr>
          <w:t>Anexo 2</w:t>
        </w:r>
      </w:hyperlink>
      <w:r w:rsidR="00DD0DC3" w:rsidRPr="007B622E">
        <w:rPr>
          <w:lang w:val="es-ES"/>
        </w:rPr>
        <w:t xml:space="preserve">; y </w:t>
      </w:r>
    </w:p>
    <w:p w14:paraId="3BD76D9F" w14:textId="616163C5" w:rsidR="00DD0DC3" w:rsidRPr="007B622E" w:rsidRDefault="00E91EF7" w:rsidP="00E91EF7">
      <w:pPr>
        <w:pStyle w:val="enumlev1"/>
        <w:rPr>
          <w:szCs w:val="24"/>
          <w:lang w:val="es-ES"/>
        </w:rPr>
      </w:pPr>
      <w:r>
        <w:rPr>
          <w:lang w:val="es-ES"/>
        </w:rPr>
        <w:sym w:font="Symbol" w:char="F0B7"/>
      </w:r>
      <w:r>
        <w:rPr>
          <w:lang w:val="es-ES"/>
        </w:rPr>
        <w:tab/>
      </w:r>
      <w:r w:rsidR="00DD0DC3" w:rsidRPr="007B622E">
        <w:rPr>
          <w:szCs w:val="24"/>
          <w:lang w:val="es-ES"/>
        </w:rPr>
        <w:t xml:space="preserve">a aprobar el proyecto de orden del día de la CMDT-25 que figura en el </w:t>
      </w:r>
      <w:hyperlink w:anchor="Annex3" w:history="1">
        <w:r w:rsidR="00DD0DC3" w:rsidRPr="007B622E">
          <w:rPr>
            <w:rStyle w:val="Hyperlink"/>
            <w:szCs w:val="24"/>
            <w:lang w:val="es-ES"/>
          </w:rPr>
          <w:t>Anexo 3</w:t>
        </w:r>
      </w:hyperlink>
      <w:r w:rsidR="00DD0DC3" w:rsidRPr="007B622E">
        <w:rPr>
          <w:szCs w:val="24"/>
          <w:lang w:val="es-ES"/>
        </w:rPr>
        <w:t xml:space="preserve">. </w:t>
      </w:r>
    </w:p>
    <w:p w14:paraId="52953777" w14:textId="77777777" w:rsidR="00DD0DC3" w:rsidRPr="007B622E" w:rsidRDefault="00DD0DC3" w:rsidP="00E91EF7">
      <w:pPr>
        <w:keepNext/>
        <w:keepLines/>
        <w:rPr>
          <w:lang w:val="es-ES"/>
        </w:rPr>
      </w:pPr>
      <w:r w:rsidRPr="007B622E">
        <w:rPr>
          <w:lang w:val="es-ES"/>
        </w:rPr>
        <w:lastRenderedPageBreak/>
        <w:t>2.2</w:t>
      </w:r>
      <w:r w:rsidRPr="007B622E">
        <w:rPr>
          <w:lang w:val="es-ES"/>
        </w:rPr>
        <w:tab/>
        <w:t xml:space="preserve">A continuación, se iniciará una consulta de los Estados Miembros de la UIT para obtener su </w:t>
      </w:r>
      <w:r w:rsidRPr="00E91EF7">
        <w:rPr>
          <w:szCs w:val="24"/>
          <w:lang w:val="es-ES"/>
        </w:rPr>
        <w:t>acuerdo</w:t>
      </w:r>
      <w:r w:rsidRPr="007B622E">
        <w:rPr>
          <w:lang w:val="es-ES"/>
        </w:rPr>
        <w:t xml:space="preserve"> sobre el lugar preciso, las fechas exactas y el proyecto de orden del día, de conformidad con los números 42, 79 y 212 del Convenio de la UIT.</w:t>
      </w:r>
    </w:p>
    <w:p w14:paraId="417DADBE" w14:textId="77777777" w:rsidR="00DD0DC3" w:rsidRPr="007B622E" w:rsidRDefault="00DD0DC3" w:rsidP="00E91EF7">
      <w:pPr>
        <w:keepNext/>
        <w:keepLines/>
        <w:rPr>
          <w:lang w:val="es-ES"/>
        </w:rPr>
      </w:pPr>
      <w:r w:rsidRPr="007B622E">
        <w:rPr>
          <w:lang w:val="es-ES"/>
        </w:rPr>
        <w:t>2.3</w:t>
      </w:r>
      <w:r w:rsidRPr="007B622E">
        <w:rPr>
          <w:lang w:val="es-ES"/>
        </w:rPr>
        <w:tab/>
        <w:t>La secretaría llevará a cabo una misión para evaluar varios lugares de Bakú para la conferencia e informará en la próxima sesión del Consejo.</w:t>
      </w:r>
    </w:p>
    <w:p w14:paraId="0D7F1FE1" w14:textId="77777777" w:rsidR="00DD0DC3" w:rsidRPr="007B622E" w:rsidRDefault="00DD0DC3" w:rsidP="00DD0DC3">
      <w:pPr>
        <w:spacing w:before="360"/>
        <w:jc w:val="both"/>
        <w:rPr>
          <w:szCs w:val="24"/>
          <w:lang w:val="es-ES"/>
        </w:rPr>
      </w:pPr>
      <w:r w:rsidRPr="007B622E">
        <w:rPr>
          <w:b/>
          <w:bCs/>
          <w:i/>
          <w:iCs/>
          <w:szCs w:val="24"/>
          <w:lang w:val="es-ES"/>
        </w:rPr>
        <w:t>Anexos: 3</w:t>
      </w:r>
      <w:r w:rsidRPr="007B622E">
        <w:rPr>
          <w:szCs w:val="24"/>
          <w:lang w:val="es-ES"/>
        </w:rPr>
        <w:br w:type="page"/>
      </w:r>
    </w:p>
    <w:p w14:paraId="60F6A3A6" w14:textId="77777777" w:rsidR="00DD0DC3" w:rsidRPr="007B622E" w:rsidRDefault="00DD0DC3" w:rsidP="00DD0DC3">
      <w:pPr>
        <w:pStyle w:val="CEOMainDocParagraph"/>
        <w:spacing w:before="0"/>
        <w:jc w:val="center"/>
        <w:rPr>
          <w:sz w:val="28"/>
          <w:szCs w:val="28"/>
          <w:lang w:val="es-ES"/>
        </w:rPr>
        <w:sectPr w:rsidR="00DD0DC3" w:rsidRPr="007B622E" w:rsidSect="009B4C10">
          <w:footerReference w:type="default" r:id="rId14"/>
          <w:headerReference w:type="first" r:id="rId15"/>
          <w:footerReference w:type="first" r:id="rId16"/>
          <w:pgSz w:w="11907" w:h="16834"/>
          <w:pgMar w:top="1418" w:right="1418" w:bottom="1418" w:left="1418" w:header="720" w:footer="720" w:gutter="0"/>
          <w:paperSrc w:first="286" w:other="286"/>
          <w:cols w:space="720"/>
          <w:titlePg/>
        </w:sectPr>
      </w:pPr>
    </w:p>
    <w:p w14:paraId="70F0F7E2" w14:textId="77777777" w:rsidR="00DD0DC3" w:rsidRPr="007B622E" w:rsidRDefault="00DD0DC3" w:rsidP="00317451">
      <w:pPr>
        <w:pStyle w:val="AnnexNo"/>
        <w:rPr>
          <w:lang w:val="es-ES"/>
        </w:rPr>
      </w:pPr>
      <w:bookmarkStart w:id="3" w:name="Annex1"/>
      <w:r w:rsidRPr="007B622E">
        <w:rPr>
          <w:lang w:val="es-ES"/>
        </w:rPr>
        <w:lastRenderedPageBreak/>
        <w:t>ANEXO 1</w:t>
      </w:r>
      <w:bookmarkEnd w:id="3"/>
    </w:p>
    <w:p w14:paraId="67629E79" w14:textId="77777777" w:rsidR="00DD0DC3" w:rsidRPr="00317451" w:rsidRDefault="00DD0DC3" w:rsidP="00845302">
      <w:pPr>
        <w:pStyle w:val="Annextitle"/>
        <w:spacing w:before="120" w:after="120"/>
        <w:rPr>
          <w:b w:val="0"/>
          <w:bCs/>
          <w:lang w:val="es-ES"/>
        </w:rPr>
      </w:pPr>
      <w:r w:rsidRPr="00317451">
        <w:rPr>
          <w:b w:val="0"/>
          <w:bCs/>
          <w:lang w:val="es-ES"/>
        </w:rPr>
        <w:t>Ministerio de Desarrollo Digital</w:t>
      </w:r>
    </w:p>
    <w:p w14:paraId="4D666E15" w14:textId="77777777" w:rsidR="00DD0DC3" w:rsidRPr="00317451" w:rsidRDefault="00DD0DC3" w:rsidP="00845302">
      <w:pPr>
        <w:pStyle w:val="Annextitle"/>
        <w:spacing w:before="120" w:after="120"/>
        <w:rPr>
          <w:b w:val="0"/>
          <w:bCs/>
          <w:lang w:val="es-ES"/>
        </w:rPr>
      </w:pPr>
      <w:r w:rsidRPr="00317451">
        <w:rPr>
          <w:b w:val="0"/>
          <w:bCs/>
          <w:lang w:val="es-ES"/>
        </w:rPr>
        <w:t>y Transporte</w:t>
      </w:r>
    </w:p>
    <w:p w14:paraId="1D9BE5EA" w14:textId="4FCCDA43" w:rsidR="00DD0DC3" w:rsidRPr="00317451" w:rsidRDefault="00DD0DC3" w:rsidP="00845302">
      <w:pPr>
        <w:pStyle w:val="Annextitle"/>
        <w:spacing w:before="120" w:after="480"/>
        <w:rPr>
          <w:b w:val="0"/>
          <w:bCs/>
          <w:lang w:val="es-ES"/>
        </w:rPr>
      </w:pPr>
      <w:r w:rsidRPr="00317451">
        <w:rPr>
          <w:b w:val="0"/>
          <w:bCs/>
          <w:lang w:val="es-ES"/>
        </w:rPr>
        <w:t>de la República de Azerbaiyán</w:t>
      </w:r>
    </w:p>
    <w:tbl>
      <w:tblPr>
        <w:tblStyle w:val="TableGrid"/>
        <w:tblW w:w="9214" w:type="dxa"/>
        <w:tblLook w:val="04A0" w:firstRow="1" w:lastRow="0" w:firstColumn="1" w:lastColumn="0" w:noHBand="0" w:noVBand="1"/>
      </w:tblPr>
      <w:tblGrid>
        <w:gridCol w:w="4820"/>
        <w:gridCol w:w="4394"/>
      </w:tblGrid>
      <w:tr w:rsidR="00B70EAA" w14:paraId="406971F1" w14:textId="4A78DE03" w:rsidTr="003E20F9">
        <w:tc>
          <w:tcPr>
            <w:tcW w:w="4820" w:type="dxa"/>
            <w:tcBorders>
              <w:top w:val="nil"/>
              <w:left w:val="nil"/>
              <w:bottom w:val="nil"/>
              <w:right w:val="nil"/>
            </w:tcBorders>
          </w:tcPr>
          <w:p w14:paraId="02EC5AF1" w14:textId="1088C0C5" w:rsidR="00B70EAA" w:rsidRPr="00317451" w:rsidRDefault="00B70EAA" w:rsidP="00DD0DC3">
            <w:pPr>
              <w:tabs>
                <w:tab w:val="left" w:pos="5245"/>
              </w:tabs>
              <w:rPr>
                <w:u w:val="single"/>
                <w:lang w:val="es-ES"/>
              </w:rPr>
            </w:pPr>
            <w:r w:rsidRPr="00317451">
              <w:rPr>
                <w:u w:val="single"/>
                <w:lang w:val="es-ES"/>
              </w:rPr>
              <w:t>26.04.2024</w:t>
            </w:r>
          </w:p>
        </w:tc>
        <w:tc>
          <w:tcPr>
            <w:tcW w:w="4394" w:type="dxa"/>
            <w:tcBorders>
              <w:top w:val="nil"/>
              <w:left w:val="nil"/>
              <w:bottom w:val="nil"/>
              <w:right w:val="nil"/>
            </w:tcBorders>
          </w:tcPr>
          <w:p w14:paraId="19E9F0C2" w14:textId="20B1B45E" w:rsidR="00B70EAA" w:rsidRPr="00317451" w:rsidRDefault="00B70EAA" w:rsidP="00317451">
            <w:pPr>
              <w:tabs>
                <w:tab w:val="left" w:pos="5245"/>
              </w:tabs>
              <w:jc w:val="right"/>
              <w:rPr>
                <w:u w:val="single"/>
                <w:lang w:val="es-ES"/>
              </w:rPr>
            </w:pPr>
            <w:r w:rsidRPr="00317451">
              <w:rPr>
                <w:u w:val="single"/>
                <w:lang w:val="es-ES"/>
              </w:rPr>
              <w:t>3-27/2-2991/2024</w:t>
            </w:r>
          </w:p>
        </w:tc>
      </w:tr>
    </w:tbl>
    <w:p w14:paraId="49679569" w14:textId="77777777" w:rsidR="00DD0DC3" w:rsidRPr="007B622E" w:rsidRDefault="00DD0DC3" w:rsidP="00317451">
      <w:pPr>
        <w:spacing w:before="360"/>
        <w:rPr>
          <w:lang w:val="es-ES"/>
        </w:rPr>
      </w:pPr>
      <w:r w:rsidRPr="007B622E">
        <w:rPr>
          <w:lang w:val="es-ES"/>
        </w:rPr>
        <w:t>Excma. Sra. Doreen Bogdan-Martin</w:t>
      </w:r>
    </w:p>
    <w:p w14:paraId="25DBBEB4" w14:textId="77777777" w:rsidR="00DD0DC3" w:rsidRPr="007B622E" w:rsidRDefault="00DD0DC3" w:rsidP="00317451">
      <w:pPr>
        <w:spacing w:before="0"/>
        <w:rPr>
          <w:lang w:val="es-ES"/>
        </w:rPr>
      </w:pPr>
      <w:r w:rsidRPr="007B622E">
        <w:rPr>
          <w:lang w:val="es-ES"/>
        </w:rPr>
        <w:t>Secretaria General</w:t>
      </w:r>
    </w:p>
    <w:p w14:paraId="7A2FD15C" w14:textId="77777777" w:rsidR="00DD0DC3" w:rsidRPr="007B622E" w:rsidRDefault="00DD0DC3" w:rsidP="00317451">
      <w:pPr>
        <w:spacing w:before="0"/>
        <w:rPr>
          <w:lang w:val="es-ES"/>
        </w:rPr>
      </w:pPr>
      <w:r w:rsidRPr="007B622E">
        <w:rPr>
          <w:lang w:val="es-ES"/>
        </w:rPr>
        <w:t>Unión Internacional de Telecomunicaciones</w:t>
      </w:r>
    </w:p>
    <w:p w14:paraId="177FABB0" w14:textId="77777777" w:rsidR="00DD0DC3" w:rsidRPr="00070F9E" w:rsidRDefault="00DD0DC3" w:rsidP="00317451">
      <w:pPr>
        <w:spacing w:before="0"/>
        <w:rPr>
          <w:lang w:val="fr-FR"/>
        </w:rPr>
      </w:pPr>
      <w:r w:rsidRPr="00070F9E">
        <w:rPr>
          <w:lang w:val="fr-FR"/>
        </w:rPr>
        <w:t>Place des Nations</w:t>
      </w:r>
    </w:p>
    <w:p w14:paraId="17EA3CC2" w14:textId="77777777" w:rsidR="00DD0DC3" w:rsidRPr="00070F9E" w:rsidRDefault="00DD0DC3" w:rsidP="00317451">
      <w:pPr>
        <w:spacing w:before="0"/>
        <w:rPr>
          <w:lang w:val="fr-FR"/>
        </w:rPr>
      </w:pPr>
      <w:r w:rsidRPr="00070F9E">
        <w:rPr>
          <w:lang w:val="fr-FR"/>
        </w:rPr>
        <w:t>1211 Ginebra 20 Suiza</w:t>
      </w:r>
    </w:p>
    <w:p w14:paraId="10298C56" w14:textId="77777777" w:rsidR="00DD0DC3" w:rsidRPr="00070F9E" w:rsidRDefault="00DD0DC3" w:rsidP="00317451">
      <w:pPr>
        <w:spacing w:before="0"/>
        <w:rPr>
          <w:lang w:val="fr-FR"/>
        </w:rPr>
      </w:pPr>
      <w:r w:rsidRPr="00070F9E">
        <w:rPr>
          <w:lang w:val="fr-FR"/>
        </w:rPr>
        <w:t>Tel.: +41 22 730 5111</w:t>
      </w:r>
    </w:p>
    <w:p w14:paraId="11A443A8" w14:textId="5B3398DF" w:rsidR="00DD0DC3" w:rsidRPr="007B622E" w:rsidRDefault="00DD0DC3" w:rsidP="00317451">
      <w:pPr>
        <w:spacing w:before="360"/>
        <w:rPr>
          <w:lang w:val="es-ES"/>
        </w:rPr>
      </w:pPr>
      <w:r w:rsidRPr="007B622E">
        <w:rPr>
          <w:lang w:val="es-ES"/>
        </w:rPr>
        <w:t>Excelentísim</w:t>
      </w:r>
      <w:r w:rsidR="00317451">
        <w:rPr>
          <w:lang w:val="es-ES"/>
        </w:rPr>
        <w:t>a</w:t>
      </w:r>
      <w:r w:rsidRPr="007B622E">
        <w:rPr>
          <w:lang w:val="es-ES"/>
        </w:rPr>
        <w:t xml:space="preserve"> Señora,</w:t>
      </w:r>
    </w:p>
    <w:p w14:paraId="65C43628" w14:textId="77777777" w:rsidR="00DD0DC3" w:rsidRPr="007B622E" w:rsidRDefault="00DD0DC3" w:rsidP="00DD0DC3">
      <w:pPr>
        <w:rPr>
          <w:lang w:val="es-ES"/>
        </w:rPr>
      </w:pPr>
      <w:r w:rsidRPr="007B622E">
        <w:rPr>
          <w:lang w:val="es-ES"/>
        </w:rPr>
        <w:t>En nombre del Ministerio de Desarrollo Digital y Transporte de la República de Azerbaiyán y en el mío propio, quisiera transmitirle mis mejores felicitaciones.</w:t>
      </w:r>
    </w:p>
    <w:p w14:paraId="335E8A3A" w14:textId="77777777" w:rsidR="00DD0DC3" w:rsidRPr="007B622E" w:rsidRDefault="00DD0DC3" w:rsidP="00DD0DC3">
      <w:pPr>
        <w:rPr>
          <w:lang w:val="es-ES"/>
        </w:rPr>
      </w:pPr>
      <w:r w:rsidRPr="007B622E">
        <w:rPr>
          <w:lang w:val="es-ES"/>
        </w:rPr>
        <w:t>Me complace proponer la celebración de la próxima Conferencia Mundial de Desarrollo de las Telecomunicaciones (CMDT-2025) en Bakú (Azerbaiyán), del 17 al 28 de noviembre de 2025.</w:t>
      </w:r>
    </w:p>
    <w:p w14:paraId="4CE9A9E9" w14:textId="77777777" w:rsidR="00DD0DC3" w:rsidRPr="007B622E" w:rsidRDefault="00DD0DC3" w:rsidP="00DD0DC3">
      <w:pPr>
        <w:rPr>
          <w:lang w:val="es-ES"/>
        </w:rPr>
      </w:pPr>
      <w:r w:rsidRPr="007B622E">
        <w:rPr>
          <w:lang w:val="es-ES"/>
        </w:rPr>
        <w:t>Esperamos con impaciencia la oportunidad de dar la bienvenida a los delegados de los Miembros de la UIT a la CMDT-25 y colaborar para garantizar el éxito de la Conferencia.</w:t>
      </w:r>
    </w:p>
    <w:p w14:paraId="3B283D7D" w14:textId="77777777" w:rsidR="00DD0DC3" w:rsidRPr="007B622E" w:rsidRDefault="00DD0DC3" w:rsidP="00DD0DC3">
      <w:pPr>
        <w:rPr>
          <w:lang w:val="es-ES"/>
        </w:rPr>
      </w:pPr>
      <w:r w:rsidRPr="007B622E">
        <w:rPr>
          <w:lang w:val="es-ES"/>
        </w:rPr>
        <w:t>Le ruego acepte, Excelencia, el testimonio de mi más alta consideración.</w:t>
      </w:r>
    </w:p>
    <w:p w14:paraId="11CBC931" w14:textId="77777777" w:rsidR="00DD0DC3" w:rsidRPr="007B622E" w:rsidRDefault="00DD0DC3" w:rsidP="00317451">
      <w:pPr>
        <w:spacing w:before="360" w:after="120"/>
        <w:rPr>
          <w:lang w:val="es-ES"/>
        </w:rPr>
      </w:pPr>
      <w:r w:rsidRPr="007B622E">
        <w:rPr>
          <w:lang w:val="es-ES"/>
        </w:rPr>
        <w:t>Atentamente,</w:t>
      </w:r>
    </w:p>
    <w:p w14:paraId="51F21C0A" w14:textId="77777777" w:rsidR="00DD0DC3" w:rsidRPr="007B622E" w:rsidRDefault="00DD0DC3" w:rsidP="00317451">
      <w:pPr>
        <w:spacing w:before="360"/>
        <w:rPr>
          <w:lang w:val="es-ES"/>
        </w:rPr>
      </w:pPr>
      <w:r w:rsidRPr="007B622E">
        <w:rPr>
          <w:lang w:val="es-ES"/>
        </w:rPr>
        <w:t>Rashad Nabiyev</w:t>
      </w:r>
    </w:p>
    <w:p w14:paraId="502A9129" w14:textId="77777777" w:rsidR="00DD0DC3" w:rsidRPr="007B622E" w:rsidRDefault="00DD0DC3" w:rsidP="00DD0DC3">
      <w:pPr>
        <w:rPr>
          <w:lang w:val="es-ES"/>
        </w:rPr>
      </w:pPr>
      <w:r w:rsidRPr="007B622E">
        <w:rPr>
          <w:lang w:val="es-ES"/>
        </w:rPr>
        <w:br w:type="page"/>
      </w:r>
    </w:p>
    <w:p w14:paraId="0C0FB075" w14:textId="77777777" w:rsidR="00DD0DC3" w:rsidRPr="00845302" w:rsidRDefault="00DD0DC3" w:rsidP="00845302">
      <w:pPr>
        <w:pStyle w:val="Annextitle"/>
        <w:spacing w:before="120" w:after="120"/>
        <w:rPr>
          <w:b w:val="0"/>
          <w:bCs/>
          <w:lang w:val="es-ES"/>
        </w:rPr>
      </w:pPr>
      <w:r w:rsidRPr="00845302">
        <w:rPr>
          <w:b w:val="0"/>
          <w:bCs/>
          <w:lang w:val="es-ES"/>
        </w:rPr>
        <w:lastRenderedPageBreak/>
        <w:t>Ministerio de Desarrollo Digital</w:t>
      </w:r>
    </w:p>
    <w:p w14:paraId="50F134D2" w14:textId="77777777" w:rsidR="00DD0DC3" w:rsidRPr="00845302" w:rsidRDefault="00DD0DC3" w:rsidP="00845302">
      <w:pPr>
        <w:pStyle w:val="Annextitle"/>
        <w:spacing w:before="120" w:after="120"/>
        <w:rPr>
          <w:b w:val="0"/>
          <w:bCs/>
          <w:lang w:val="es-ES"/>
        </w:rPr>
      </w:pPr>
      <w:r w:rsidRPr="00845302">
        <w:rPr>
          <w:b w:val="0"/>
          <w:bCs/>
          <w:lang w:val="es-ES"/>
        </w:rPr>
        <w:t>y Transporte</w:t>
      </w:r>
    </w:p>
    <w:p w14:paraId="201BBB57" w14:textId="235A4372" w:rsidR="00B70EAA" w:rsidRDefault="00DD0DC3" w:rsidP="00845302">
      <w:pPr>
        <w:pStyle w:val="Annextitle"/>
        <w:spacing w:before="120" w:after="480"/>
        <w:rPr>
          <w:lang w:val="es-ES"/>
        </w:rPr>
      </w:pPr>
      <w:r w:rsidRPr="00845302">
        <w:rPr>
          <w:b w:val="0"/>
          <w:bCs/>
          <w:lang w:val="es-ES"/>
        </w:rPr>
        <w:t>de la República de Azerbaiyán</w:t>
      </w:r>
    </w:p>
    <w:tbl>
      <w:tblPr>
        <w:tblStyle w:val="TableGrid"/>
        <w:tblW w:w="9214" w:type="dxa"/>
        <w:tblLook w:val="04A0" w:firstRow="1" w:lastRow="0" w:firstColumn="1" w:lastColumn="0" w:noHBand="0" w:noVBand="1"/>
      </w:tblPr>
      <w:tblGrid>
        <w:gridCol w:w="4678"/>
        <w:gridCol w:w="4536"/>
      </w:tblGrid>
      <w:tr w:rsidR="00317451" w:rsidRPr="00317451" w14:paraId="50105D8B" w14:textId="77777777" w:rsidTr="00070F9E">
        <w:tc>
          <w:tcPr>
            <w:tcW w:w="4678" w:type="dxa"/>
            <w:tcBorders>
              <w:top w:val="nil"/>
              <w:left w:val="nil"/>
              <w:bottom w:val="nil"/>
              <w:right w:val="nil"/>
            </w:tcBorders>
          </w:tcPr>
          <w:p w14:paraId="5C0E0FFA" w14:textId="67768AE2" w:rsidR="00317451" w:rsidRPr="00317451" w:rsidRDefault="00845302" w:rsidP="00647FDA">
            <w:pPr>
              <w:tabs>
                <w:tab w:val="left" w:pos="5245"/>
              </w:tabs>
              <w:rPr>
                <w:u w:val="single"/>
                <w:lang w:val="es-ES"/>
              </w:rPr>
            </w:pPr>
            <w:r>
              <w:rPr>
                <w:u w:val="single"/>
                <w:lang w:val="es-ES"/>
              </w:rPr>
              <w:t>03</w:t>
            </w:r>
            <w:r w:rsidR="00317451" w:rsidRPr="00317451">
              <w:rPr>
                <w:u w:val="single"/>
                <w:lang w:val="es-ES"/>
              </w:rPr>
              <w:t>.04.2024</w:t>
            </w:r>
          </w:p>
        </w:tc>
        <w:tc>
          <w:tcPr>
            <w:tcW w:w="4536" w:type="dxa"/>
            <w:tcBorders>
              <w:top w:val="nil"/>
              <w:left w:val="nil"/>
              <w:bottom w:val="nil"/>
              <w:right w:val="nil"/>
            </w:tcBorders>
          </w:tcPr>
          <w:p w14:paraId="2287D558" w14:textId="6B4C88FF" w:rsidR="00317451" w:rsidRPr="00317451" w:rsidRDefault="00317451" w:rsidP="00647FDA">
            <w:pPr>
              <w:tabs>
                <w:tab w:val="left" w:pos="5245"/>
              </w:tabs>
              <w:jc w:val="right"/>
              <w:rPr>
                <w:u w:val="single"/>
                <w:lang w:val="es-ES"/>
              </w:rPr>
            </w:pPr>
            <w:r w:rsidRPr="00317451">
              <w:rPr>
                <w:u w:val="single"/>
                <w:lang w:val="es-ES"/>
              </w:rPr>
              <w:t>3-27/2-2</w:t>
            </w:r>
            <w:r w:rsidR="00845302">
              <w:rPr>
                <w:u w:val="single"/>
                <w:lang w:val="es-ES"/>
              </w:rPr>
              <w:t>278</w:t>
            </w:r>
            <w:r w:rsidRPr="00317451">
              <w:rPr>
                <w:u w:val="single"/>
                <w:lang w:val="es-ES"/>
              </w:rPr>
              <w:t>/2024</w:t>
            </w:r>
          </w:p>
        </w:tc>
      </w:tr>
    </w:tbl>
    <w:p w14:paraId="5E4D276D" w14:textId="77777777" w:rsidR="00DD0DC3" w:rsidRPr="007B622E" w:rsidRDefault="00DD0DC3" w:rsidP="00B70EAA">
      <w:pPr>
        <w:spacing w:before="360"/>
        <w:rPr>
          <w:lang w:val="es-ES"/>
        </w:rPr>
      </w:pPr>
      <w:r w:rsidRPr="007B622E">
        <w:rPr>
          <w:lang w:val="es-ES"/>
        </w:rPr>
        <w:t>Dr. Cosmas Zavazava</w:t>
      </w:r>
    </w:p>
    <w:p w14:paraId="50EE794E" w14:textId="77777777" w:rsidR="00DD0DC3" w:rsidRPr="007B622E" w:rsidRDefault="00DD0DC3" w:rsidP="00B70EAA">
      <w:pPr>
        <w:spacing w:before="0"/>
        <w:rPr>
          <w:lang w:val="es-ES"/>
        </w:rPr>
      </w:pPr>
      <w:r w:rsidRPr="007B622E">
        <w:rPr>
          <w:lang w:val="es-ES"/>
        </w:rPr>
        <w:t>Director de la Oficina de Desarrollo de las Telecomunicaciones</w:t>
      </w:r>
    </w:p>
    <w:p w14:paraId="67B09713" w14:textId="77777777" w:rsidR="00DD0DC3" w:rsidRPr="007B622E" w:rsidRDefault="00DD0DC3" w:rsidP="00B70EAA">
      <w:pPr>
        <w:spacing w:before="0"/>
        <w:rPr>
          <w:lang w:val="es-ES"/>
        </w:rPr>
      </w:pPr>
      <w:r w:rsidRPr="007B622E">
        <w:rPr>
          <w:lang w:val="es-ES"/>
        </w:rPr>
        <w:t>Unión Internacional de Telecomunicaciones (UIT)</w:t>
      </w:r>
    </w:p>
    <w:p w14:paraId="7CA0A9C3" w14:textId="77777777" w:rsidR="00DD0DC3" w:rsidRPr="00DD0DC3" w:rsidRDefault="00DD0DC3" w:rsidP="00B70EAA">
      <w:pPr>
        <w:spacing w:before="0"/>
        <w:rPr>
          <w:lang w:val="fr-FR"/>
        </w:rPr>
      </w:pPr>
      <w:r w:rsidRPr="00DD0DC3">
        <w:rPr>
          <w:lang w:val="fr-FR"/>
        </w:rPr>
        <w:t>Place des Nations</w:t>
      </w:r>
    </w:p>
    <w:p w14:paraId="3A9D9354" w14:textId="77777777" w:rsidR="00DD0DC3" w:rsidRPr="00DD0DC3" w:rsidRDefault="00DD0DC3" w:rsidP="00B70EAA">
      <w:pPr>
        <w:spacing w:before="0"/>
        <w:rPr>
          <w:lang w:val="fr-FR"/>
        </w:rPr>
      </w:pPr>
      <w:r w:rsidRPr="00DD0DC3">
        <w:rPr>
          <w:lang w:val="fr-FR"/>
        </w:rPr>
        <w:t>1211 Ginebra 20 Suiza</w:t>
      </w:r>
    </w:p>
    <w:p w14:paraId="4A29D029" w14:textId="77777777" w:rsidR="00DD0DC3" w:rsidRPr="00DD0DC3" w:rsidRDefault="00DD0DC3" w:rsidP="00B70EAA">
      <w:pPr>
        <w:spacing w:before="0"/>
        <w:rPr>
          <w:lang w:val="fr-FR"/>
        </w:rPr>
      </w:pPr>
      <w:r w:rsidRPr="00DD0DC3">
        <w:rPr>
          <w:lang w:val="fr-FR"/>
        </w:rPr>
        <w:t>Tel.: +41 22 730 5111</w:t>
      </w:r>
    </w:p>
    <w:p w14:paraId="0E2A1CD3" w14:textId="77777777" w:rsidR="00DD0DC3" w:rsidRPr="007B622E" w:rsidRDefault="00DD0DC3" w:rsidP="00845302">
      <w:pPr>
        <w:spacing w:before="360"/>
        <w:rPr>
          <w:lang w:val="es-ES"/>
        </w:rPr>
      </w:pPr>
      <w:r w:rsidRPr="007B622E">
        <w:rPr>
          <w:lang w:val="es-ES"/>
        </w:rPr>
        <w:t>Estimado Dr. Zavazava,</w:t>
      </w:r>
    </w:p>
    <w:p w14:paraId="26B1F992" w14:textId="77777777" w:rsidR="00DD0DC3" w:rsidRPr="007B622E" w:rsidRDefault="00DD0DC3" w:rsidP="00845302">
      <w:pPr>
        <w:rPr>
          <w:lang w:val="es-ES"/>
        </w:rPr>
      </w:pPr>
      <w:r w:rsidRPr="007B622E">
        <w:rPr>
          <w:lang w:val="es-ES"/>
        </w:rPr>
        <w:t>Le saludo muy bien y, en respuesta a su carta de 22 de marzo de 2024, formulada en el documento BDT/DDR/12554, proponemos que se acoja la CMDT-25 en Bakú a finales de noviembre de 2025.</w:t>
      </w:r>
    </w:p>
    <w:p w14:paraId="14C0113D" w14:textId="77777777" w:rsidR="00DD0DC3" w:rsidRPr="007B622E" w:rsidRDefault="00DD0DC3" w:rsidP="00845302">
      <w:pPr>
        <w:rPr>
          <w:lang w:val="es-ES"/>
        </w:rPr>
      </w:pPr>
      <w:r w:rsidRPr="007B622E">
        <w:rPr>
          <w:lang w:val="es-ES"/>
        </w:rPr>
        <w:t>Esperamos con impaciencia la oportunidad de acoger la CMDT-25 y estamos entusiasmados por colaborar estrechamente con ustedes para que sea un éxito.</w:t>
      </w:r>
    </w:p>
    <w:p w14:paraId="2761FCCF" w14:textId="77777777" w:rsidR="00DD0DC3" w:rsidRPr="007B622E" w:rsidRDefault="00DD0DC3" w:rsidP="00DD0DC3">
      <w:pPr>
        <w:spacing w:after="120"/>
        <w:rPr>
          <w:lang w:val="es-ES"/>
        </w:rPr>
      </w:pPr>
      <w:r w:rsidRPr="007B622E">
        <w:rPr>
          <w:lang w:val="es-ES"/>
        </w:rPr>
        <w:t xml:space="preserve">Le informamos que la Sra. Khayala Pashazada (Tel.: +994125985858 (200), correo electrónico: </w:t>
      </w:r>
      <w:proofErr w:type="spellStart"/>
      <w:r w:rsidRPr="00845302">
        <w:t>khayala</w:t>
      </w:r>
      <w:proofErr w:type="spellEnd"/>
      <w:r w:rsidRPr="007B622E">
        <w:rPr>
          <w:lang w:val="es-ES"/>
        </w:rPr>
        <w:t>.pashazada@mincom.gov.az), Jefa de División del Departamento de Cooperación Internacional, será nuestra persona de contacto.</w:t>
      </w:r>
    </w:p>
    <w:p w14:paraId="752C5066" w14:textId="77777777" w:rsidR="00DD0DC3" w:rsidRPr="007B622E" w:rsidRDefault="00DD0DC3" w:rsidP="00DD0DC3">
      <w:pPr>
        <w:spacing w:after="120"/>
        <w:rPr>
          <w:lang w:val="es-ES"/>
        </w:rPr>
      </w:pPr>
      <w:r w:rsidRPr="007B622E">
        <w:rPr>
          <w:lang w:val="es-ES"/>
        </w:rPr>
        <w:t>Sírvase aceptar el testimonio de mi más alta consideración.</w:t>
      </w:r>
    </w:p>
    <w:p w14:paraId="0C68EDB6" w14:textId="77777777" w:rsidR="00DD0DC3" w:rsidRPr="007B622E" w:rsidRDefault="00DD0DC3" w:rsidP="00317451">
      <w:pPr>
        <w:spacing w:before="360"/>
        <w:rPr>
          <w:lang w:val="es-ES"/>
        </w:rPr>
      </w:pPr>
      <w:r w:rsidRPr="007B622E">
        <w:rPr>
          <w:lang w:val="es-ES"/>
        </w:rPr>
        <w:t>Atentamente,</w:t>
      </w:r>
    </w:p>
    <w:p w14:paraId="6FF74304" w14:textId="77777777" w:rsidR="00DD0DC3" w:rsidRPr="007B622E" w:rsidRDefault="00DD0DC3" w:rsidP="00317451">
      <w:pPr>
        <w:spacing w:before="360"/>
        <w:rPr>
          <w:lang w:val="es-ES"/>
        </w:rPr>
      </w:pPr>
      <w:r w:rsidRPr="007B622E">
        <w:rPr>
          <w:lang w:val="es-ES"/>
        </w:rPr>
        <w:t>Ministro</w:t>
      </w:r>
    </w:p>
    <w:p w14:paraId="7BD2F453" w14:textId="77777777" w:rsidR="00DD0DC3" w:rsidRPr="007B622E" w:rsidRDefault="00DD0DC3" w:rsidP="00317451">
      <w:pPr>
        <w:spacing w:before="0"/>
        <w:rPr>
          <w:lang w:val="es-ES"/>
        </w:rPr>
      </w:pPr>
      <w:r w:rsidRPr="007B622E">
        <w:rPr>
          <w:lang w:val="es-ES"/>
        </w:rPr>
        <w:t>Rashad Nabiyev</w:t>
      </w:r>
    </w:p>
    <w:p w14:paraId="66F4085D" w14:textId="77777777" w:rsidR="00DD0DC3" w:rsidRPr="007B622E" w:rsidRDefault="00DD0DC3" w:rsidP="00DD0DC3">
      <w:pPr>
        <w:rPr>
          <w:lang w:val="es-ES"/>
        </w:rPr>
      </w:pPr>
      <w:r w:rsidRPr="007B622E">
        <w:rPr>
          <w:lang w:val="es-ES"/>
        </w:rPr>
        <w:br w:type="page"/>
      </w:r>
    </w:p>
    <w:p w14:paraId="3AF1CD80" w14:textId="77777777" w:rsidR="00DD0DC3" w:rsidRPr="00845302" w:rsidRDefault="00DD0DC3" w:rsidP="00845302">
      <w:pPr>
        <w:pStyle w:val="Annextitle"/>
        <w:spacing w:before="120" w:after="120"/>
        <w:rPr>
          <w:b w:val="0"/>
          <w:bCs/>
          <w:lang w:val="es-ES"/>
        </w:rPr>
      </w:pPr>
      <w:r w:rsidRPr="00845302">
        <w:rPr>
          <w:b w:val="0"/>
          <w:bCs/>
          <w:lang w:val="es-ES"/>
        </w:rPr>
        <w:lastRenderedPageBreak/>
        <w:t>Ministerio de Desarrollo Digital</w:t>
      </w:r>
    </w:p>
    <w:p w14:paraId="696568AF" w14:textId="77777777" w:rsidR="00DD0DC3" w:rsidRPr="00845302" w:rsidRDefault="00DD0DC3" w:rsidP="00845302">
      <w:pPr>
        <w:pStyle w:val="Annextitle"/>
        <w:spacing w:before="120" w:after="120"/>
        <w:rPr>
          <w:b w:val="0"/>
          <w:bCs/>
          <w:lang w:val="es-ES"/>
        </w:rPr>
      </w:pPr>
      <w:r w:rsidRPr="00845302">
        <w:rPr>
          <w:b w:val="0"/>
          <w:bCs/>
          <w:lang w:val="es-ES"/>
        </w:rPr>
        <w:t>y Transporte</w:t>
      </w:r>
    </w:p>
    <w:p w14:paraId="016F3F29" w14:textId="53E3166D" w:rsidR="00DD0DC3" w:rsidRPr="007B622E" w:rsidRDefault="00DD0DC3" w:rsidP="00845302">
      <w:pPr>
        <w:pStyle w:val="Annextitle"/>
        <w:spacing w:before="120" w:after="480"/>
        <w:rPr>
          <w:lang w:val="es-ES"/>
        </w:rPr>
      </w:pPr>
      <w:r w:rsidRPr="00845302">
        <w:rPr>
          <w:b w:val="0"/>
          <w:bCs/>
          <w:lang w:val="es-ES"/>
        </w:rPr>
        <w:t>de la República de Azerbaiyán</w:t>
      </w:r>
    </w:p>
    <w:tbl>
      <w:tblPr>
        <w:tblStyle w:val="TableGrid"/>
        <w:tblW w:w="9214" w:type="dxa"/>
        <w:tblLook w:val="04A0" w:firstRow="1" w:lastRow="0" w:firstColumn="1" w:lastColumn="0" w:noHBand="0" w:noVBand="1"/>
      </w:tblPr>
      <w:tblGrid>
        <w:gridCol w:w="4678"/>
        <w:gridCol w:w="4536"/>
      </w:tblGrid>
      <w:tr w:rsidR="00845302" w:rsidRPr="00317451" w14:paraId="5E1F8A68" w14:textId="77777777" w:rsidTr="00A43484">
        <w:tc>
          <w:tcPr>
            <w:tcW w:w="4678" w:type="dxa"/>
            <w:tcBorders>
              <w:top w:val="nil"/>
              <w:left w:val="nil"/>
              <w:bottom w:val="nil"/>
              <w:right w:val="nil"/>
            </w:tcBorders>
          </w:tcPr>
          <w:p w14:paraId="03512A4B" w14:textId="3CAB480E" w:rsidR="00845302" w:rsidRPr="00317451" w:rsidRDefault="00845302" w:rsidP="00647FDA">
            <w:pPr>
              <w:tabs>
                <w:tab w:val="left" w:pos="5245"/>
              </w:tabs>
              <w:rPr>
                <w:u w:val="single"/>
                <w:lang w:val="es-ES"/>
              </w:rPr>
            </w:pPr>
            <w:r w:rsidRPr="007B622E">
              <w:rPr>
                <w:lang w:val="es-ES"/>
              </w:rPr>
              <w:t>15.03.2024</w:t>
            </w:r>
          </w:p>
        </w:tc>
        <w:tc>
          <w:tcPr>
            <w:tcW w:w="4536" w:type="dxa"/>
            <w:tcBorders>
              <w:top w:val="nil"/>
              <w:left w:val="nil"/>
              <w:bottom w:val="nil"/>
              <w:right w:val="nil"/>
            </w:tcBorders>
          </w:tcPr>
          <w:p w14:paraId="5BD038CA" w14:textId="2F5EE7D1" w:rsidR="00845302" w:rsidRPr="00317451" w:rsidRDefault="00845302" w:rsidP="00647FDA">
            <w:pPr>
              <w:tabs>
                <w:tab w:val="left" w:pos="5245"/>
              </w:tabs>
              <w:jc w:val="right"/>
              <w:rPr>
                <w:u w:val="single"/>
                <w:lang w:val="es-ES"/>
              </w:rPr>
            </w:pPr>
            <w:r w:rsidRPr="007B622E">
              <w:rPr>
                <w:lang w:val="es-ES"/>
              </w:rPr>
              <w:t>3-27/2-1902/2024</w:t>
            </w:r>
          </w:p>
        </w:tc>
      </w:tr>
    </w:tbl>
    <w:p w14:paraId="7CE81F53" w14:textId="77777777" w:rsidR="00DD0DC3" w:rsidRPr="007B622E" w:rsidRDefault="00DD0DC3" w:rsidP="00845302">
      <w:pPr>
        <w:spacing w:before="360"/>
        <w:rPr>
          <w:lang w:val="es-ES"/>
        </w:rPr>
      </w:pPr>
      <w:r w:rsidRPr="007B622E">
        <w:rPr>
          <w:lang w:val="es-ES"/>
        </w:rPr>
        <w:t>Excma. Sra. Doreen Bogdan-Martin</w:t>
      </w:r>
    </w:p>
    <w:p w14:paraId="7006A5D4" w14:textId="77777777" w:rsidR="00DD0DC3" w:rsidRPr="007B622E" w:rsidRDefault="00DD0DC3" w:rsidP="00845302">
      <w:pPr>
        <w:spacing w:before="0"/>
        <w:rPr>
          <w:lang w:val="es-ES"/>
        </w:rPr>
      </w:pPr>
      <w:r w:rsidRPr="007B622E">
        <w:rPr>
          <w:lang w:val="es-ES"/>
        </w:rPr>
        <w:t>Secretaria General de las Naciones Unidas</w:t>
      </w:r>
    </w:p>
    <w:p w14:paraId="4A14A330" w14:textId="77777777" w:rsidR="00DD0DC3" w:rsidRPr="007B622E" w:rsidRDefault="00DD0DC3" w:rsidP="00845302">
      <w:pPr>
        <w:spacing w:before="0"/>
        <w:rPr>
          <w:lang w:val="es-ES"/>
        </w:rPr>
      </w:pPr>
      <w:r w:rsidRPr="007B622E">
        <w:rPr>
          <w:lang w:val="es-ES"/>
        </w:rPr>
        <w:t>Unión Internacional de Telecomunicaciones (UIT)</w:t>
      </w:r>
    </w:p>
    <w:p w14:paraId="14C534F1" w14:textId="77777777" w:rsidR="00DD0DC3" w:rsidRPr="00DD0DC3" w:rsidRDefault="00DD0DC3" w:rsidP="00845302">
      <w:pPr>
        <w:spacing w:before="0"/>
        <w:rPr>
          <w:lang w:val="fr-FR"/>
        </w:rPr>
      </w:pPr>
      <w:r w:rsidRPr="00DD0DC3">
        <w:rPr>
          <w:lang w:val="fr-FR"/>
        </w:rPr>
        <w:t>Place des Nations</w:t>
      </w:r>
    </w:p>
    <w:p w14:paraId="6C8CC67B" w14:textId="77777777" w:rsidR="00DD0DC3" w:rsidRPr="00DD0DC3" w:rsidRDefault="00DD0DC3" w:rsidP="00845302">
      <w:pPr>
        <w:spacing w:before="0"/>
        <w:rPr>
          <w:lang w:val="fr-FR"/>
        </w:rPr>
      </w:pPr>
      <w:r w:rsidRPr="00DD0DC3">
        <w:rPr>
          <w:lang w:val="fr-FR"/>
        </w:rPr>
        <w:t>1211 Ginebra 20 Suiza</w:t>
      </w:r>
    </w:p>
    <w:p w14:paraId="6FA76114" w14:textId="77777777" w:rsidR="00DD0DC3" w:rsidRPr="00DD0DC3" w:rsidRDefault="00DD0DC3" w:rsidP="00845302">
      <w:pPr>
        <w:tabs>
          <w:tab w:val="left" w:pos="5103"/>
        </w:tabs>
        <w:spacing w:before="0"/>
        <w:rPr>
          <w:lang w:val="fr-FR"/>
        </w:rPr>
      </w:pPr>
      <w:r w:rsidRPr="00DD0DC3">
        <w:rPr>
          <w:lang w:val="fr-FR"/>
        </w:rPr>
        <w:t>Tel.: +41 22 730 5111</w:t>
      </w:r>
    </w:p>
    <w:p w14:paraId="6B971BED" w14:textId="77777777" w:rsidR="00DD0DC3" w:rsidRPr="007B622E" w:rsidRDefault="00DD0DC3" w:rsidP="00845302">
      <w:pPr>
        <w:tabs>
          <w:tab w:val="left" w:pos="5103"/>
        </w:tabs>
        <w:spacing w:before="240"/>
        <w:rPr>
          <w:lang w:val="es-ES"/>
        </w:rPr>
      </w:pPr>
      <w:r w:rsidRPr="007B622E">
        <w:rPr>
          <w:lang w:val="es-ES"/>
        </w:rPr>
        <w:t>Excelentísima,</w:t>
      </w:r>
    </w:p>
    <w:p w14:paraId="1F173928" w14:textId="77777777" w:rsidR="00DD0DC3" w:rsidRPr="007B622E" w:rsidRDefault="00DD0DC3" w:rsidP="00DD0DC3">
      <w:pPr>
        <w:tabs>
          <w:tab w:val="left" w:pos="5103"/>
        </w:tabs>
        <w:spacing w:after="120"/>
        <w:rPr>
          <w:lang w:val="es-ES"/>
        </w:rPr>
      </w:pPr>
      <w:r w:rsidRPr="007B622E">
        <w:rPr>
          <w:lang w:val="es-ES"/>
        </w:rPr>
        <w:t>En nombre del Ministerio de Desarrollo Digital y Transporte de la República de Azerbaiyán y en el mío propio, quisiera transmitirle mis mejores felicitaciones y expresar nuestro interés en acoger la Conferencia Mundial de Desarrollo de las Telecomunicaciones (CMDT-25) en 2025.</w:t>
      </w:r>
    </w:p>
    <w:p w14:paraId="58F866DB" w14:textId="77777777" w:rsidR="00DD0DC3" w:rsidRPr="007B622E" w:rsidRDefault="00DD0DC3" w:rsidP="00DD0DC3">
      <w:pPr>
        <w:tabs>
          <w:tab w:val="left" w:pos="5103"/>
        </w:tabs>
        <w:spacing w:after="120"/>
        <w:rPr>
          <w:lang w:val="es-ES"/>
        </w:rPr>
      </w:pPr>
      <w:r w:rsidRPr="007B622E">
        <w:rPr>
          <w:lang w:val="es-ES"/>
        </w:rPr>
        <w:t>Azerbaiyán reconoce la importante responsabilidad y privilegio que conlleva acoger un evento tan prestigioso. Estamos plenamente comprometidos a respetar las normas de excelencia que se esperan de una conferencia de la UIT y a garantizar una reunión fructífera y productiva de las partes interesadas del sector de las telecomunicaciones en todo el mundo.</w:t>
      </w:r>
    </w:p>
    <w:p w14:paraId="4C8EC9A8" w14:textId="77777777" w:rsidR="00DD0DC3" w:rsidRPr="007B622E" w:rsidRDefault="00DD0DC3" w:rsidP="00DD0DC3">
      <w:pPr>
        <w:tabs>
          <w:tab w:val="left" w:pos="5103"/>
        </w:tabs>
        <w:spacing w:after="120"/>
        <w:rPr>
          <w:lang w:val="es-ES"/>
        </w:rPr>
      </w:pPr>
      <w:r w:rsidRPr="007B622E">
        <w:rPr>
          <w:lang w:val="es-ES"/>
        </w:rPr>
        <w:t>Azerbaiyán ha realizado notables progresos en el avance de su infraestructura y políticas de telecomunicaciones en los últimos años. Con un sector de telecomunicaciones próspero y comprometido con la inclusión digital, Azerbaiyán está bien posicionado para aportar ideas y perspectivas valiosas al discurso mundial sobre el desarrollo de las telecomunicaciones.</w:t>
      </w:r>
    </w:p>
    <w:p w14:paraId="1CDB13AA" w14:textId="77777777" w:rsidR="00DD0DC3" w:rsidRPr="007B622E" w:rsidRDefault="00DD0DC3" w:rsidP="00DD0DC3">
      <w:pPr>
        <w:tabs>
          <w:tab w:val="left" w:pos="5103"/>
        </w:tabs>
        <w:spacing w:after="120"/>
        <w:rPr>
          <w:lang w:val="es-ES"/>
        </w:rPr>
      </w:pPr>
      <w:r w:rsidRPr="007B622E">
        <w:rPr>
          <w:lang w:val="es-ES"/>
        </w:rPr>
        <w:t>Como país profundamente comprometido con la reducción de la brecha digital y el aprovechamiento de la tecnología para el progreso socioeconómico, creemos que acoger la CMDT-25 no sólo será testimonio de nuestra dedicación sino también una oportunidad de contribuir a la agenda mundial de telecomunicaciones.</w:t>
      </w:r>
    </w:p>
    <w:p w14:paraId="1B8E2E3C" w14:textId="77777777" w:rsidR="00DD0DC3" w:rsidRPr="007B622E" w:rsidRDefault="00DD0DC3" w:rsidP="00DD0DC3">
      <w:pPr>
        <w:tabs>
          <w:tab w:val="left" w:pos="5103"/>
        </w:tabs>
        <w:spacing w:after="120"/>
        <w:rPr>
          <w:lang w:val="es-ES"/>
        </w:rPr>
      </w:pPr>
      <w:r w:rsidRPr="007B622E">
        <w:rPr>
          <w:lang w:val="es-ES"/>
        </w:rPr>
        <w:t>Habida cuenta de estas consideraciones, Azerbaiyán tiene el honor de presentar su candidatura como anfitrión de la CMDT-25. Confiamos en que la vibrante cultura de nuestro país, su cálida hospitalidad y su dedicación al desarrollo de las telecomunicaciones crearán un entorno propicio para debates fructíferos y resultados significativos.</w:t>
      </w:r>
    </w:p>
    <w:p w14:paraId="38908698" w14:textId="77777777" w:rsidR="00DD0DC3" w:rsidRPr="007B622E" w:rsidRDefault="00DD0DC3" w:rsidP="00DD0DC3">
      <w:pPr>
        <w:tabs>
          <w:tab w:val="left" w:pos="5103"/>
        </w:tabs>
        <w:spacing w:after="120"/>
        <w:rPr>
          <w:lang w:val="es-ES"/>
        </w:rPr>
      </w:pPr>
      <w:r w:rsidRPr="007B622E">
        <w:rPr>
          <w:lang w:val="es-ES"/>
        </w:rPr>
        <w:t>Agradecemos encarecidamente que se considere la candidatura de Azerbaiyán como anfitrión de la CMDT-25, y esperamos con impaciencia la oportunidad de entablar nuevos debates sobre nuestra candidatura.</w:t>
      </w:r>
    </w:p>
    <w:p w14:paraId="1B88440C" w14:textId="77777777" w:rsidR="00DD0DC3" w:rsidRPr="007B622E" w:rsidRDefault="00DD0DC3" w:rsidP="00DD0DC3">
      <w:pPr>
        <w:tabs>
          <w:tab w:val="left" w:pos="5103"/>
        </w:tabs>
        <w:spacing w:after="120"/>
        <w:rPr>
          <w:lang w:val="es-ES"/>
        </w:rPr>
      </w:pPr>
      <w:r w:rsidRPr="007B622E">
        <w:rPr>
          <w:lang w:val="es-ES"/>
        </w:rPr>
        <w:t>Le ruego acepte, Excelencia, el testimonio de mi más alta consideración.</w:t>
      </w:r>
    </w:p>
    <w:p w14:paraId="55A73722" w14:textId="77777777" w:rsidR="00DD0DC3" w:rsidRPr="007B622E" w:rsidRDefault="00DD0DC3" w:rsidP="00DD0DC3">
      <w:pPr>
        <w:tabs>
          <w:tab w:val="left" w:pos="5103"/>
        </w:tabs>
        <w:spacing w:after="120"/>
        <w:rPr>
          <w:lang w:val="es-ES"/>
        </w:rPr>
      </w:pPr>
      <w:r w:rsidRPr="007B622E">
        <w:rPr>
          <w:lang w:val="es-ES"/>
        </w:rPr>
        <w:t>Atentamente,</w:t>
      </w:r>
    </w:p>
    <w:p w14:paraId="0AFAE4BA" w14:textId="77777777" w:rsidR="00DD0DC3" w:rsidRPr="007B622E" w:rsidRDefault="00DD0DC3" w:rsidP="00DD0DC3">
      <w:pPr>
        <w:tabs>
          <w:tab w:val="left" w:pos="5103"/>
        </w:tabs>
        <w:spacing w:after="120"/>
        <w:rPr>
          <w:lang w:val="es-ES"/>
        </w:rPr>
      </w:pPr>
      <w:r w:rsidRPr="007B622E">
        <w:rPr>
          <w:lang w:val="es-ES"/>
        </w:rPr>
        <w:t>Rashad Nabiyev</w:t>
      </w:r>
    </w:p>
    <w:p w14:paraId="7FA17A69" w14:textId="77777777" w:rsidR="00DD0DC3" w:rsidRPr="007B622E" w:rsidRDefault="00DD0DC3" w:rsidP="00467893">
      <w:pPr>
        <w:pStyle w:val="AnnexNo"/>
        <w:rPr>
          <w:lang w:val="es-ES"/>
        </w:rPr>
      </w:pPr>
      <w:bookmarkStart w:id="4" w:name="Annex2"/>
      <w:r w:rsidRPr="007B622E">
        <w:rPr>
          <w:lang w:val="es-ES"/>
        </w:rPr>
        <w:lastRenderedPageBreak/>
        <w:t>ANEXO 2</w:t>
      </w:r>
      <w:bookmarkEnd w:id="4"/>
    </w:p>
    <w:p w14:paraId="70E20714" w14:textId="77777777" w:rsidR="00DD0DC3" w:rsidRPr="00467893" w:rsidRDefault="00DD0DC3" w:rsidP="00467893">
      <w:pPr>
        <w:pStyle w:val="Annextitle"/>
        <w:rPr>
          <w:b w:val="0"/>
          <w:bCs/>
          <w:lang w:val="es-ES"/>
        </w:rPr>
      </w:pPr>
      <w:r w:rsidRPr="00467893">
        <w:rPr>
          <w:b w:val="0"/>
          <w:bCs/>
          <w:lang w:val="es-ES"/>
        </w:rPr>
        <w:t>proyecto de acuerdo […]</w:t>
      </w:r>
    </w:p>
    <w:p w14:paraId="2A367617" w14:textId="5C975FAE" w:rsidR="00DD0DC3" w:rsidRPr="007B622E" w:rsidRDefault="00DD0DC3" w:rsidP="00467893">
      <w:pPr>
        <w:pStyle w:val="Annextitle"/>
        <w:rPr>
          <w:sz w:val="24"/>
          <w:szCs w:val="24"/>
          <w:lang w:val="es-ES"/>
        </w:rPr>
      </w:pPr>
      <w:r w:rsidRPr="007B622E">
        <w:rPr>
          <w:lang w:val="es-ES"/>
        </w:rPr>
        <w:t xml:space="preserve">Convocatoria de la Conferencia Mundial de </w:t>
      </w:r>
      <w:r w:rsidRPr="00467893">
        <w:t>Desarrollo</w:t>
      </w:r>
      <w:r w:rsidRPr="007B622E">
        <w:rPr>
          <w:lang w:val="es-ES"/>
        </w:rPr>
        <w:t xml:space="preserve"> de las Telecomunicaciones 2025 </w:t>
      </w:r>
      <w:r w:rsidRPr="007B622E">
        <w:rPr>
          <w:lang w:val="es-ES"/>
        </w:rPr>
        <w:br/>
        <w:t>(CMDT-25)</w:t>
      </w:r>
    </w:p>
    <w:p w14:paraId="065D1285" w14:textId="77777777" w:rsidR="00DD0DC3" w:rsidRPr="007B622E" w:rsidRDefault="00DD0DC3" w:rsidP="00DD0DC3">
      <w:pPr>
        <w:pStyle w:val="Normalaftertitle"/>
        <w:rPr>
          <w:lang w:val="es-ES"/>
        </w:rPr>
      </w:pPr>
      <w:r w:rsidRPr="007B622E">
        <w:rPr>
          <w:lang w:val="es-ES"/>
        </w:rPr>
        <w:t>El Consejo de la UIT,</w:t>
      </w:r>
    </w:p>
    <w:p w14:paraId="3B9C3AB4" w14:textId="77777777" w:rsidR="00DD0DC3" w:rsidRPr="007B622E" w:rsidRDefault="00DD0DC3" w:rsidP="00DD0DC3">
      <w:pPr>
        <w:pStyle w:val="Call"/>
        <w:rPr>
          <w:lang w:val="es-ES"/>
        </w:rPr>
      </w:pPr>
      <w:r w:rsidRPr="007B622E">
        <w:rPr>
          <w:lang w:val="es-ES"/>
        </w:rPr>
        <w:t>observando</w:t>
      </w:r>
    </w:p>
    <w:p w14:paraId="7384E2AE" w14:textId="35186282" w:rsidR="00DD0DC3" w:rsidRPr="007B622E" w:rsidRDefault="00DD0DC3" w:rsidP="00DD0DC3">
      <w:pPr>
        <w:rPr>
          <w:lang w:val="es-ES"/>
        </w:rPr>
      </w:pPr>
      <w:r w:rsidRPr="007B622E">
        <w:rPr>
          <w:lang w:val="es-ES"/>
        </w:rPr>
        <w:t>que está previsto celebrar la CMDT-25 en el último trimestre de 2025 conforme a lo dispuesto en la Resolución 77 (Rev. Bucarest, 2022) de la Conferencia de Plenipotenciarios, Planificación y duración de las conferencias, foros, asambleas y reuniones del Consejo de la Unión (2023-2027)</w:t>
      </w:r>
      <w:r w:rsidR="00467893">
        <w:rPr>
          <w:lang w:val="es-ES"/>
        </w:rPr>
        <w:t>,</w:t>
      </w:r>
    </w:p>
    <w:p w14:paraId="4BF91E81" w14:textId="77777777" w:rsidR="00DD0DC3" w:rsidRPr="007B622E" w:rsidRDefault="00DD0DC3" w:rsidP="00DD0DC3">
      <w:pPr>
        <w:pStyle w:val="Call"/>
        <w:rPr>
          <w:lang w:val="es-ES"/>
        </w:rPr>
      </w:pPr>
      <w:r w:rsidRPr="007B622E">
        <w:rPr>
          <w:lang w:val="es-ES"/>
        </w:rPr>
        <w:t>decide</w:t>
      </w:r>
    </w:p>
    <w:p w14:paraId="2F1406EB" w14:textId="77777777" w:rsidR="00DD0DC3" w:rsidRPr="007B622E" w:rsidRDefault="00DD0DC3" w:rsidP="00DD0DC3">
      <w:pPr>
        <w:rPr>
          <w:lang w:val="es-ES"/>
        </w:rPr>
      </w:pPr>
      <w:r w:rsidRPr="007B622E">
        <w:rPr>
          <w:lang w:val="es-ES"/>
        </w:rPr>
        <w:t>que, a reserva de lo que acuerde la mayoría de los Estados Miembros de la Unión, la próxima Conferencia Mundial de Desarrollo de las Telecomunicaciones (CMDT-25) se celebrará en Bakú, República de Azerbaiyán, del 17 al 28 de noviembre de 2025,</w:t>
      </w:r>
    </w:p>
    <w:p w14:paraId="2E5A26DC" w14:textId="77777777" w:rsidR="00DD0DC3" w:rsidRPr="007B622E" w:rsidRDefault="00DD0DC3" w:rsidP="00DD0DC3">
      <w:pPr>
        <w:pStyle w:val="Call"/>
        <w:rPr>
          <w:lang w:val="es-ES"/>
        </w:rPr>
      </w:pPr>
      <w:r w:rsidRPr="007B622E">
        <w:rPr>
          <w:lang w:val="es-ES"/>
        </w:rPr>
        <w:t>encarga a la Secretaria General</w:t>
      </w:r>
    </w:p>
    <w:p w14:paraId="53919652" w14:textId="77777777" w:rsidR="00DD0DC3" w:rsidRPr="007B622E" w:rsidRDefault="00DD0DC3" w:rsidP="00DD0DC3">
      <w:pPr>
        <w:rPr>
          <w:lang w:val="es-ES"/>
        </w:rPr>
      </w:pPr>
      <w:r w:rsidRPr="007B622E">
        <w:rPr>
          <w:lang w:val="es-ES"/>
        </w:rPr>
        <w:t>que organice una visita al lugar e informe al Consejo en su reunión de 2025.</w:t>
      </w:r>
    </w:p>
    <w:p w14:paraId="13409DCF" w14:textId="77777777" w:rsidR="00DD0DC3" w:rsidRPr="007B622E" w:rsidRDefault="00DD0DC3" w:rsidP="00DD0DC3">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SimSun" w:hAnsiTheme="minorHAnsi" w:cstheme="minorBidi"/>
          <w:szCs w:val="24"/>
          <w:lang w:val="es-ES" w:eastAsia="zh-CN"/>
        </w:rPr>
      </w:pPr>
      <w:r w:rsidRPr="007B622E">
        <w:rPr>
          <w:szCs w:val="24"/>
          <w:lang w:val="es-ES"/>
        </w:rPr>
        <w:br w:type="page"/>
      </w:r>
    </w:p>
    <w:p w14:paraId="30F2D5C2" w14:textId="77777777" w:rsidR="00DD0DC3" w:rsidRPr="007B622E" w:rsidRDefault="00DD0DC3" w:rsidP="00DD0DC3">
      <w:pPr>
        <w:pStyle w:val="AnnexNo"/>
        <w:rPr>
          <w:lang w:val="es-ES"/>
        </w:rPr>
      </w:pPr>
      <w:bookmarkStart w:id="5" w:name="Annex3"/>
      <w:r w:rsidRPr="007B622E">
        <w:rPr>
          <w:lang w:val="es-ES"/>
        </w:rPr>
        <w:lastRenderedPageBreak/>
        <w:t>ANEXO 3</w:t>
      </w:r>
      <w:bookmarkEnd w:id="5"/>
    </w:p>
    <w:p w14:paraId="6EFF38DC" w14:textId="77777777" w:rsidR="00DD0DC3" w:rsidRPr="007B622E" w:rsidRDefault="00DD0DC3" w:rsidP="00DD0DC3">
      <w:pPr>
        <w:pStyle w:val="Annextitle"/>
        <w:rPr>
          <w:lang w:val="es-ES"/>
        </w:rPr>
      </w:pPr>
      <w:r w:rsidRPr="007B622E">
        <w:rPr>
          <w:lang w:val="es-ES"/>
        </w:rPr>
        <w:t xml:space="preserve">Proyecto de orden del día para la Conferencia Mundial de </w:t>
      </w:r>
      <w:r w:rsidRPr="007B622E">
        <w:rPr>
          <w:lang w:val="es-ES"/>
        </w:rPr>
        <w:br/>
        <w:t>Desarrollo de las Telecomunicaciones 2025 (CMDT-25)</w:t>
      </w:r>
    </w:p>
    <w:p w14:paraId="50353167" w14:textId="77777777" w:rsidR="00DD0DC3" w:rsidRPr="007B622E" w:rsidRDefault="00DD0DC3" w:rsidP="00DD0DC3">
      <w:pPr>
        <w:pStyle w:val="Annexref"/>
        <w:rPr>
          <w:lang w:val="es-ES"/>
        </w:rPr>
      </w:pPr>
      <w:r w:rsidRPr="007B622E">
        <w:rPr>
          <w:lang w:val="es-ES"/>
        </w:rPr>
        <w:t>(Para obtener información avanzada)</w:t>
      </w:r>
    </w:p>
    <w:p w14:paraId="23B52266" w14:textId="77777777" w:rsidR="00DD0DC3" w:rsidRPr="007B622E" w:rsidRDefault="00DD0DC3" w:rsidP="00DD0DC3">
      <w:pPr>
        <w:pStyle w:val="Heading1"/>
        <w:rPr>
          <w:rFonts w:eastAsia="Calibri" w:cs="Segoe UI"/>
          <w:szCs w:val="24"/>
          <w:lang w:val="es-ES"/>
        </w:rPr>
      </w:pPr>
      <w:r w:rsidRPr="007B622E">
        <w:rPr>
          <w:lang w:val="es-ES"/>
        </w:rPr>
        <w:t>I</w:t>
      </w:r>
      <w:r w:rsidRPr="007B622E">
        <w:rPr>
          <w:lang w:val="es-ES"/>
        </w:rPr>
        <w:tab/>
        <w:t>Informe sobre la ejecución de los Planes de Acción del UIT-D</w:t>
      </w:r>
    </w:p>
    <w:p w14:paraId="76F55EB2" w14:textId="77777777" w:rsidR="00DD0DC3" w:rsidRPr="007B622E" w:rsidRDefault="00DD0DC3" w:rsidP="00DD0DC3">
      <w:pPr>
        <w:rPr>
          <w:rFonts w:asciiTheme="minorHAnsi" w:hAnsiTheme="minorHAnsi"/>
          <w:szCs w:val="24"/>
          <w:lang w:val="es-ES"/>
        </w:rPr>
      </w:pPr>
      <w:r w:rsidRPr="007B622E">
        <w:rPr>
          <w:lang w:val="es-ES"/>
        </w:rPr>
        <w:t>1</w:t>
      </w:r>
      <w:r w:rsidRPr="007B622E">
        <w:rPr>
          <w:lang w:val="es-ES"/>
        </w:rPr>
        <w:tab/>
        <w:t>Información actualizada sobre la transformación digital mundial e información relativa a la ejecución del Plan de Acción de Buenos Aires de la CMDT-17 y el Plan de Acción de Kigali de la CMDT</w:t>
      </w:r>
      <w:r w:rsidRPr="007B622E">
        <w:rPr>
          <w:lang w:val="es-ES"/>
        </w:rPr>
        <w:noBreakHyphen/>
        <w:t>22 (incluidas las Iniciativas Regionales), y contribución a la implementación del Plan de Acción de la CMSI y los Objetivos de Desarrollo Sostenible (ODS).</w:t>
      </w:r>
    </w:p>
    <w:p w14:paraId="3E3EC2FB" w14:textId="77777777" w:rsidR="00DD0DC3" w:rsidRPr="007B622E" w:rsidRDefault="00DD0DC3" w:rsidP="00DD0DC3">
      <w:pPr>
        <w:rPr>
          <w:szCs w:val="24"/>
          <w:lang w:val="es-ES"/>
        </w:rPr>
      </w:pPr>
      <w:r w:rsidRPr="007B622E">
        <w:rPr>
          <w:lang w:val="es-ES"/>
        </w:rPr>
        <w:t>2</w:t>
      </w:r>
      <w:r w:rsidRPr="007B622E">
        <w:rPr>
          <w:lang w:val="es-ES"/>
        </w:rPr>
        <w:tab/>
        <w:t>Informe del Grupo Asesor de Desarrollo de las Telecomunicaciones</w:t>
      </w:r>
    </w:p>
    <w:p w14:paraId="08CAFBD1" w14:textId="77777777" w:rsidR="00DD0DC3" w:rsidRPr="007B622E" w:rsidRDefault="00DD0DC3" w:rsidP="00DD0DC3">
      <w:pPr>
        <w:rPr>
          <w:szCs w:val="24"/>
          <w:lang w:val="es-ES"/>
        </w:rPr>
      </w:pPr>
      <w:r w:rsidRPr="007B622E">
        <w:rPr>
          <w:lang w:val="es-ES"/>
        </w:rPr>
        <w:t>3</w:t>
      </w:r>
      <w:r w:rsidRPr="007B622E">
        <w:rPr>
          <w:lang w:val="es-ES"/>
        </w:rPr>
        <w:tab/>
        <w:t>Informe de las Comisiones de Estudio</w:t>
      </w:r>
    </w:p>
    <w:p w14:paraId="6E2B323A" w14:textId="77777777" w:rsidR="00DD0DC3" w:rsidRPr="007B622E" w:rsidRDefault="00DD0DC3" w:rsidP="00467893">
      <w:pPr>
        <w:pStyle w:val="enumlev1"/>
        <w:rPr>
          <w:szCs w:val="24"/>
          <w:lang w:val="es-ES"/>
        </w:rPr>
      </w:pPr>
      <w:r w:rsidRPr="007B622E">
        <w:rPr>
          <w:lang w:val="es-ES"/>
        </w:rPr>
        <w:t>4</w:t>
      </w:r>
      <w:r w:rsidRPr="007B622E">
        <w:rPr>
          <w:lang w:val="es-ES"/>
        </w:rPr>
        <w:tab/>
        <w:t>Informe sobre la implementación de los resultados de otras Conferencias, Asambleas y reuniones de la UIT relacionados con las labores del UIT-D:</w:t>
      </w:r>
    </w:p>
    <w:p w14:paraId="0A32C8D8" w14:textId="77777777" w:rsidR="00DD0DC3" w:rsidRPr="007B622E" w:rsidRDefault="00DD0DC3" w:rsidP="00DD0DC3">
      <w:pPr>
        <w:pStyle w:val="enumlev1"/>
        <w:rPr>
          <w:rFonts w:eastAsia="Calibri" w:cs="Segoe UI"/>
          <w:szCs w:val="24"/>
          <w:lang w:val="es-ES"/>
        </w:rPr>
      </w:pPr>
      <w:r w:rsidRPr="007B622E">
        <w:rPr>
          <w:lang w:val="es-ES"/>
        </w:rPr>
        <w:t>a)</w:t>
      </w:r>
      <w:r w:rsidRPr="007B622E">
        <w:rPr>
          <w:lang w:val="es-ES"/>
        </w:rPr>
        <w:tab/>
        <w:t>Conferencia de Plenipotenciarios (PP-22)</w:t>
      </w:r>
    </w:p>
    <w:p w14:paraId="594FBDFD" w14:textId="77777777" w:rsidR="00DD0DC3" w:rsidRPr="007B622E" w:rsidRDefault="00DD0DC3" w:rsidP="00DD0DC3">
      <w:pPr>
        <w:pStyle w:val="enumlev1"/>
        <w:rPr>
          <w:rFonts w:eastAsia="Calibri" w:cs="Segoe UI"/>
          <w:szCs w:val="24"/>
          <w:lang w:val="es-ES"/>
        </w:rPr>
      </w:pPr>
      <w:r w:rsidRPr="007B622E">
        <w:rPr>
          <w:lang w:val="es-ES"/>
        </w:rPr>
        <w:t>b)</w:t>
      </w:r>
      <w:r w:rsidRPr="007B622E">
        <w:rPr>
          <w:lang w:val="es-ES"/>
        </w:rPr>
        <w:tab/>
        <w:t>Asamblea de Radiocomunicaciones (AR-</w:t>
      </w:r>
      <w:proofErr w:type="gramStart"/>
      <w:r w:rsidRPr="007B622E">
        <w:rPr>
          <w:lang w:val="es-ES"/>
        </w:rPr>
        <w:t>23)/</w:t>
      </w:r>
      <w:proofErr w:type="gramEnd"/>
      <w:r w:rsidRPr="007B622E">
        <w:rPr>
          <w:lang w:val="es-ES"/>
        </w:rPr>
        <w:t>Conferencia Mundial de Radiocomunicaciones (CMR-23)</w:t>
      </w:r>
    </w:p>
    <w:p w14:paraId="6338839A" w14:textId="77777777" w:rsidR="00DD0DC3" w:rsidRPr="007B622E" w:rsidRDefault="00DD0DC3" w:rsidP="00DD0DC3">
      <w:pPr>
        <w:pStyle w:val="enumlev1"/>
        <w:rPr>
          <w:rFonts w:eastAsia="Calibri" w:cs="Segoe UI"/>
          <w:szCs w:val="24"/>
          <w:lang w:val="es-ES"/>
        </w:rPr>
      </w:pPr>
      <w:r w:rsidRPr="007B622E">
        <w:rPr>
          <w:lang w:val="es-ES"/>
        </w:rPr>
        <w:t>c)</w:t>
      </w:r>
      <w:r w:rsidRPr="007B622E">
        <w:rPr>
          <w:lang w:val="es-ES"/>
        </w:rPr>
        <w:tab/>
        <w:t>Asamblea Mundial de Normalización de las Telecomunicaciones (AMNT-24)</w:t>
      </w:r>
    </w:p>
    <w:p w14:paraId="0A1D8BFB" w14:textId="77777777" w:rsidR="00DD0DC3" w:rsidRPr="007B622E" w:rsidRDefault="00DD0DC3" w:rsidP="00DD0DC3">
      <w:pPr>
        <w:pStyle w:val="Heading1"/>
        <w:rPr>
          <w:sz w:val="24"/>
          <w:szCs w:val="24"/>
          <w:lang w:val="es-ES"/>
        </w:rPr>
      </w:pPr>
      <w:r w:rsidRPr="007B622E">
        <w:rPr>
          <w:lang w:val="es-ES"/>
        </w:rPr>
        <w:t>II</w:t>
      </w:r>
      <w:r w:rsidRPr="007B622E">
        <w:rPr>
          <w:lang w:val="es-ES"/>
        </w:rPr>
        <w:tab/>
        <w:t>Política y estrategia de transformación digital</w:t>
      </w:r>
    </w:p>
    <w:p w14:paraId="2A8FD847" w14:textId="77777777" w:rsidR="00DD0DC3" w:rsidRPr="007B622E" w:rsidRDefault="00DD0DC3" w:rsidP="00DD0DC3">
      <w:pPr>
        <w:rPr>
          <w:szCs w:val="24"/>
          <w:lang w:val="es-ES"/>
        </w:rPr>
      </w:pPr>
      <w:r w:rsidRPr="007B622E">
        <w:rPr>
          <w:lang w:val="es-ES"/>
        </w:rPr>
        <w:t>5</w:t>
      </w:r>
      <w:r w:rsidRPr="007B622E">
        <w:rPr>
          <w:lang w:val="es-ES"/>
        </w:rPr>
        <w:tab/>
        <w:t>Mesas redondas y declaraciones de política de Ministros y líderes de la industria</w:t>
      </w:r>
    </w:p>
    <w:p w14:paraId="6B68E931" w14:textId="77777777" w:rsidR="00DD0DC3" w:rsidRPr="007B622E" w:rsidRDefault="00DD0DC3" w:rsidP="00DD0DC3">
      <w:pPr>
        <w:pStyle w:val="Heading1"/>
        <w:rPr>
          <w:sz w:val="24"/>
          <w:szCs w:val="24"/>
          <w:lang w:val="es-ES"/>
        </w:rPr>
      </w:pPr>
      <w:r w:rsidRPr="007B622E">
        <w:rPr>
          <w:lang w:val="es-ES"/>
        </w:rPr>
        <w:t>III</w:t>
      </w:r>
      <w:r w:rsidRPr="007B622E">
        <w:rPr>
          <w:lang w:val="es-ES"/>
        </w:rPr>
        <w:tab/>
        <w:t>Plan de trabajo del UIT-D para 2026-2029</w:t>
      </w:r>
    </w:p>
    <w:p w14:paraId="32C6EEFE" w14:textId="77777777" w:rsidR="00DD0DC3" w:rsidRPr="007B622E" w:rsidRDefault="00DD0DC3" w:rsidP="00DD0DC3">
      <w:pPr>
        <w:rPr>
          <w:szCs w:val="24"/>
          <w:lang w:val="es-ES"/>
        </w:rPr>
      </w:pPr>
      <w:r w:rsidRPr="007B622E">
        <w:rPr>
          <w:lang w:val="es-ES"/>
        </w:rPr>
        <w:t>6</w:t>
      </w:r>
      <w:r w:rsidRPr="007B622E">
        <w:rPr>
          <w:lang w:val="es-ES"/>
        </w:rPr>
        <w:tab/>
        <w:t>Resultados de las Reuniones Preparatorias Regionales para la CMDT</w:t>
      </w:r>
    </w:p>
    <w:p w14:paraId="14CB5939" w14:textId="77777777" w:rsidR="00DD0DC3" w:rsidRPr="007B622E" w:rsidRDefault="00DD0DC3" w:rsidP="00DD0DC3">
      <w:pPr>
        <w:rPr>
          <w:szCs w:val="24"/>
          <w:lang w:val="es-ES"/>
        </w:rPr>
      </w:pPr>
      <w:r w:rsidRPr="007B622E">
        <w:rPr>
          <w:lang w:val="es-ES"/>
        </w:rPr>
        <w:t>7</w:t>
      </w:r>
      <w:r w:rsidRPr="007B622E">
        <w:rPr>
          <w:lang w:val="es-ES"/>
        </w:rPr>
        <w:tab/>
        <w:t>Contribución del UIT-D al Plan Estratégico de la UIT para 2028-2031</w:t>
      </w:r>
    </w:p>
    <w:p w14:paraId="582A961B" w14:textId="77777777" w:rsidR="00DD0DC3" w:rsidRPr="007B622E" w:rsidRDefault="00DD0DC3" w:rsidP="00DD0DC3">
      <w:pPr>
        <w:rPr>
          <w:szCs w:val="24"/>
          <w:lang w:val="es-ES"/>
        </w:rPr>
      </w:pPr>
      <w:r w:rsidRPr="007B622E">
        <w:rPr>
          <w:lang w:val="es-ES"/>
        </w:rPr>
        <w:t>8</w:t>
      </w:r>
      <w:r w:rsidRPr="007B622E">
        <w:rPr>
          <w:lang w:val="es-ES"/>
        </w:rPr>
        <w:tab/>
        <w:t>Prioridades del UIT-D</w:t>
      </w:r>
    </w:p>
    <w:p w14:paraId="74CD5EB3" w14:textId="77777777" w:rsidR="00DD0DC3" w:rsidRPr="007B622E" w:rsidRDefault="00DD0DC3" w:rsidP="00DD0DC3">
      <w:pPr>
        <w:rPr>
          <w:szCs w:val="24"/>
          <w:lang w:val="es-ES"/>
        </w:rPr>
      </w:pPr>
      <w:r w:rsidRPr="007B622E">
        <w:rPr>
          <w:lang w:val="es-ES"/>
        </w:rPr>
        <w:t>9</w:t>
      </w:r>
      <w:r w:rsidRPr="007B622E">
        <w:rPr>
          <w:lang w:val="es-ES"/>
        </w:rPr>
        <w:tab/>
        <w:t>Plan de Acción del UIT-D para el próximo ciclo</w:t>
      </w:r>
    </w:p>
    <w:p w14:paraId="05B6F184" w14:textId="77777777" w:rsidR="00DD0DC3" w:rsidRPr="007B622E" w:rsidRDefault="00DD0DC3" w:rsidP="00DD0DC3">
      <w:pPr>
        <w:rPr>
          <w:szCs w:val="24"/>
          <w:lang w:val="es-ES"/>
        </w:rPr>
      </w:pPr>
      <w:r w:rsidRPr="007B622E">
        <w:rPr>
          <w:lang w:val="es-ES"/>
        </w:rPr>
        <w:t>10</w:t>
      </w:r>
      <w:r w:rsidRPr="007B622E">
        <w:rPr>
          <w:lang w:val="es-ES"/>
        </w:rPr>
        <w:tab/>
        <w:t>Declaración de la CMDT</w:t>
      </w:r>
    </w:p>
    <w:p w14:paraId="565C0B6D" w14:textId="77777777" w:rsidR="00DD0DC3" w:rsidRPr="007B622E" w:rsidRDefault="00DD0DC3" w:rsidP="00DD0DC3">
      <w:pPr>
        <w:rPr>
          <w:szCs w:val="24"/>
          <w:lang w:val="es-ES"/>
        </w:rPr>
      </w:pPr>
      <w:r w:rsidRPr="007B622E">
        <w:rPr>
          <w:lang w:val="es-ES"/>
        </w:rPr>
        <w:t>11</w:t>
      </w:r>
      <w:r w:rsidRPr="007B622E">
        <w:rPr>
          <w:lang w:val="es-ES"/>
        </w:rPr>
        <w:tab/>
        <w:t>Grupo Asesor de Desarrollo de las Telecomunicaciones</w:t>
      </w:r>
    </w:p>
    <w:p w14:paraId="242F3076" w14:textId="77777777" w:rsidR="00DD0DC3" w:rsidRPr="007B622E" w:rsidRDefault="00DD0DC3" w:rsidP="00DD0DC3">
      <w:pPr>
        <w:pStyle w:val="enumlev1"/>
        <w:rPr>
          <w:rFonts w:eastAsia="Calibri" w:cs="Segoe UI"/>
          <w:szCs w:val="24"/>
          <w:lang w:val="es-ES"/>
        </w:rPr>
      </w:pPr>
      <w:r w:rsidRPr="007B622E">
        <w:rPr>
          <w:lang w:val="es-ES"/>
        </w:rPr>
        <w:t>a)</w:t>
      </w:r>
      <w:r w:rsidRPr="007B622E">
        <w:rPr>
          <w:lang w:val="es-ES"/>
        </w:rPr>
        <w:tab/>
        <w:t>Autorización para que el Grupo Asesor de Desarrollo de las Telecomunicaciones actúe en el periodo entre Conferencias Mundiales de Desarrollo de las Telecomunicaciones (Resolución 24, Rev. Dubái, 2014)</w:t>
      </w:r>
    </w:p>
    <w:p w14:paraId="4162ECDE" w14:textId="77777777" w:rsidR="00DD0DC3" w:rsidRPr="007B622E" w:rsidRDefault="00DD0DC3" w:rsidP="00DD0DC3">
      <w:pPr>
        <w:pStyle w:val="enumlev1"/>
        <w:rPr>
          <w:rFonts w:eastAsia="Calibri" w:cs="Segoe UI"/>
          <w:szCs w:val="24"/>
          <w:lang w:val="es-ES"/>
        </w:rPr>
      </w:pPr>
      <w:r w:rsidRPr="007B622E">
        <w:rPr>
          <w:lang w:val="es-ES"/>
        </w:rPr>
        <w:t>b)</w:t>
      </w:r>
      <w:r w:rsidRPr="007B622E">
        <w:rPr>
          <w:lang w:val="es-ES"/>
        </w:rPr>
        <w:tab/>
        <w:t>Estructura y métodos de trabajo</w:t>
      </w:r>
    </w:p>
    <w:p w14:paraId="0B25DDDD" w14:textId="77777777" w:rsidR="00DD0DC3" w:rsidRPr="007B622E" w:rsidRDefault="00DD0DC3" w:rsidP="00490011">
      <w:pPr>
        <w:keepNext/>
        <w:keepLines/>
        <w:rPr>
          <w:szCs w:val="24"/>
          <w:lang w:val="es-ES"/>
        </w:rPr>
      </w:pPr>
      <w:r w:rsidRPr="007B622E">
        <w:rPr>
          <w:lang w:val="es-ES"/>
        </w:rPr>
        <w:lastRenderedPageBreak/>
        <w:t>12</w:t>
      </w:r>
      <w:r w:rsidRPr="007B622E">
        <w:rPr>
          <w:lang w:val="es-ES"/>
        </w:rPr>
        <w:tab/>
        <w:t>Comisiones de Estudio</w:t>
      </w:r>
    </w:p>
    <w:p w14:paraId="46BD1943" w14:textId="77777777" w:rsidR="00DD0DC3" w:rsidRPr="007B622E" w:rsidRDefault="00DD0DC3" w:rsidP="00490011">
      <w:pPr>
        <w:pStyle w:val="enumlev1"/>
        <w:keepNext/>
        <w:keepLines/>
        <w:rPr>
          <w:rFonts w:eastAsia="Calibri" w:cs="Segoe UI"/>
          <w:szCs w:val="24"/>
          <w:lang w:val="es-ES"/>
        </w:rPr>
      </w:pPr>
      <w:r w:rsidRPr="007B622E">
        <w:rPr>
          <w:lang w:val="es-ES"/>
        </w:rPr>
        <w:t>a)</w:t>
      </w:r>
      <w:r w:rsidRPr="007B622E">
        <w:rPr>
          <w:lang w:val="es-ES"/>
        </w:rPr>
        <w:tab/>
        <w:t>Cuestiones de estudio</w:t>
      </w:r>
    </w:p>
    <w:p w14:paraId="5F7EFF19" w14:textId="77777777" w:rsidR="00DD0DC3" w:rsidRPr="007B622E" w:rsidRDefault="00DD0DC3" w:rsidP="00490011">
      <w:pPr>
        <w:pStyle w:val="enumlev1"/>
        <w:keepNext/>
        <w:keepLines/>
        <w:rPr>
          <w:rFonts w:eastAsia="Calibri" w:cs="Segoe UI"/>
          <w:szCs w:val="24"/>
          <w:lang w:val="es-ES"/>
        </w:rPr>
      </w:pPr>
      <w:r w:rsidRPr="007B622E">
        <w:rPr>
          <w:lang w:val="es-ES"/>
        </w:rPr>
        <w:t>b)</w:t>
      </w:r>
      <w:r w:rsidRPr="007B622E">
        <w:rPr>
          <w:lang w:val="es-ES"/>
        </w:rPr>
        <w:tab/>
        <w:t>Estructura y métodos de trabajo</w:t>
      </w:r>
    </w:p>
    <w:p w14:paraId="260D412B" w14:textId="77777777" w:rsidR="00DD0DC3" w:rsidRPr="007B622E" w:rsidRDefault="00DD0DC3" w:rsidP="00490011">
      <w:pPr>
        <w:keepNext/>
        <w:keepLines/>
        <w:rPr>
          <w:lang w:val="es-ES"/>
        </w:rPr>
      </w:pPr>
      <w:r w:rsidRPr="007B622E">
        <w:rPr>
          <w:lang w:val="es-ES"/>
        </w:rPr>
        <w:t>13</w:t>
      </w:r>
      <w:r w:rsidRPr="007B622E">
        <w:rPr>
          <w:lang w:val="es-ES"/>
        </w:rPr>
        <w:tab/>
        <w:t>Resoluciones y Recomendacione</w:t>
      </w:r>
      <w:bookmarkStart w:id="6" w:name="Proposal"/>
      <w:bookmarkEnd w:id="6"/>
      <w:r w:rsidRPr="007B622E">
        <w:rPr>
          <w:lang w:val="es-ES"/>
        </w:rPr>
        <w:t>s</w:t>
      </w:r>
    </w:p>
    <w:p w14:paraId="58F43063" w14:textId="28C71B4B" w:rsidR="00927F93" w:rsidRDefault="00927F93" w:rsidP="00467893">
      <w:pPr>
        <w:pStyle w:val="Reasons"/>
      </w:pPr>
    </w:p>
    <w:p w14:paraId="2BDFE9CC" w14:textId="77777777" w:rsidR="00467893" w:rsidRPr="00211846" w:rsidRDefault="00467893" w:rsidP="00467893">
      <w:pPr>
        <w:tabs>
          <w:tab w:val="clear" w:pos="2835"/>
        </w:tabs>
        <w:spacing w:before="0"/>
        <w:jc w:val="center"/>
      </w:pPr>
      <w:r w:rsidRPr="002C62F9">
        <w:rPr>
          <w:rFonts w:asciiTheme="minorHAnsi" w:hAnsiTheme="minorHAnsi"/>
        </w:rPr>
        <w:t>_______________</w:t>
      </w:r>
    </w:p>
    <w:sectPr w:rsidR="00467893" w:rsidRPr="00211846" w:rsidSect="00C538FC">
      <w:footerReference w:type="default" r:id="rId17"/>
      <w:headerReference w:type="first" r:id="rId18"/>
      <w:footerReference w:type="first" r:id="rId19"/>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C47CB" w14:textId="77777777" w:rsidR="00156EA2" w:rsidRDefault="00156EA2">
      <w:r>
        <w:separator/>
      </w:r>
    </w:p>
  </w:endnote>
  <w:endnote w:type="continuationSeparator" w:id="0">
    <w:p w14:paraId="23645858" w14:textId="77777777" w:rsidR="00156EA2" w:rsidRDefault="00156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DD0DC3" w:rsidRPr="00784011" w14:paraId="0D332601" w14:textId="77777777" w:rsidTr="006D7730">
      <w:trPr>
        <w:jc w:val="center"/>
      </w:trPr>
      <w:tc>
        <w:tcPr>
          <w:tcW w:w="1803" w:type="dxa"/>
          <w:vAlign w:val="center"/>
        </w:tcPr>
        <w:p w14:paraId="5D65D4C9" w14:textId="257CF1AF" w:rsidR="00DD0DC3" w:rsidRDefault="00324DA3" w:rsidP="00EE49E8">
          <w:pPr>
            <w:pStyle w:val="Header"/>
            <w:jc w:val="left"/>
            <w:rPr>
              <w:noProof/>
            </w:rPr>
          </w:pPr>
          <w:r>
            <w:rPr>
              <w:noProof/>
            </w:rPr>
            <w:t>R2400709</w:t>
          </w:r>
        </w:p>
      </w:tc>
      <w:tc>
        <w:tcPr>
          <w:tcW w:w="8261" w:type="dxa"/>
        </w:tcPr>
        <w:p w14:paraId="26A1186F" w14:textId="77777777" w:rsidR="00DD0DC3" w:rsidRPr="00E06FD5" w:rsidRDefault="00DD0DC3"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24</w:t>
          </w:r>
          <w:r w:rsidRPr="00623AE3">
            <w:rPr>
              <w:bCs/>
            </w:rPr>
            <w:t>/</w:t>
          </w:r>
          <w:r>
            <w:rPr>
              <w:bCs/>
            </w:rPr>
            <w:t>30</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7E45B95E" w14:textId="77777777" w:rsidR="00DD0DC3" w:rsidRPr="00DB1936" w:rsidRDefault="00DD0DC3"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DD0DC3" w:rsidRPr="00784011" w14:paraId="50886EBD" w14:textId="77777777" w:rsidTr="00EE49E8">
      <w:trPr>
        <w:jc w:val="center"/>
      </w:trPr>
      <w:tc>
        <w:tcPr>
          <w:tcW w:w="1803" w:type="dxa"/>
          <w:vAlign w:val="center"/>
        </w:tcPr>
        <w:p w14:paraId="6F2ED7E6" w14:textId="77777777" w:rsidR="00DD0DC3" w:rsidRDefault="00324DA3" w:rsidP="00EE49E8">
          <w:pPr>
            <w:pStyle w:val="Header"/>
            <w:jc w:val="left"/>
            <w:rPr>
              <w:noProof/>
            </w:rPr>
          </w:pPr>
          <w:hyperlink r:id="rId1" w:history="1">
            <w:r w:rsidR="00DD0DC3" w:rsidRPr="00A514A4">
              <w:rPr>
                <w:rStyle w:val="Hyperlink"/>
                <w:szCs w:val="14"/>
              </w:rPr>
              <w:t>www.itu.int/council</w:t>
            </w:r>
          </w:hyperlink>
        </w:p>
      </w:tc>
      <w:tc>
        <w:tcPr>
          <w:tcW w:w="8261" w:type="dxa"/>
        </w:tcPr>
        <w:p w14:paraId="731D9274" w14:textId="77777777" w:rsidR="00DD0DC3" w:rsidRPr="00E06FD5" w:rsidRDefault="00DD0DC3"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24</w:t>
          </w:r>
          <w:r w:rsidRPr="00623AE3">
            <w:rPr>
              <w:bCs/>
            </w:rPr>
            <w:t>/</w:t>
          </w:r>
          <w:r>
            <w:rPr>
              <w:bCs/>
            </w:rPr>
            <w:t>30</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1D0D3994" w14:textId="77777777" w:rsidR="00DD0DC3" w:rsidRPr="00623AE3" w:rsidRDefault="00DD0DC3" w:rsidP="00EE49E8">
    <w:pPr>
      <w:pStyle w:val="Header"/>
      <w:tabs>
        <w:tab w:val="left" w:pos="8080"/>
        <w:tab w:val="right" w:pos="9072"/>
      </w:tabs>
      <w:jc w:val="right"/>
      <w:rPr>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79DB5C18" w14:textId="77777777" w:rsidTr="00E31DCE">
      <w:trPr>
        <w:jc w:val="center"/>
      </w:trPr>
      <w:tc>
        <w:tcPr>
          <w:tcW w:w="1803" w:type="dxa"/>
          <w:vAlign w:val="center"/>
        </w:tcPr>
        <w:p w14:paraId="06DEECE3" w14:textId="06A5C48A" w:rsidR="003273A4" w:rsidRDefault="003273A4" w:rsidP="003273A4">
          <w:pPr>
            <w:pStyle w:val="Header"/>
            <w:jc w:val="left"/>
            <w:rPr>
              <w:noProof/>
            </w:rPr>
          </w:pPr>
        </w:p>
      </w:tc>
      <w:tc>
        <w:tcPr>
          <w:tcW w:w="8261" w:type="dxa"/>
        </w:tcPr>
        <w:p w14:paraId="31328314" w14:textId="32225351"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E11641">
            <w:rPr>
              <w:bCs/>
            </w:rPr>
            <w:t>30</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6F691002" w14:textId="77777777" w:rsidR="00760F1C" w:rsidRPr="003273A4" w:rsidRDefault="00760F1C" w:rsidP="003273A4">
    <w:pPr>
      <w:pStyle w:val="Footer"/>
      <w:rPr>
        <w:b/>
        <w:bC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4A8F164E" w14:textId="77777777" w:rsidTr="00E31DCE">
      <w:trPr>
        <w:jc w:val="center"/>
      </w:trPr>
      <w:tc>
        <w:tcPr>
          <w:tcW w:w="1803" w:type="dxa"/>
          <w:vAlign w:val="center"/>
        </w:tcPr>
        <w:p w14:paraId="00FA64BD" w14:textId="4747333A" w:rsidR="00F24B71" w:rsidRDefault="00F24B71" w:rsidP="00F24B71">
          <w:pPr>
            <w:pStyle w:val="Header"/>
            <w:jc w:val="left"/>
            <w:rPr>
              <w:noProof/>
            </w:rPr>
          </w:pPr>
          <w:r w:rsidRPr="0064481D">
            <w:rPr>
              <w:color w:val="0563C1"/>
              <w:szCs w:val="14"/>
            </w:rPr>
            <w:t>www.itu.int/council</w:t>
          </w:r>
        </w:p>
      </w:tc>
      <w:tc>
        <w:tcPr>
          <w:tcW w:w="8261" w:type="dxa"/>
        </w:tcPr>
        <w:p w14:paraId="20F74E99" w14:textId="7C500DBD"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E11641">
            <w:rPr>
              <w:bCs/>
            </w:rPr>
            <w:t>30</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6E5781B1"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F52EB" w14:textId="77777777" w:rsidR="00156EA2" w:rsidRDefault="00156EA2">
      <w:r>
        <w:t>____________________</w:t>
      </w:r>
    </w:p>
  </w:footnote>
  <w:footnote w:type="continuationSeparator" w:id="0">
    <w:p w14:paraId="42A4B499" w14:textId="77777777" w:rsidR="00156EA2" w:rsidRDefault="00156E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577D5D" w:rsidRPr="00784011" w14:paraId="4D5EEB75" w14:textId="77777777" w:rsidTr="00647FDA">
      <w:trPr>
        <w:trHeight w:val="1104"/>
        <w:jc w:val="center"/>
      </w:trPr>
      <w:tc>
        <w:tcPr>
          <w:tcW w:w="4390" w:type="dxa"/>
          <w:vAlign w:val="center"/>
        </w:tcPr>
        <w:p w14:paraId="20BF25B0" w14:textId="77777777" w:rsidR="00577D5D" w:rsidRPr="009621F8" w:rsidRDefault="00577D5D" w:rsidP="00577D5D">
          <w:pPr>
            <w:pStyle w:val="Header"/>
            <w:jc w:val="left"/>
            <w:rPr>
              <w:rFonts w:ascii="Arial" w:hAnsi="Arial" w:cs="Arial"/>
              <w:b/>
              <w:bCs/>
              <w:color w:val="009CD6"/>
              <w:sz w:val="36"/>
              <w:szCs w:val="36"/>
            </w:rPr>
          </w:pPr>
          <w:r>
            <w:rPr>
              <w:noProof/>
            </w:rPr>
            <w:drawing>
              <wp:inline distT="0" distB="0" distL="0" distR="0" wp14:anchorId="4D7BD366" wp14:editId="2269DF7A">
                <wp:extent cx="2368800" cy="5580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800" cy="558000"/>
                        </a:xfrm>
                        <a:prstGeom prst="rect">
                          <a:avLst/>
                        </a:prstGeom>
                        <a:noFill/>
                        <a:ln>
                          <a:noFill/>
                        </a:ln>
                      </pic:spPr>
                    </pic:pic>
                  </a:graphicData>
                </a:graphic>
              </wp:inline>
            </w:drawing>
          </w:r>
        </w:p>
      </w:tc>
      <w:tc>
        <w:tcPr>
          <w:tcW w:w="5630" w:type="dxa"/>
        </w:tcPr>
        <w:p w14:paraId="601599C4" w14:textId="77777777" w:rsidR="00577D5D" w:rsidRDefault="00577D5D" w:rsidP="00577D5D">
          <w:pPr>
            <w:pStyle w:val="Header"/>
            <w:jc w:val="right"/>
            <w:rPr>
              <w:rFonts w:ascii="Arial" w:hAnsi="Arial" w:cs="Arial"/>
              <w:b/>
              <w:bCs/>
              <w:color w:val="009CD6"/>
              <w:szCs w:val="18"/>
            </w:rPr>
          </w:pPr>
        </w:p>
        <w:p w14:paraId="37B8E353" w14:textId="77777777" w:rsidR="00577D5D" w:rsidRDefault="00577D5D" w:rsidP="00577D5D">
          <w:pPr>
            <w:pStyle w:val="Header"/>
            <w:jc w:val="right"/>
            <w:rPr>
              <w:rFonts w:ascii="Arial" w:hAnsi="Arial" w:cs="Arial"/>
              <w:b/>
              <w:bCs/>
              <w:color w:val="009CD6"/>
              <w:szCs w:val="18"/>
            </w:rPr>
          </w:pPr>
        </w:p>
        <w:p w14:paraId="4AF5A8F0" w14:textId="77777777" w:rsidR="00577D5D" w:rsidRPr="00784011" w:rsidRDefault="00577D5D" w:rsidP="00577D5D">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2B465B0D" w14:textId="77777777" w:rsidR="00DD0DC3" w:rsidRDefault="00DD0DC3">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61312" behindDoc="0" locked="0" layoutInCell="1" allowOverlap="1" wp14:anchorId="2A7216DA" wp14:editId="75E364AF">
              <wp:simplePos x="0" y="0"/>
              <wp:positionH relativeFrom="page">
                <wp:posOffset>13030</wp:posOffset>
              </wp:positionH>
              <wp:positionV relativeFrom="topMargin">
                <wp:posOffset>645160</wp:posOffset>
              </wp:positionV>
              <wp:extent cx="92075" cy="360680"/>
              <wp:effectExtent l="0" t="0" r="3175"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31F00" id="Rectangle 1" o:spid="_x0000_s1026" style="position:absolute;margin-left:1.05pt;margin-top:50.8pt;width:7.25pt;height:28.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D6472" w14:textId="75124800" w:rsidR="001559F5" w:rsidRDefault="001559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2477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EC4A0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DC7B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342D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FDE7C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70D1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9E62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124D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ECAF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8A46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A967EF7"/>
    <w:multiLevelType w:val="hybridMultilevel"/>
    <w:tmpl w:val="3C9C7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0033A1"/>
    <w:multiLevelType w:val="hybridMultilevel"/>
    <w:tmpl w:val="DDA0C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0802657">
    <w:abstractNumId w:val="10"/>
  </w:num>
  <w:num w:numId="2" w16cid:durableId="1299872973">
    <w:abstractNumId w:val="11"/>
  </w:num>
  <w:num w:numId="3" w16cid:durableId="1338583471">
    <w:abstractNumId w:val="9"/>
  </w:num>
  <w:num w:numId="4" w16cid:durableId="1928539263">
    <w:abstractNumId w:val="7"/>
  </w:num>
  <w:num w:numId="5" w16cid:durableId="487327721">
    <w:abstractNumId w:val="6"/>
  </w:num>
  <w:num w:numId="6" w16cid:durableId="315912373">
    <w:abstractNumId w:val="5"/>
  </w:num>
  <w:num w:numId="7" w16cid:durableId="1190029758">
    <w:abstractNumId w:val="4"/>
  </w:num>
  <w:num w:numId="8" w16cid:durableId="1940023032">
    <w:abstractNumId w:val="8"/>
  </w:num>
  <w:num w:numId="9" w16cid:durableId="2097048417">
    <w:abstractNumId w:val="3"/>
  </w:num>
  <w:num w:numId="10" w16cid:durableId="602417558">
    <w:abstractNumId w:val="2"/>
  </w:num>
  <w:num w:numId="11" w16cid:durableId="249778523">
    <w:abstractNumId w:val="1"/>
  </w:num>
  <w:num w:numId="12" w16cid:durableId="312761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1D"/>
    <w:rsid w:val="000007D1"/>
    <w:rsid w:val="00070F9E"/>
    <w:rsid w:val="00093EEB"/>
    <w:rsid w:val="000B0D00"/>
    <w:rsid w:val="000B7C15"/>
    <w:rsid w:val="000D1D0F"/>
    <w:rsid w:val="000F5290"/>
    <w:rsid w:val="0010165C"/>
    <w:rsid w:val="00146BFB"/>
    <w:rsid w:val="001559F5"/>
    <w:rsid w:val="00156EA2"/>
    <w:rsid w:val="001F14A2"/>
    <w:rsid w:val="00233FBD"/>
    <w:rsid w:val="002801AA"/>
    <w:rsid w:val="002C4676"/>
    <w:rsid w:val="002C70B0"/>
    <w:rsid w:val="002F3CC4"/>
    <w:rsid w:val="00317451"/>
    <w:rsid w:val="00324DA3"/>
    <w:rsid w:val="003273A4"/>
    <w:rsid w:val="003E20F9"/>
    <w:rsid w:val="00467893"/>
    <w:rsid w:val="00473962"/>
    <w:rsid w:val="00490011"/>
    <w:rsid w:val="0049252A"/>
    <w:rsid w:val="004B5D49"/>
    <w:rsid w:val="00513630"/>
    <w:rsid w:val="00560125"/>
    <w:rsid w:val="00577D5D"/>
    <w:rsid w:val="00585553"/>
    <w:rsid w:val="005B34D9"/>
    <w:rsid w:val="005D0CCF"/>
    <w:rsid w:val="005F3BCB"/>
    <w:rsid w:val="005F410F"/>
    <w:rsid w:val="005F5411"/>
    <w:rsid w:val="0060149A"/>
    <w:rsid w:val="00601924"/>
    <w:rsid w:val="006447EA"/>
    <w:rsid w:val="0064481D"/>
    <w:rsid w:val="0064731F"/>
    <w:rsid w:val="00664572"/>
    <w:rsid w:val="006710F6"/>
    <w:rsid w:val="00677A97"/>
    <w:rsid w:val="006C1B56"/>
    <w:rsid w:val="006D4761"/>
    <w:rsid w:val="00726872"/>
    <w:rsid w:val="00760F1C"/>
    <w:rsid w:val="007657F0"/>
    <w:rsid w:val="0077252D"/>
    <w:rsid w:val="007955DA"/>
    <w:rsid w:val="007E5DD3"/>
    <w:rsid w:val="007F0499"/>
    <w:rsid w:val="007F350B"/>
    <w:rsid w:val="00820BE4"/>
    <w:rsid w:val="008451E8"/>
    <w:rsid w:val="00845302"/>
    <w:rsid w:val="00913B9C"/>
    <w:rsid w:val="00927F93"/>
    <w:rsid w:val="00956E77"/>
    <w:rsid w:val="009F4811"/>
    <w:rsid w:val="00A43484"/>
    <w:rsid w:val="00AA390C"/>
    <w:rsid w:val="00B0200A"/>
    <w:rsid w:val="00B574DB"/>
    <w:rsid w:val="00B70EAA"/>
    <w:rsid w:val="00B755D3"/>
    <w:rsid w:val="00B826C2"/>
    <w:rsid w:val="00B8298E"/>
    <w:rsid w:val="00BD0723"/>
    <w:rsid w:val="00BD2518"/>
    <w:rsid w:val="00BF1D1C"/>
    <w:rsid w:val="00C20C59"/>
    <w:rsid w:val="00C2727F"/>
    <w:rsid w:val="00C538FC"/>
    <w:rsid w:val="00C55B1F"/>
    <w:rsid w:val="00CB421D"/>
    <w:rsid w:val="00CF1A67"/>
    <w:rsid w:val="00D2750E"/>
    <w:rsid w:val="00D43B85"/>
    <w:rsid w:val="00D50A36"/>
    <w:rsid w:val="00D62446"/>
    <w:rsid w:val="00DA4EA2"/>
    <w:rsid w:val="00DC3D3E"/>
    <w:rsid w:val="00DD0DC3"/>
    <w:rsid w:val="00DE2C90"/>
    <w:rsid w:val="00DE3B24"/>
    <w:rsid w:val="00E06947"/>
    <w:rsid w:val="00E11641"/>
    <w:rsid w:val="00E34072"/>
    <w:rsid w:val="00E3592D"/>
    <w:rsid w:val="00E50D76"/>
    <w:rsid w:val="00E91EF7"/>
    <w:rsid w:val="00E92DE8"/>
    <w:rsid w:val="00EB1212"/>
    <w:rsid w:val="00EC1CBA"/>
    <w:rsid w:val="00ED65AB"/>
    <w:rsid w:val="00F12850"/>
    <w:rsid w:val="00F24B71"/>
    <w:rsid w:val="00F33BF4"/>
    <w:rsid w:val="00F7105E"/>
    <w:rsid w:val="00F75F5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11FC"/>
  <w15:docId w15:val="{19AABEA5-5120-4023-B43A-3E68776C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MainDocParagraph">
    <w:name w:val="CEO_MainDoc_Paragraph"/>
    <w:basedOn w:val="Normal"/>
    <w:qFormat/>
    <w:rsid w:val="00DD0DC3"/>
    <w:pPr>
      <w:tabs>
        <w:tab w:val="clear" w:pos="567"/>
        <w:tab w:val="clear" w:pos="1134"/>
        <w:tab w:val="clear" w:pos="1701"/>
        <w:tab w:val="clear" w:pos="2268"/>
        <w:tab w:val="clear" w:pos="2835"/>
      </w:tabs>
      <w:overflowPunct/>
      <w:autoSpaceDE/>
      <w:autoSpaceDN/>
      <w:adjustRightInd/>
      <w:spacing w:after="120" w:line="256" w:lineRule="auto"/>
      <w:textAlignment w:val="auto"/>
    </w:pPr>
    <w:rPr>
      <w:rFonts w:asciiTheme="minorHAnsi" w:eastAsia="SimSun" w:hAnsiTheme="minorHAnsi" w:cstheme="minorBidi"/>
      <w:sz w:val="22"/>
      <w:szCs w:val="19"/>
      <w:lang w:val="en-GB" w:eastAsia="zh-CN"/>
    </w:rPr>
  </w:style>
  <w:style w:type="paragraph" w:styleId="ListParagraph">
    <w:name w:val="List Paragraph"/>
    <w:basedOn w:val="Normal"/>
    <w:uiPriority w:val="34"/>
    <w:qFormat/>
    <w:rsid w:val="00DD0DC3"/>
    <w:pPr>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Convention-S.pdf" TargetMode="External"/><Relationship Id="rId13" Type="http://schemas.openxmlformats.org/officeDocument/2006/relationships/hyperlink" Target="https://www.itu.int/md/S23-SG-CIR-0051/es"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itu.int/en/council/Documents/basic-texts/Constitution-S.pdf" TargetMode="External"/><Relationship Id="rId12" Type="http://schemas.openxmlformats.org/officeDocument/2006/relationships/hyperlink" Target="https://www.itu.int/md/S23-SG-CIR-0051/es"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en/council/Documents/basic-texts-2023/RES-111-s.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itu.int/en/council/Documents/basic-texts-2023/RES-077-s.pdf"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s://www.itu.int/en/council/Documents/basic-texts/General-Rules-S.pdf"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1868</Words>
  <Characters>10678</Characters>
  <Application>Microsoft Office Word</Application>
  <DocSecurity>0</DocSecurity>
  <Lines>88</Lines>
  <Paragraphs>25</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12521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2024 de la UIT</dc:subject>
  <dc:creator>Brouard, Ricarda</dc:creator>
  <cp:keywords>C2024, C24, Council-24</cp:keywords>
  <dc:description/>
  <cp:lastModifiedBy>Brouard, Ricarda</cp:lastModifiedBy>
  <cp:revision>2</cp:revision>
  <cp:lastPrinted>2006-03-24T09:51:00Z</cp:lastPrinted>
  <dcterms:created xsi:type="dcterms:W3CDTF">2024-05-24T08:08:00Z</dcterms:created>
  <dcterms:modified xsi:type="dcterms:W3CDTF">2024-05-24T08:08:00Z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