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rsidRPr="00B160B1" w14:paraId="32380063" w14:textId="77777777" w:rsidTr="00F363FE">
        <w:tc>
          <w:tcPr>
            <w:tcW w:w="6512" w:type="dxa"/>
          </w:tcPr>
          <w:p w14:paraId="708644B8" w14:textId="499EB0FC" w:rsidR="007B0AA0" w:rsidRPr="00B160B1" w:rsidRDefault="007B0AA0" w:rsidP="00F363FE">
            <w:pPr>
              <w:spacing w:before="60" w:after="60" w:line="260" w:lineRule="exact"/>
              <w:rPr>
                <w:b/>
                <w:bCs/>
                <w:lang w:bidi="ar-EG"/>
              </w:rPr>
            </w:pPr>
            <w:r w:rsidRPr="00B160B1">
              <w:rPr>
                <w:b/>
                <w:bCs/>
                <w:rtl/>
                <w:lang w:bidi="ar-EG"/>
              </w:rPr>
              <w:t>بند جدول الأعمال:</w:t>
            </w:r>
            <w:r w:rsidR="00E378AF" w:rsidRPr="00B160B1">
              <w:rPr>
                <w:b/>
                <w:bCs/>
                <w:rtl/>
                <w:lang w:bidi="ar-EG"/>
              </w:rPr>
              <w:t xml:space="preserve"> </w:t>
            </w:r>
            <w:r w:rsidR="00E378AF" w:rsidRPr="00B160B1">
              <w:rPr>
                <w:b/>
                <w:bCs/>
                <w:lang w:bidi="ar-EG"/>
              </w:rPr>
              <w:t>PL 2</w:t>
            </w:r>
          </w:p>
        </w:tc>
        <w:tc>
          <w:tcPr>
            <w:tcW w:w="3117" w:type="dxa"/>
          </w:tcPr>
          <w:p w14:paraId="6A07398F" w14:textId="7D421DF7" w:rsidR="007B0AA0" w:rsidRPr="00B160B1" w:rsidRDefault="007B0AA0" w:rsidP="00F363FE">
            <w:pPr>
              <w:spacing w:before="60" w:after="60" w:line="260" w:lineRule="exact"/>
              <w:rPr>
                <w:b/>
                <w:bCs/>
                <w:lang w:bidi="ar-EG"/>
              </w:rPr>
            </w:pPr>
            <w:r w:rsidRPr="00B160B1">
              <w:rPr>
                <w:b/>
                <w:bCs/>
                <w:rtl/>
                <w:lang w:bidi="ar-EG"/>
              </w:rPr>
              <w:t xml:space="preserve">الوثيقة </w:t>
            </w:r>
            <w:r w:rsidRPr="00B160B1">
              <w:rPr>
                <w:b/>
                <w:bCs/>
                <w:lang w:bidi="ar-EG"/>
              </w:rPr>
              <w:t>C2</w:t>
            </w:r>
            <w:r w:rsidR="00B6080B" w:rsidRPr="00B160B1">
              <w:rPr>
                <w:b/>
                <w:bCs/>
                <w:lang w:bidi="ar-EG"/>
              </w:rPr>
              <w:t>4</w:t>
            </w:r>
            <w:r w:rsidRPr="00B160B1">
              <w:rPr>
                <w:b/>
                <w:bCs/>
                <w:lang w:bidi="ar-EG"/>
              </w:rPr>
              <w:t>/</w:t>
            </w:r>
            <w:r w:rsidR="00F14695" w:rsidRPr="00B160B1">
              <w:rPr>
                <w:b/>
                <w:bCs/>
                <w:lang w:bidi="ar-EG"/>
              </w:rPr>
              <w:t>33</w:t>
            </w:r>
            <w:r w:rsidRPr="00B160B1">
              <w:rPr>
                <w:b/>
                <w:bCs/>
                <w:lang w:bidi="ar-EG"/>
              </w:rPr>
              <w:t>-A</w:t>
            </w:r>
          </w:p>
        </w:tc>
      </w:tr>
      <w:tr w:rsidR="00E378AF" w:rsidRPr="00B160B1" w14:paraId="7F900546" w14:textId="77777777" w:rsidTr="00F363FE">
        <w:tc>
          <w:tcPr>
            <w:tcW w:w="6512" w:type="dxa"/>
          </w:tcPr>
          <w:p w14:paraId="29739CD9" w14:textId="77777777" w:rsidR="00E378AF" w:rsidRPr="00B160B1" w:rsidRDefault="00E378AF" w:rsidP="00E378AF">
            <w:pPr>
              <w:spacing w:before="60" w:after="60" w:line="260" w:lineRule="exact"/>
              <w:rPr>
                <w:b/>
                <w:bCs/>
                <w:rtl/>
                <w:lang w:bidi="ar-EG"/>
              </w:rPr>
            </w:pPr>
          </w:p>
        </w:tc>
        <w:tc>
          <w:tcPr>
            <w:tcW w:w="3117" w:type="dxa"/>
          </w:tcPr>
          <w:p w14:paraId="5355043A" w14:textId="5E7184C6" w:rsidR="00E378AF" w:rsidRPr="00B160B1" w:rsidRDefault="00E378AF" w:rsidP="00E378AF">
            <w:pPr>
              <w:spacing w:before="60" w:after="60" w:line="260" w:lineRule="exact"/>
              <w:rPr>
                <w:b/>
                <w:bCs/>
                <w:rtl/>
                <w:lang w:bidi="ar-EG"/>
              </w:rPr>
            </w:pPr>
            <w:r w:rsidRPr="00B160B1">
              <w:rPr>
                <w:b/>
                <w:bCs/>
                <w:lang w:bidi="ar-EG"/>
              </w:rPr>
              <w:t>18</w:t>
            </w:r>
            <w:r w:rsidRPr="00B160B1">
              <w:rPr>
                <w:b/>
                <w:bCs/>
                <w:rtl/>
                <w:lang w:bidi="ar-EG"/>
              </w:rPr>
              <w:t xml:space="preserve"> أبريل </w:t>
            </w:r>
            <w:r w:rsidRPr="00B160B1">
              <w:rPr>
                <w:b/>
                <w:bCs/>
                <w:lang w:bidi="ar-EG"/>
              </w:rPr>
              <w:t>2024</w:t>
            </w:r>
          </w:p>
        </w:tc>
      </w:tr>
      <w:tr w:rsidR="00E378AF" w:rsidRPr="00B160B1" w14:paraId="7187BF41" w14:textId="77777777" w:rsidTr="00F363FE">
        <w:tc>
          <w:tcPr>
            <w:tcW w:w="6512" w:type="dxa"/>
          </w:tcPr>
          <w:p w14:paraId="53275753" w14:textId="77777777" w:rsidR="00E378AF" w:rsidRPr="00B160B1" w:rsidRDefault="00E378AF" w:rsidP="00E378AF">
            <w:pPr>
              <w:spacing w:before="60" w:after="60" w:line="260" w:lineRule="exact"/>
              <w:rPr>
                <w:b/>
                <w:bCs/>
                <w:rtl/>
                <w:lang w:bidi="ar-EG"/>
              </w:rPr>
            </w:pPr>
          </w:p>
        </w:tc>
        <w:tc>
          <w:tcPr>
            <w:tcW w:w="3117" w:type="dxa"/>
          </w:tcPr>
          <w:p w14:paraId="274DDF99" w14:textId="3FC074C2" w:rsidR="00E378AF" w:rsidRPr="00B160B1" w:rsidRDefault="00E378AF" w:rsidP="00E378AF">
            <w:pPr>
              <w:spacing w:before="60" w:after="60" w:line="260" w:lineRule="exact"/>
              <w:rPr>
                <w:b/>
                <w:bCs/>
                <w:rtl/>
                <w:lang w:bidi="ar-EG"/>
              </w:rPr>
            </w:pPr>
            <w:r w:rsidRPr="00B160B1">
              <w:rPr>
                <w:b/>
                <w:bCs/>
                <w:rtl/>
                <w:lang w:bidi="ar-EG"/>
              </w:rPr>
              <w:t>الأصل: بالإنكليزية</w:t>
            </w:r>
          </w:p>
        </w:tc>
      </w:tr>
      <w:tr w:rsidR="007B0AA0" w:rsidRPr="00B160B1" w14:paraId="1F94C172" w14:textId="77777777" w:rsidTr="00F363FE">
        <w:tc>
          <w:tcPr>
            <w:tcW w:w="6512" w:type="dxa"/>
          </w:tcPr>
          <w:p w14:paraId="7FC1162C" w14:textId="77777777" w:rsidR="007B0AA0" w:rsidRPr="00B160B1" w:rsidRDefault="007B0AA0" w:rsidP="00F363FE">
            <w:pPr>
              <w:spacing w:before="60" w:after="60" w:line="260" w:lineRule="exact"/>
              <w:rPr>
                <w:lang w:bidi="ar-EG"/>
              </w:rPr>
            </w:pPr>
          </w:p>
        </w:tc>
        <w:tc>
          <w:tcPr>
            <w:tcW w:w="3117" w:type="dxa"/>
          </w:tcPr>
          <w:p w14:paraId="2D7C960A" w14:textId="77777777" w:rsidR="007B0AA0" w:rsidRPr="00B160B1" w:rsidRDefault="007B0AA0" w:rsidP="00F363FE">
            <w:pPr>
              <w:spacing w:before="60" w:after="60" w:line="260" w:lineRule="exact"/>
              <w:rPr>
                <w:rtl/>
                <w:lang w:bidi="ar-EG"/>
              </w:rPr>
            </w:pPr>
          </w:p>
        </w:tc>
      </w:tr>
      <w:tr w:rsidR="007B0AA0" w:rsidRPr="00B160B1" w14:paraId="002F7407" w14:textId="77777777" w:rsidTr="00EE7446">
        <w:tc>
          <w:tcPr>
            <w:tcW w:w="9629" w:type="dxa"/>
            <w:gridSpan w:val="2"/>
          </w:tcPr>
          <w:p w14:paraId="28CDF4A7" w14:textId="1C8DE4D5" w:rsidR="007B0AA0" w:rsidRPr="00B160B1" w:rsidRDefault="00E378AF" w:rsidP="007B0AA0">
            <w:pPr>
              <w:pStyle w:val="Source"/>
              <w:jc w:val="left"/>
              <w:rPr>
                <w:rtl/>
                <w:lang w:bidi="ar-EG"/>
              </w:rPr>
            </w:pPr>
            <w:r w:rsidRPr="00B160B1">
              <w:rPr>
                <w:rtl/>
                <w:lang w:bidi="ar-EG"/>
              </w:rPr>
              <w:t>تقرير من الأمينة العامة</w:t>
            </w:r>
          </w:p>
        </w:tc>
      </w:tr>
      <w:tr w:rsidR="007B0AA0" w:rsidRPr="00B160B1" w14:paraId="32729100" w14:textId="77777777" w:rsidTr="007B0AA0">
        <w:tc>
          <w:tcPr>
            <w:tcW w:w="9629" w:type="dxa"/>
            <w:gridSpan w:val="2"/>
            <w:tcBorders>
              <w:bottom w:val="single" w:sz="4" w:space="0" w:color="auto"/>
            </w:tcBorders>
          </w:tcPr>
          <w:p w14:paraId="3782DD5A" w14:textId="31FCC23E" w:rsidR="007B0AA0" w:rsidRPr="00B160B1" w:rsidRDefault="00E378AF" w:rsidP="00F14695">
            <w:pPr>
              <w:pStyle w:val="Subtitle0"/>
            </w:pPr>
            <w:bookmarkStart w:id="0" w:name="_Hlk108797253"/>
            <w:r w:rsidRPr="00B160B1">
              <w:rPr>
                <w:rtl/>
              </w:rPr>
              <w:t>أنشطة الاتحاد المتصلة بالإنترنت: القرارات 101 و102 و133 و180 و206</w:t>
            </w:r>
            <w:bookmarkEnd w:id="0"/>
          </w:p>
        </w:tc>
      </w:tr>
      <w:tr w:rsidR="007B0AA0" w:rsidRPr="00B160B1" w14:paraId="7EFE99A0" w14:textId="77777777" w:rsidTr="00F14695">
        <w:trPr>
          <w:trHeight w:val="8277"/>
        </w:trPr>
        <w:tc>
          <w:tcPr>
            <w:tcW w:w="9629" w:type="dxa"/>
            <w:gridSpan w:val="2"/>
            <w:tcBorders>
              <w:top w:val="single" w:sz="4" w:space="0" w:color="auto"/>
              <w:bottom w:val="single" w:sz="4" w:space="0" w:color="auto"/>
            </w:tcBorders>
          </w:tcPr>
          <w:p w14:paraId="703183EA" w14:textId="67E3E6FD" w:rsidR="007B0AA0" w:rsidRPr="00B160B1" w:rsidRDefault="007B0AA0" w:rsidP="007B0AA0">
            <w:pPr>
              <w:rPr>
                <w:b/>
                <w:bCs/>
                <w:rtl/>
              </w:rPr>
            </w:pPr>
            <w:r w:rsidRPr="00B160B1">
              <w:rPr>
                <w:b/>
                <w:bCs/>
                <w:rtl/>
              </w:rPr>
              <w:t>الغرض</w:t>
            </w:r>
          </w:p>
          <w:p w14:paraId="369E9CD2" w14:textId="7FE0B6C5" w:rsidR="007B0AA0" w:rsidRPr="00CF7AE2" w:rsidRDefault="00E378AF" w:rsidP="00E378AF">
            <w:pPr>
              <w:textDirection w:val="tbRlV"/>
              <w:rPr>
                <w:spacing w:val="-2"/>
                <w:rtl/>
                <w:lang w:eastAsia="zh-TW" w:bidi="en-GB"/>
              </w:rPr>
            </w:pPr>
            <w:r w:rsidRPr="00CF7AE2">
              <w:rPr>
                <w:spacing w:val="-2"/>
                <w:rtl/>
              </w:rPr>
              <w:t>يوجز هذا التقرير أنشطة الاتحاد الدولي للاتصالات المتصلة بالقرار 101 (المراجَع في بوخارست، 2022) لمؤتمر المندوبين المفوَّضين بشأن "</w:t>
            </w:r>
            <w:r w:rsidRPr="00CF7AE2">
              <w:rPr>
                <w:i/>
                <w:iCs/>
                <w:spacing w:val="-2"/>
                <w:rtl/>
              </w:rPr>
              <w:t>الشبكات القائمة على بروتوكول الإنترنت</w:t>
            </w:r>
            <w:r w:rsidRPr="00CF7AE2">
              <w:rPr>
                <w:spacing w:val="-2"/>
                <w:rtl/>
              </w:rPr>
              <w:t>"؛ والقرار 102 (المراجَع في بوخارست، 2022) بشأن "</w:t>
            </w:r>
            <w:r w:rsidRPr="00CF7AE2">
              <w:rPr>
                <w:i/>
                <w:iCs/>
                <w:spacing w:val="-2"/>
                <w:rtl/>
              </w:rPr>
              <w:t>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w:t>
            </w:r>
            <w:r w:rsidRPr="00CF7AE2">
              <w:rPr>
                <w:spacing w:val="-2"/>
                <w:rtl/>
              </w:rPr>
              <w:t>"؛ والقرار 133 (المراجَع في بوخارست، 2022) بشأن "</w:t>
            </w:r>
            <w:r w:rsidRPr="00CF7AE2">
              <w:rPr>
                <w:i/>
                <w:iCs/>
                <w:spacing w:val="-2"/>
                <w:rtl/>
              </w:rPr>
              <w:t>أدوار إدارات الدول الأعضاء في إدارة أسماء الميادين الدولية الطابع (المتعددة اللغات)</w:t>
            </w:r>
            <w:r w:rsidRPr="00CF7AE2">
              <w:rPr>
                <w:spacing w:val="-2"/>
                <w:rtl/>
              </w:rPr>
              <w:t>"؛ والقرار 180 (المراجَع في بوخارست، 2022) بشأن "</w:t>
            </w:r>
            <w:r w:rsidRPr="00CF7AE2">
              <w:rPr>
                <w:i/>
                <w:iCs/>
                <w:spacing w:val="-2"/>
                <w:rtl/>
              </w:rPr>
              <w:t>تعزيز نشر الإصدار السادس لبروتوكول الإنترنت (IPv6)</w:t>
            </w:r>
            <w:r w:rsidRPr="00CF7AE2">
              <w:rPr>
                <w:i/>
                <w:iCs/>
                <w:spacing w:val="-2"/>
              </w:rPr>
              <w:t>"</w:t>
            </w:r>
            <w:r w:rsidRPr="00CF7AE2">
              <w:rPr>
                <w:i/>
                <w:iCs/>
                <w:spacing w:val="-2"/>
                <w:rtl/>
              </w:rPr>
              <w:t>؛ والقرار 206 (دبي، 2018) بشأن "الخدمات المتاحة عبر الإنترنت (</w:t>
            </w:r>
            <w:r w:rsidRPr="00CF7AE2">
              <w:rPr>
                <w:i/>
                <w:iCs/>
                <w:spacing w:val="-2"/>
              </w:rPr>
              <w:t>OTT</w:t>
            </w:r>
            <w:r w:rsidRPr="00CF7AE2">
              <w:rPr>
                <w:i/>
                <w:iCs/>
                <w:spacing w:val="-2"/>
                <w:rtl/>
              </w:rPr>
              <w:t>)</w:t>
            </w:r>
            <w:r w:rsidRPr="00CF7AE2">
              <w:rPr>
                <w:spacing w:val="-2"/>
              </w:rPr>
              <w:t>"</w:t>
            </w:r>
            <w:r w:rsidRPr="00CF7AE2">
              <w:rPr>
                <w:spacing w:val="-2"/>
                <w:rtl/>
              </w:rPr>
              <w:t>.</w:t>
            </w:r>
          </w:p>
          <w:p w14:paraId="7DF30505" w14:textId="77777777" w:rsidR="007B0AA0" w:rsidRPr="00B160B1" w:rsidRDefault="007B0AA0" w:rsidP="007B0AA0">
            <w:pPr>
              <w:rPr>
                <w:b/>
                <w:bCs/>
                <w:rtl/>
              </w:rPr>
            </w:pPr>
            <w:r w:rsidRPr="00B160B1">
              <w:rPr>
                <w:b/>
                <w:bCs/>
                <w:rtl/>
              </w:rPr>
              <w:t>الإجراء المطلوب من المجلس</w:t>
            </w:r>
          </w:p>
          <w:p w14:paraId="5C92E8BE" w14:textId="08EF0644" w:rsidR="00E378AF" w:rsidRPr="00B160B1" w:rsidRDefault="00E378AF" w:rsidP="00E378AF">
            <w:pPr>
              <w:rPr>
                <w:rtl/>
              </w:rPr>
            </w:pPr>
            <w:r w:rsidRPr="00B160B1">
              <w:rPr>
                <w:rtl/>
              </w:rPr>
              <w:t xml:space="preserve">يدعى المجلس إلى </w:t>
            </w:r>
            <w:r w:rsidRPr="00B160B1">
              <w:rPr>
                <w:b/>
                <w:bCs/>
                <w:rtl/>
              </w:rPr>
              <w:t>العلم</w:t>
            </w:r>
            <w:r w:rsidRPr="0073780A">
              <w:rPr>
                <w:rtl/>
              </w:rPr>
              <w:t xml:space="preserve"> </w:t>
            </w:r>
            <w:r w:rsidRPr="00B160B1">
              <w:rPr>
                <w:rtl/>
              </w:rPr>
              <w:t xml:space="preserve">بهذا التقرير. ويُدعى المجلس أيضاً إلى </w:t>
            </w:r>
            <w:r w:rsidRPr="00B160B1">
              <w:rPr>
                <w:b/>
                <w:bCs/>
                <w:rtl/>
              </w:rPr>
              <w:t>إقرار</w:t>
            </w:r>
            <w:r w:rsidRPr="00EC0567">
              <w:rPr>
                <w:rtl/>
              </w:rPr>
              <w:t xml:space="preserve"> </w:t>
            </w:r>
            <w:r w:rsidRPr="00B160B1">
              <w:rPr>
                <w:rtl/>
              </w:rPr>
              <w:t>إحالة التقرير، مشفوعاً بالآراء المجمعة من الدول الأعضاء في المجلس والمحاضر الموجزة ذات الصلة ومذكرة الإحالة، إلى الأمين العام للأمم المتحدة</w:t>
            </w:r>
            <w:r w:rsidRPr="00B160B1">
              <w:rPr>
                <w:rtl/>
                <w:lang w:bidi="ar-SY"/>
              </w:rPr>
              <w:t>.</w:t>
            </w:r>
          </w:p>
          <w:p w14:paraId="0AF7AF3F" w14:textId="77777777" w:rsidR="00E378AF" w:rsidRPr="00B160B1" w:rsidRDefault="00E378AF" w:rsidP="00E378AF">
            <w:pPr>
              <w:rPr>
                <w:b/>
                <w:bCs/>
                <w:rtl/>
              </w:rPr>
            </w:pPr>
            <w:r w:rsidRPr="00B160B1">
              <w:rPr>
                <w:b/>
                <w:bCs/>
                <w:rtl/>
              </w:rPr>
              <w:t>روابط ذات صلة بالخطة الاستراتيجية</w:t>
            </w:r>
          </w:p>
          <w:p w14:paraId="5B0ABEC7" w14:textId="77777777" w:rsidR="00E378AF" w:rsidRPr="00B160B1" w:rsidRDefault="00E378AF" w:rsidP="00E378AF">
            <w:pPr>
              <w:rPr>
                <w:b/>
                <w:bCs/>
                <w:rtl/>
              </w:rPr>
            </w:pPr>
            <w:r w:rsidRPr="00B160B1">
              <w:rPr>
                <w:rtl/>
              </w:rPr>
              <w:t xml:space="preserve">وضع المعايير الدولية؛ </w:t>
            </w:r>
            <w:bookmarkStart w:id="1" w:name="_Hlk165081252"/>
            <w:r w:rsidRPr="00B160B1">
              <w:rPr>
                <w:rtl/>
              </w:rPr>
              <w:t>منبر للقاءات</w:t>
            </w:r>
            <w:bookmarkEnd w:id="1"/>
            <w:r w:rsidRPr="00B160B1">
              <w:rPr>
                <w:rtl/>
              </w:rPr>
              <w:t>؛ بناء القدرات؛ تقديم المساعدة التقنية.</w:t>
            </w:r>
          </w:p>
          <w:p w14:paraId="4645CFA7" w14:textId="77777777" w:rsidR="00E378AF" w:rsidRPr="00B160B1" w:rsidRDefault="00E378AF" w:rsidP="00E378AF">
            <w:pPr>
              <w:rPr>
                <w:b/>
                <w:bCs/>
                <w:rtl/>
              </w:rPr>
            </w:pPr>
            <w:r w:rsidRPr="00B160B1">
              <w:rPr>
                <w:b/>
                <w:bCs/>
                <w:rtl/>
              </w:rPr>
              <w:t>الآثار المالية</w:t>
            </w:r>
          </w:p>
          <w:p w14:paraId="6F147DC2" w14:textId="3BC2F0BF" w:rsidR="007B0AA0" w:rsidRPr="00B160B1" w:rsidRDefault="00E378AF" w:rsidP="00E378AF">
            <w:pPr>
              <w:textDirection w:val="tbRlV"/>
              <w:rPr>
                <w:lang w:eastAsia="zh-TW"/>
              </w:rPr>
            </w:pPr>
            <w:r w:rsidRPr="00B160B1">
              <w:rPr>
                <w:rtl/>
              </w:rPr>
              <w:t>ضمن الميزانية المخصصة لفترة السنتين 2024-2025</w:t>
            </w:r>
            <w:r w:rsidRPr="00B160B1">
              <w:rPr>
                <w:rtl/>
                <w:lang w:eastAsia="zh-TW"/>
              </w:rPr>
              <w:t>.</w:t>
            </w:r>
          </w:p>
          <w:p w14:paraId="13A6F934" w14:textId="77777777" w:rsidR="00E7538C" w:rsidRDefault="00E7538C" w:rsidP="00E7538C">
            <w:pPr>
              <w:jc w:val="left"/>
              <w:rPr>
                <w:rtl/>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w:t>
            </w:r>
          </w:p>
          <w:p w14:paraId="531B8CB7" w14:textId="6A933339" w:rsidR="007B0AA0" w:rsidRPr="00B160B1" w:rsidRDefault="007B0AA0" w:rsidP="007B0AA0">
            <w:pPr>
              <w:rPr>
                <w:b/>
                <w:bCs/>
                <w:rtl/>
              </w:rPr>
            </w:pPr>
            <w:r w:rsidRPr="00B160B1">
              <w:rPr>
                <w:b/>
                <w:bCs/>
                <w:rtl/>
              </w:rPr>
              <w:t>المراجع</w:t>
            </w:r>
          </w:p>
          <w:p w14:paraId="62F2283D" w14:textId="4FAFBA49" w:rsidR="007B0AA0" w:rsidRPr="00B160B1" w:rsidRDefault="00E378AF" w:rsidP="00B627F2">
            <w:pPr>
              <w:spacing w:after="120"/>
              <w:rPr>
                <w:i/>
                <w:iCs/>
                <w:rtl/>
              </w:rPr>
            </w:pPr>
            <w:r w:rsidRPr="00B160B1">
              <w:rPr>
                <w:i/>
                <w:iCs/>
                <w:rtl/>
              </w:rPr>
              <w:t xml:space="preserve">قرارات مؤتمر المندوبين المفوَّضين </w:t>
            </w:r>
            <w:hyperlink r:id="rId8" w:history="1">
              <w:r w:rsidRPr="00B160B1">
                <w:rPr>
                  <w:rStyle w:val="Hyperlink"/>
                  <w:i/>
                  <w:iCs/>
                  <w:rtl/>
                </w:rPr>
                <w:t>101</w:t>
              </w:r>
            </w:hyperlink>
            <w:r w:rsidRPr="00B160B1">
              <w:rPr>
                <w:i/>
                <w:iCs/>
                <w:rtl/>
              </w:rPr>
              <w:t xml:space="preserve"> و</w:t>
            </w:r>
            <w:hyperlink r:id="rId9" w:history="1">
              <w:r w:rsidRPr="00B160B1">
                <w:rPr>
                  <w:rStyle w:val="Hyperlink"/>
                  <w:i/>
                  <w:iCs/>
                  <w:rtl/>
                </w:rPr>
                <w:t>102</w:t>
              </w:r>
            </w:hyperlink>
            <w:r w:rsidRPr="00B160B1">
              <w:rPr>
                <w:i/>
                <w:iCs/>
                <w:rtl/>
              </w:rPr>
              <w:t xml:space="preserve"> و</w:t>
            </w:r>
            <w:hyperlink r:id="rId10" w:history="1">
              <w:r w:rsidRPr="00B160B1">
                <w:rPr>
                  <w:rStyle w:val="Hyperlink"/>
                  <w:i/>
                  <w:iCs/>
                  <w:rtl/>
                </w:rPr>
                <w:t>133</w:t>
              </w:r>
            </w:hyperlink>
            <w:r w:rsidRPr="00B160B1">
              <w:rPr>
                <w:i/>
                <w:iCs/>
                <w:rtl/>
              </w:rPr>
              <w:t xml:space="preserve"> و</w:t>
            </w:r>
            <w:hyperlink r:id="rId11" w:history="1">
              <w:r w:rsidRPr="00B160B1">
                <w:rPr>
                  <w:rStyle w:val="Hyperlink"/>
                  <w:i/>
                  <w:iCs/>
                  <w:rtl/>
                </w:rPr>
                <w:t>180</w:t>
              </w:r>
            </w:hyperlink>
            <w:r w:rsidRPr="00B160B1">
              <w:rPr>
                <w:i/>
                <w:iCs/>
                <w:rtl/>
              </w:rPr>
              <w:t xml:space="preserve"> (المراجَعة في بوخارست، 2022) والقرار </w:t>
            </w:r>
            <w:hyperlink r:id="rId12" w:history="1">
              <w:r w:rsidRPr="00B160B1">
                <w:rPr>
                  <w:rStyle w:val="Hyperlink"/>
                  <w:i/>
                  <w:iCs/>
                  <w:rtl/>
                </w:rPr>
                <w:t>206</w:t>
              </w:r>
            </w:hyperlink>
            <w:r w:rsidRPr="00B160B1">
              <w:rPr>
                <w:i/>
                <w:iCs/>
                <w:rtl/>
              </w:rPr>
              <w:t xml:space="preserve"> (دبي، 2018)؛ قرارات المجلس </w:t>
            </w:r>
            <w:hyperlink r:id="rId13" w:history="1">
              <w:r w:rsidRPr="00B160B1">
                <w:rPr>
                  <w:rStyle w:val="Hyperlink"/>
                  <w:i/>
                  <w:iCs/>
                  <w:rtl/>
                </w:rPr>
                <w:t>1305</w:t>
              </w:r>
            </w:hyperlink>
            <w:r w:rsidRPr="00B160B1">
              <w:rPr>
                <w:i/>
                <w:iCs/>
                <w:rtl/>
              </w:rPr>
              <w:t xml:space="preserve"> (2009) و</w:t>
            </w:r>
            <w:hyperlink r:id="rId14" w:history="1">
              <w:r w:rsidRPr="00B160B1">
                <w:rPr>
                  <w:rStyle w:val="Hyperlink"/>
                  <w:i/>
                  <w:iCs/>
                  <w:rtl/>
                </w:rPr>
                <w:t>1336</w:t>
              </w:r>
            </w:hyperlink>
            <w:r w:rsidRPr="00B160B1">
              <w:rPr>
                <w:i/>
                <w:iCs/>
                <w:rtl/>
              </w:rPr>
              <w:t xml:space="preserve"> (المعدَّل في 2015) و</w:t>
            </w:r>
            <w:hyperlink r:id="rId15" w:history="1">
              <w:r w:rsidRPr="00B160B1">
                <w:rPr>
                  <w:rStyle w:val="Hyperlink"/>
                  <w:i/>
                  <w:iCs/>
                  <w:rtl/>
                </w:rPr>
                <w:t>1344</w:t>
              </w:r>
            </w:hyperlink>
            <w:r w:rsidRPr="00B160B1">
              <w:rPr>
                <w:i/>
                <w:iCs/>
                <w:rtl/>
              </w:rPr>
              <w:t xml:space="preserve"> (المعدَّل في 2015)؛ قرارات الجمعية العالمية لتقييس الاتصالات </w:t>
            </w:r>
            <w:hyperlink r:id="rId16" w:history="1">
              <w:r w:rsidRPr="00B160B1">
                <w:rPr>
                  <w:rStyle w:val="Hyperlink"/>
                  <w:i/>
                  <w:iCs/>
                  <w:rtl/>
                </w:rPr>
                <w:t>47</w:t>
              </w:r>
            </w:hyperlink>
            <w:r w:rsidRPr="00B160B1">
              <w:rPr>
                <w:i/>
                <w:iCs/>
                <w:rtl/>
              </w:rPr>
              <w:t xml:space="preserve"> (المراجَع في دبي، 2012) و</w:t>
            </w:r>
            <w:hyperlink r:id="rId17" w:history="1">
              <w:r w:rsidRPr="00B160B1">
                <w:rPr>
                  <w:rStyle w:val="Hyperlink"/>
                  <w:i/>
                  <w:iCs/>
                  <w:rtl/>
                </w:rPr>
                <w:t>48</w:t>
              </w:r>
            </w:hyperlink>
            <w:r w:rsidRPr="00B160B1">
              <w:rPr>
                <w:i/>
                <w:iCs/>
                <w:rtl/>
              </w:rPr>
              <w:t xml:space="preserve"> (المراجَع في جنيف، 2022) و</w:t>
            </w:r>
            <w:hyperlink r:id="rId18" w:history="1">
              <w:r w:rsidRPr="00B160B1">
                <w:rPr>
                  <w:rStyle w:val="Hyperlink"/>
                  <w:i/>
                  <w:iCs/>
                  <w:rtl/>
                </w:rPr>
                <w:t>49</w:t>
              </w:r>
            </w:hyperlink>
            <w:r w:rsidRPr="00B160B1">
              <w:rPr>
                <w:i/>
                <w:iCs/>
                <w:rtl/>
              </w:rPr>
              <w:t xml:space="preserve"> (المراجَع في الحمامات، 2016) و</w:t>
            </w:r>
            <w:hyperlink r:id="rId19" w:history="1">
              <w:r w:rsidRPr="00B160B1">
                <w:rPr>
                  <w:rStyle w:val="Hyperlink"/>
                  <w:i/>
                  <w:iCs/>
                  <w:rtl/>
                </w:rPr>
                <w:t>50</w:t>
              </w:r>
            </w:hyperlink>
            <w:r w:rsidRPr="00B160B1">
              <w:rPr>
                <w:i/>
                <w:iCs/>
                <w:rtl/>
              </w:rPr>
              <w:t xml:space="preserve"> (المراجَع في جنيف، 2022) و</w:t>
            </w:r>
            <w:hyperlink r:id="rId20" w:history="1">
              <w:r w:rsidRPr="00B160B1">
                <w:rPr>
                  <w:rStyle w:val="Hyperlink"/>
                  <w:i/>
                  <w:iCs/>
                  <w:rtl/>
                </w:rPr>
                <w:t>52</w:t>
              </w:r>
            </w:hyperlink>
            <w:r w:rsidRPr="00B160B1">
              <w:rPr>
                <w:i/>
                <w:iCs/>
                <w:rtl/>
              </w:rPr>
              <w:t xml:space="preserve"> (المراجَع في الحمامات، 2016) و</w:t>
            </w:r>
            <w:hyperlink r:id="rId21" w:history="1">
              <w:r w:rsidRPr="00B160B1">
                <w:rPr>
                  <w:rStyle w:val="Hyperlink"/>
                  <w:i/>
                  <w:iCs/>
                  <w:rtl/>
                </w:rPr>
                <w:t>58</w:t>
              </w:r>
            </w:hyperlink>
            <w:r w:rsidRPr="00B160B1">
              <w:rPr>
                <w:i/>
                <w:iCs/>
                <w:rtl/>
              </w:rPr>
              <w:t xml:space="preserve"> و</w:t>
            </w:r>
            <w:hyperlink r:id="rId22" w:history="1">
              <w:r w:rsidRPr="00B160B1">
                <w:rPr>
                  <w:rStyle w:val="Hyperlink"/>
                  <w:i/>
                  <w:iCs/>
                  <w:rtl/>
                </w:rPr>
                <w:t>60</w:t>
              </w:r>
            </w:hyperlink>
            <w:r w:rsidRPr="00B160B1">
              <w:rPr>
                <w:i/>
                <w:iCs/>
                <w:rtl/>
              </w:rPr>
              <w:t xml:space="preserve"> و</w:t>
            </w:r>
            <w:hyperlink r:id="rId23" w:history="1">
              <w:r w:rsidRPr="00B160B1">
                <w:rPr>
                  <w:rStyle w:val="Hyperlink"/>
                  <w:i/>
                  <w:iCs/>
                  <w:rtl/>
                </w:rPr>
                <w:t>64</w:t>
              </w:r>
            </w:hyperlink>
            <w:r w:rsidRPr="00B160B1">
              <w:rPr>
                <w:i/>
                <w:iCs/>
                <w:rtl/>
              </w:rPr>
              <w:t xml:space="preserve"> (المراجعَة في جنيف، 2022) و</w:t>
            </w:r>
            <w:hyperlink r:id="rId24" w:history="1">
              <w:r w:rsidRPr="00B160B1">
                <w:rPr>
                  <w:rStyle w:val="Hyperlink"/>
                  <w:i/>
                  <w:iCs/>
                  <w:rtl/>
                </w:rPr>
                <w:t>69</w:t>
              </w:r>
            </w:hyperlink>
            <w:r w:rsidRPr="00B160B1">
              <w:rPr>
                <w:i/>
                <w:iCs/>
                <w:rtl/>
              </w:rPr>
              <w:t xml:space="preserve"> و</w:t>
            </w:r>
            <w:hyperlink r:id="rId25" w:history="1">
              <w:r w:rsidRPr="00B160B1">
                <w:rPr>
                  <w:rStyle w:val="Hyperlink"/>
                  <w:i/>
                  <w:iCs/>
                  <w:rtl/>
                </w:rPr>
                <w:t>75</w:t>
              </w:r>
            </w:hyperlink>
            <w:r w:rsidRPr="00B160B1">
              <w:rPr>
                <w:i/>
                <w:iCs/>
                <w:rtl/>
              </w:rPr>
              <w:t xml:space="preserve"> (المراجَعان في</w:t>
            </w:r>
            <w:r w:rsidR="00B95781">
              <w:rPr>
                <w:rFonts w:hint="cs"/>
                <w:i/>
                <w:iCs/>
                <w:rtl/>
              </w:rPr>
              <w:t> </w:t>
            </w:r>
            <w:r w:rsidRPr="00B160B1">
              <w:rPr>
                <w:i/>
                <w:iCs/>
                <w:rtl/>
              </w:rPr>
              <w:t>جنيف، 2022) و</w:t>
            </w:r>
            <w:hyperlink r:id="rId26" w:history="1">
              <w:r w:rsidRPr="00B160B1">
                <w:rPr>
                  <w:rStyle w:val="Hyperlink"/>
                  <w:i/>
                  <w:iCs/>
                  <w:rtl/>
                </w:rPr>
                <w:t>98</w:t>
              </w:r>
            </w:hyperlink>
            <w:r w:rsidRPr="00B160B1">
              <w:rPr>
                <w:i/>
                <w:iCs/>
                <w:rtl/>
              </w:rPr>
              <w:t xml:space="preserve"> (المراجَع في جنيف، 2022)؛ </w:t>
            </w:r>
            <w:hyperlink r:id="rId27" w:history="1">
              <w:r w:rsidRPr="00B160B1">
                <w:rPr>
                  <w:rStyle w:val="Hyperlink"/>
                  <w:i/>
                  <w:iCs/>
                  <w:rtl/>
                </w:rPr>
                <w:t>الناتج 3.3 من الهدف 3 لخطة عمل بوينس آيرس الصادرة عن المؤتمر العالمي لتنمية الاتصالات لعام 2017 (WTDC-17)</w:t>
              </w:r>
            </w:hyperlink>
            <w:r w:rsidRPr="00B160B1">
              <w:rPr>
                <w:i/>
                <w:iCs/>
                <w:rtl/>
              </w:rPr>
              <w:t xml:space="preserve">، القرارات </w:t>
            </w:r>
            <w:hyperlink r:id="rId28" w:history="1">
              <w:r w:rsidRPr="00B160B1">
                <w:rPr>
                  <w:rStyle w:val="Hyperlink"/>
                  <w:i/>
                  <w:iCs/>
                  <w:rtl/>
                </w:rPr>
                <w:t>20</w:t>
              </w:r>
            </w:hyperlink>
            <w:r w:rsidRPr="00B160B1">
              <w:rPr>
                <w:i/>
                <w:iCs/>
                <w:rtl/>
              </w:rPr>
              <w:t xml:space="preserve"> و</w:t>
            </w:r>
            <w:hyperlink r:id="rId29" w:history="1">
              <w:r w:rsidRPr="00B160B1">
                <w:rPr>
                  <w:rStyle w:val="Hyperlink"/>
                  <w:i/>
                  <w:iCs/>
                  <w:rtl/>
                </w:rPr>
                <w:t>30</w:t>
              </w:r>
            </w:hyperlink>
            <w:r w:rsidRPr="00B160B1">
              <w:rPr>
                <w:i/>
                <w:iCs/>
                <w:rtl/>
              </w:rPr>
              <w:t xml:space="preserve"> و</w:t>
            </w:r>
            <w:hyperlink r:id="rId30" w:history="1">
              <w:r w:rsidRPr="00B160B1">
                <w:rPr>
                  <w:rStyle w:val="Hyperlink"/>
                  <w:i/>
                  <w:iCs/>
                  <w:rtl/>
                </w:rPr>
                <w:t>63</w:t>
              </w:r>
            </w:hyperlink>
            <w:r w:rsidRPr="00B160B1">
              <w:rPr>
                <w:i/>
                <w:iCs/>
                <w:rtl/>
              </w:rPr>
              <w:t xml:space="preserve"> (المراجَعة في بوينس آيرس، 2017) و</w:t>
            </w:r>
            <w:hyperlink r:id="rId31" w:history="1">
              <w:r w:rsidRPr="00B160B1">
                <w:rPr>
                  <w:rStyle w:val="Hyperlink"/>
                  <w:i/>
                  <w:iCs/>
                  <w:rtl/>
                </w:rPr>
                <w:t>45</w:t>
              </w:r>
            </w:hyperlink>
            <w:r w:rsidR="00F14695" w:rsidRPr="00B160B1">
              <w:rPr>
                <w:rtl/>
              </w:rPr>
              <w:t> </w:t>
            </w:r>
            <w:r w:rsidRPr="00B160B1">
              <w:rPr>
                <w:i/>
                <w:iCs/>
                <w:rtl/>
              </w:rPr>
              <w:t>(المراجَع في دبي، 2014) للمؤتمر العالمي لتنمية الاتصالات (</w:t>
            </w:r>
            <w:r w:rsidRPr="00B160B1">
              <w:rPr>
                <w:i/>
                <w:iCs/>
              </w:rPr>
              <w:t>WTDC</w:t>
            </w:r>
            <w:r w:rsidRPr="00B160B1">
              <w:rPr>
                <w:i/>
                <w:iCs/>
                <w:rtl/>
              </w:rPr>
              <w:t xml:space="preserve">)؛ وثائق المجلس </w:t>
            </w:r>
            <w:hyperlink r:id="rId32" w:history="1">
              <w:r w:rsidR="00872FBA" w:rsidRPr="00B160B1">
                <w:rPr>
                  <w:rStyle w:val="Hyperlink"/>
                  <w:i/>
                </w:rPr>
                <w:t>C16/33</w:t>
              </w:r>
            </w:hyperlink>
            <w:r w:rsidRPr="00B160B1">
              <w:rPr>
                <w:i/>
                <w:iCs/>
                <w:rtl/>
              </w:rPr>
              <w:t xml:space="preserve"> و</w:t>
            </w:r>
            <w:hyperlink r:id="rId33" w:history="1">
              <w:r w:rsidR="00872FBA" w:rsidRPr="00B160B1">
                <w:rPr>
                  <w:rStyle w:val="Hyperlink"/>
                  <w:i/>
                </w:rPr>
                <w:t>C17/33</w:t>
              </w:r>
            </w:hyperlink>
            <w:r w:rsidRPr="00B160B1">
              <w:rPr>
                <w:i/>
                <w:iCs/>
                <w:rtl/>
              </w:rPr>
              <w:t xml:space="preserve"> و</w:t>
            </w:r>
            <w:hyperlink r:id="rId34" w:history="1">
              <w:r w:rsidRPr="00B160B1">
                <w:rPr>
                  <w:rStyle w:val="Hyperlink"/>
                  <w:i/>
                  <w:iCs/>
                  <w:rtl/>
                </w:rPr>
                <w:t>C18/33</w:t>
              </w:r>
            </w:hyperlink>
            <w:r w:rsidRPr="00B160B1">
              <w:rPr>
                <w:i/>
                <w:iCs/>
                <w:rtl/>
              </w:rPr>
              <w:t xml:space="preserve"> و</w:t>
            </w:r>
            <w:hyperlink r:id="rId35" w:history="1">
              <w:r w:rsidRPr="00B160B1">
                <w:rPr>
                  <w:rStyle w:val="Hyperlink"/>
                  <w:i/>
                  <w:iCs/>
                  <w:rtl/>
                </w:rPr>
                <w:t>C19/33</w:t>
              </w:r>
            </w:hyperlink>
            <w:r w:rsidRPr="00B160B1">
              <w:rPr>
                <w:i/>
                <w:iCs/>
                <w:rtl/>
              </w:rPr>
              <w:t xml:space="preserve"> و</w:t>
            </w:r>
            <w:hyperlink r:id="rId36" w:history="1">
              <w:r w:rsidRPr="00B160B1">
                <w:rPr>
                  <w:rStyle w:val="Hyperlink"/>
                  <w:i/>
                  <w:iCs/>
                  <w:rtl/>
                </w:rPr>
                <w:t>C20/33</w:t>
              </w:r>
            </w:hyperlink>
            <w:r w:rsidRPr="00B160B1">
              <w:rPr>
                <w:i/>
                <w:iCs/>
                <w:rtl/>
              </w:rPr>
              <w:t xml:space="preserve"> و</w:t>
            </w:r>
            <w:hyperlink r:id="rId37" w:history="1">
              <w:r w:rsidRPr="00B160B1">
                <w:rPr>
                  <w:rStyle w:val="Hyperlink"/>
                  <w:i/>
                  <w:iCs/>
                  <w:rtl/>
                </w:rPr>
                <w:t>C21/33</w:t>
              </w:r>
            </w:hyperlink>
            <w:r w:rsidRPr="00B160B1">
              <w:rPr>
                <w:i/>
                <w:iCs/>
                <w:rtl/>
              </w:rPr>
              <w:t xml:space="preserve"> و</w:t>
            </w:r>
            <w:hyperlink r:id="rId38" w:history="1">
              <w:r w:rsidRPr="00B160B1">
                <w:rPr>
                  <w:rStyle w:val="Hyperlink"/>
                  <w:i/>
                  <w:iCs/>
                  <w:rtl/>
                </w:rPr>
                <w:t>C22/33</w:t>
              </w:r>
            </w:hyperlink>
            <w:r w:rsidRPr="00B160B1">
              <w:rPr>
                <w:i/>
                <w:iCs/>
                <w:rtl/>
              </w:rPr>
              <w:t xml:space="preserve"> و</w:t>
            </w:r>
            <w:hyperlink r:id="rId39" w:history="1">
              <w:r w:rsidRPr="00B160B1">
                <w:rPr>
                  <w:rStyle w:val="Hyperlink"/>
                  <w:i/>
                  <w:iCs/>
                </w:rPr>
                <w:t>C23/33</w:t>
              </w:r>
            </w:hyperlink>
            <w:r w:rsidRPr="00B160B1">
              <w:rPr>
                <w:i/>
                <w:iCs/>
                <w:rtl/>
              </w:rPr>
              <w:t>.</w:t>
            </w:r>
          </w:p>
        </w:tc>
      </w:tr>
    </w:tbl>
    <w:p w14:paraId="4AAA223A" w14:textId="77777777" w:rsidR="00F50E3F" w:rsidRPr="00B160B1" w:rsidRDefault="00F50E3F" w:rsidP="00872FBA">
      <w:pPr>
        <w:rPr>
          <w:rtl/>
          <w:lang w:bidi="ar-EG"/>
        </w:rPr>
      </w:pPr>
      <w:r w:rsidRPr="00B160B1">
        <w:rPr>
          <w:rtl/>
          <w:lang w:bidi="ar-EG"/>
        </w:rPr>
        <w:br w:type="page"/>
      </w:r>
    </w:p>
    <w:p w14:paraId="691AE081" w14:textId="77777777" w:rsidR="00E378AF" w:rsidRPr="00B160B1" w:rsidRDefault="00E378AF" w:rsidP="00B71BB8">
      <w:pPr>
        <w:pStyle w:val="Heading1"/>
      </w:pPr>
      <w:r w:rsidRPr="00B160B1">
        <w:lastRenderedPageBreak/>
        <w:t>1</w:t>
      </w:r>
      <w:r w:rsidRPr="00B160B1">
        <w:rPr>
          <w:rtl/>
        </w:rPr>
        <w:tab/>
        <w:t>مقدمة</w:t>
      </w:r>
    </w:p>
    <w:p w14:paraId="4723B118" w14:textId="77777777" w:rsidR="00E378AF" w:rsidRPr="00B160B1" w:rsidRDefault="00E378AF" w:rsidP="00B71BB8">
      <w:pPr>
        <w:rPr>
          <w:spacing w:val="-2"/>
          <w:lang w:bidi="ar-EG"/>
        </w:rPr>
      </w:pPr>
      <w:r w:rsidRPr="00B160B1">
        <w:rPr>
          <w:rtl/>
        </w:rPr>
        <w:t>يَصِفُ هذا التقرير أنشطة الاتحاد الدولي للاتصالات ذات الصلة بالقرارات 101 و102 و133 و180 و206 لمؤتمر المندوبين المفوَّضين لعام 2022 خلال الفترة المشمولة بالتقرير منذ مارس 2023 وحتى مارس 2024</w:t>
      </w:r>
      <w:r w:rsidRPr="00B160B1">
        <w:rPr>
          <w:spacing w:val="-2"/>
          <w:rtl/>
          <w:lang w:val="fr-CH" w:bidi="ar-SY"/>
        </w:rPr>
        <w:t>.</w:t>
      </w:r>
    </w:p>
    <w:p w14:paraId="3F4DC5B4" w14:textId="21E1276A" w:rsidR="00E378AF" w:rsidRPr="00B160B1" w:rsidRDefault="00E378AF" w:rsidP="00497219">
      <w:pPr>
        <w:pStyle w:val="Heading1"/>
        <w:rPr>
          <w:rtl/>
          <w:lang w:bidi="ar-EG"/>
        </w:rPr>
      </w:pPr>
      <w:r w:rsidRPr="00B160B1">
        <w:rPr>
          <w:lang w:bidi="ar-EG"/>
        </w:rPr>
        <w:t>2</w:t>
      </w:r>
      <w:r w:rsidRPr="00B160B1">
        <w:rPr>
          <w:rtl/>
        </w:rPr>
        <w:tab/>
      </w:r>
      <w:r w:rsidRPr="00B160B1">
        <w:rPr>
          <w:rtl/>
          <w:lang w:bidi="ar-EG"/>
        </w:rPr>
        <w:t>الأنشطة المتصلة بشبكات بروتوكول الإنترنت (</w:t>
      </w:r>
      <w:r w:rsidRPr="00B160B1">
        <w:rPr>
          <w:lang w:bidi="ar-EG"/>
        </w:rPr>
        <w:t>IP</w:t>
      </w:r>
      <w:r w:rsidRPr="00B160B1">
        <w:rPr>
          <w:rtl/>
          <w:lang w:bidi="ar-EG"/>
        </w:rPr>
        <w:t>) وتطوير شبكات الجيل التالي</w:t>
      </w:r>
      <w:r w:rsidR="003B44B8">
        <w:rPr>
          <w:rFonts w:hint="cs"/>
          <w:rtl/>
          <w:lang w:bidi="ar-EG"/>
        </w:rPr>
        <w:t> </w:t>
      </w:r>
      <w:r w:rsidRPr="00B160B1">
        <w:rPr>
          <w:rtl/>
          <w:lang w:bidi="ar-EG"/>
        </w:rPr>
        <w:t>(</w:t>
      </w:r>
      <w:r w:rsidRPr="00B160B1">
        <w:rPr>
          <w:lang w:bidi="ar-EG"/>
        </w:rPr>
        <w:t>NGN</w:t>
      </w:r>
      <w:r w:rsidRPr="00B160B1">
        <w:rPr>
          <w:rtl/>
          <w:lang w:bidi="ar-EG"/>
        </w:rPr>
        <w:t xml:space="preserve">) وإنترنت المستقبل، بما في ذلك التحديات المتعلقة بالسياسات العامة </w:t>
      </w:r>
      <w:r w:rsidRPr="00B160B1">
        <w:rPr>
          <w:rtl/>
        </w:rPr>
        <w:t>والتنظيم</w:t>
      </w:r>
    </w:p>
    <w:p w14:paraId="25A65805" w14:textId="207327A4" w:rsidR="00E378AF" w:rsidRPr="00B160B1" w:rsidRDefault="00E378AF" w:rsidP="00497219">
      <w:pPr>
        <w:rPr>
          <w:rFonts w:eastAsia="SimSun"/>
          <w:lang w:val="ar-SA" w:eastAsia="zh-TW" w:bidi="ar-SY"/>
        </w:rPr>
      </w:pPr>
      <w:bookmarkStart w:id="2" w:name="_Hlk163199762"/>
      <w:r w:rsidRPr="00B160B1">
        <w:rPr>
          <w:rtl/>
        </w:rPr>
        <w:t xml:space="preserve">تمّت الموافقة على أكثر من 350 توصية جديدة/مراجَعة من قطاع تقييس الاتصالات بالاتحاد الدولي للاتصالات ونصوص أخرى في الفترة من 1 مارس 2023 حتى 25 مارس 2024، بما في ذلك تلك المتعلقة بهذا التقرير. وتَرِدُ </w:t>
      </w:r>
      <w:hyperlink r:id="rId40" w:history="1">
        <w:r w:rsidRPr="00B160B1">
          <w:rPr>
            <w:rStyle w:val="Hyperlink"/>
            <w:rtl/>
          </w:rPr>
          <w:t>التوصيات ذات الصلة</w:t>
        </w:r>
      </w:hyperlink>
      <w:r w:rsidRPr="00B160B1">
        <w:rPr>
          <w:rtl/>
        </w:rPr>
        <w:t xml:space="preserve"> في</w:t>
      </w:r>
      <w:r w:rsidR="003B44B8">
        <w:rPr>
          <w:rFonts w:hint="cs"/>
          <w:rtl/>
        </w:rPr>
        <w:t> </w:t>
      </w:r>
      <w:r w:rsidRPr="00B160B1">
        <w:rPr>
          <w:rtl/>
        </w:rPr>
        <w:t>إطار مختلف لجان دراسات قطاع تقييس الاتصالات.</w:t>
      </w:r>
      <w:bookmarkEnd w:id="2"/>
    </w:p>
    <w:p w14:paraId="798B722F" w14:textId="5BEAE751" w:rsidR="00E378AF" w:rsidRPr="00B160B1" w:rsidRDefault="00497219" w:rsidP="00E378AF">
      <w:pPr>
        <w:rPr>
          <w:rFonts w:eastAsia="SimSun"/>
          <w:b/>
          <w:lang w:val="ar-SA" w:eastAsia="zh-TW" w:bidi="en-GB"/>
        </w:rPr>
      </w:pPr>
      <w:r w:rsidRPr="00B160B1">
        <w:rPr>
          <w:b/>
        </w:rPr>
        <w:t>1.2</w:t>
      </w:r>
      <w:r w:rsidR="00E378AF" w:rsidRPr="00B160B1">
        <w:rPr>
          <w:b/>
          <w:rtl/>
        </w:rPr>
        <w:tab/>
      </w:r>
      <w:r w:rsidR="00E378AF" w:rsidRPr="00B160B1">
        <w:rPr>
          <w:bCs/>
          <w:rtl/>
        </w:rPr>
        <w:t>الاتصالات المتنقلة الدولية-2020</w:t>
      </w:r>
      <w:r w:rsidR="00E378AF" w:rsidRPr="004941A0">
        <w:rPr>
          <w:b/>
          <w:bCs/>
        </w:rPr>
        <w:t>:</w:t>
      </w:r>
      <w:r w:rsidR="00E378AF" w:rsidRPr="00B160B1">
        <w:rPr>
          <w:rtl/>
        </w:rPr>
        <w:t xml:space="preserve"> في المجموع، وافقت لجان دراسات قطاع تقييس الاتصالات 5 و9 و11 و13 و17 على 27 توصية. ووافقت لجنة الدراسات 13 على إضافة واحدة، وهناك تسعة مشاريع توصيات قيد الموافقة في</w:t>
      </w:r>
      <w:r w:rsidR="00224F96">
        <w:rPr>
          <w:rFonts w:hint="cs"/>
          <w:rtl/>
        </w:rPr>
        <w:t> </w:t>
      </w:r>
      <w:r w:rsidR="00E378AF" w:rsidRPr="00B160B1">
        <w:rPr>
          <w:rtl/>
        </w:rPr>
        <w:t>لجنتي الدراسات</w:t>
      </w:r>
      <w:r w:rsidR="00224F96">
        <w:rPr>
          <w:rFonts w:hint="cs"/>
          <w:rtl/>
        </w:rPr>
        <w:t> </w:t>
      </w:r>
      <w:r w:rsidR="00E378AF" w:rsidRPr="00B160B1">
        <w:rPr>
          <w:rtl/>
        </w:rPr>
        <w:t>13 و17.</w:t>
      </w:r>
    </w:p>
    <w:p w14:paraId="75A86204" w14:textId="5489B213" w:rsidR="00E378AF" w:rsidRPr="00B160B1" w:rsidRDefault="00497219" w:rsidP="00E378AF">
      <w:pPr>
        <w:rPr>
          <w:rFonts w:eastAsia="SimSun"/>
          <w:b/>
          <w:lang w:val="ar-SA" w:eastAsia="zh-TW" w:bidi="en-GB"/>
        </w:rPr>
      </w:pPr>
      <w:r w:rsidRPr="00B160B1">
        <w:rPr>
          <w:b/>
        </w:rPr>
        <w:t>2.2</w:t>
      </w:r>
      <w:r w:rsidR="00E378AF" w:rsidRPr="00B160B1">
        <w:rPr>
          <w:bCs/>
          <w:rtl/>
        </w:rPr>
        <w:tab/>
        <w:t>إنترنت الأشياء (</w:t>
      </w:r>
      <w:r w:rsidR="00E378AF" w:rsidRPr="00B160B1">
        <w:rPr>
          <w:b/>
        </w:rPr>
        <w:t>IoT</w:t>
      </w:r>
      <w:r w:rsidR="00E378AF" w:rsidRPr="00B160B1">
        <w:rPr>
          <w:bCs/>
          <w:rtl/>
        </w:rPr>
        <w:t>) والمدن الذكية</w:t>
      </w:r>
      <w:r w:rsidR="00E378AF" w:rsidRPr="004941A0">
        <w:rPr>
          <w:b/>
          <w:bCs/>
          <w:rtl/>
        </w:rPr>
        <w:t>:</w:t>
      </w:r>
      <w:r w:rsidR="00E378AF" w:rsidRPr="00B160B1">
        <w:rPr>
          <w:rtl/>
        </w:rPr>
        <w:t xml:space="preserve"> في المجموع، وافقت لجان الدراسات 11 و17 و20 على 12 توصية، ووافقت لجان الدراسات 3 و17 و20 على إضافة واحدة وتقريرين تقنيين، وهناك 15 مشروع توصية قيد الموافقة في لجان الدراسات</w:t>
      </w:r>
      <w:r w:rsidR="00004225">
        <w:rPr>
          <w:rFonts w:hint="cs"/>
          <w:rtl/>
        </w:rPr>
        <w:t> </w:t>
      </w:r>
      <w:r w:rsidR="00E378AF" w:rsidRPr="00B160B1">
        <w:rPr>
          <w:rtl/>
        </w:rPr>
        <w:t>17. واختتم فريق العمل بالمراسلة المعني بالذكاء الاصطناعي للأشياء (</w:t>
      </w:r>
      <w:r w:rsidR="00E378AF" w:rsidRPr="00B160B1">
        <w:t>CG-</w:t>
      </w:r>
      <w:proofErr w:type="spellStart"/>
      <w:r w:rsidR="00E378AF" w:rsidRPr="00B160B1">
        <w:t>AIoT</w:t>
      </w:r>
      <w:proofErr w:type="spellEnd"/>
      <w:r w:rsidR="00E378AF" w:rsidRPr="00B160B1">
        <w:rPr>
          <w:rtl/>
        </w:rPr>
        <w:t>)</w:t>
      </w:r>
      <w:r w:rsidR="00E378AF" w:rsidRPr="00B160B1">
        <w:rPr>
          <w:rtl/>
          <w:lang w:bidi="ar-EG"/>
        </w:rPr>
        <w:t>،</w:t>
      </w:r>
      <w:r w:rsidR="00E378AF" w:rsidRPr="00B160B1">
        <w:rPr>
          <w:rtl/>
        </w:rPr>
        <w:t xml:space="preserve"> الذي أنشئ في إطار لجنة الدراسات 20، أنشطته بنجاح في سبتمبر 2023. ويتسارع تقييس مواصفات اختبار تطبيقات إنترنت الأشياء، مدعوماً بتعاون متزايد من قطاع تقييس الاتصالات ومشروع الشراكة oneM2M. وواصلت لجنة الدراسات 20 لقطاع تقييس الاتصالات التنسيق مع نشاط التنسيق المشترك بشأن إنترنت الأشياء (</w:t>
      </w:r>
      <w:r w:rsidR="00E378AF" w:rsidRPr="00B160B1">
        <w:t>JCA-IoT</w:t>
      </w:r>
      <w:r w:rsidR="00E378AF" w:rsidRPr="00B160B1">
        <w:rPr>
          <w:rtl/>
        </w:rPr>
        <w:t>) والمدن والمجتمعات الذكية (</w:t>
      </w:r>
      <w:r w:rsidR="00E378AF" w:rsidRPr="00B160B1">
        <w:t>SC&amp;C</w:t>
      </w:r>
      <w:r w:rsidR="00E378AF" w:rsidRPr="00B160B1">
        <w:rPr>
          <w:rtl/>
        </w:rPr>
        <w:t>)، وهي تتعاون أيضاً بشكل وثيق مع فريق مهامّ هندسة الإنترنت (</w:t>
      </w:r>
      <w:r w:rsidR="00E378AF" w:rsidRPr="00B160B1">
        <w:t>IETF</w:t>
      </w:r>
      <w:r w:rsidR="00E378AF" w:rsidRPr="00B160B1">
        <w:rPr>
          <w:rtl/>
        </w:rPr>
        <w:t>)، ومشروع الشراكة oneM2M، واتحاد الشبكة العالمية (W3C)، وتحالف (</w:t>
      </w:r>
      <w:proofErr w:type="spellStart"/>
      <w:r w:rsidR="00E378AF" w:rsidRPr="00B160B1">
        <w:rPr>
          <w:rtl/>
        </w:rPr>
        <w:t>LoRa</w:t>
      </w:r>
      <w:proofErr w:type="spellEnd"/>
      <w:r w:rsidR="00E378AF" w:rsidRPr="00B160B1">
        <w:rPr>
          <w:rtl/>
        </w:rPr>
        <w:t xml:space="preserve"> </w:t>
      </w:r>
      <w:proofErr w:type="spellStart"/>
      <w:r w:rsidR="00E378AF" w:rsidRPr="00B160B1">
        <w:rPr>
          <w:rtl/>
        </w:rPr>
        <w:t>Alliance</w:t>
      </w:r>
      <w:proofErr w:type="spellEnd"/>
      <w:r w:rsidR="00E378AF" w:rsidRPr="00B160B1">
        <w:rPr>
          <w:rtl/>
        </w:rPr>
        <w:t>)، ومنتدى إدارة الاتصالات (</w:t>
      </w:r>
      <w:proofErr w:type="spellStart"/>
      <w:r w:rsidR="00E378AF" w:rsidRPr="00B160B1">
        <w:t>TMForum</w:t>
      </w:r>
      <w:proofErr w:type="spellEnd"/>
      <w:r w:rsidR="00E378AF" w:rsidRPr="00B160B1">
        <w:rPr>
          <w:rtl/>
        </w:rPr>
        <w:t>).</w:t>
      </w:r>
    </w:p>
    <w:p w14:paraId="57C537DA" w14:textId="51AF2C64" w:rsidR="00E378AF" w:rsidRPr="00B160B1" w:rsidRDefault="00FE3676" w:rsidP="00E378AF">
      <w:pPr>
        <w:rPr>
          <w:rFonts w:eastAsia="SimSun"/>
          <w:b/>
          <w:spacing w:val="-4"/>
          <w:lang w:val="ar-SA" w:eastAsia="zh-TW" w:bidi="en-GB"/>
        </w:rPr>
      </w:pPr>
      <w:r w:rsidRPr="00B160B1">
        <w:rPr>
          <w:b/>
          <w:spacing w:val="-4"/>
        </w:rPr>
        <w:t>3.2</w:t>
      </w:r>
      <w:r w:rsidR="00E378AF" w:rsidRPr="00B160B1">
        <w:rPr>
          <w:bCs/>
          <w:spacing w:val="-4"/>
          <w:rtl/>
        </w:rPr>
        <w:tab/>
        <w:t xml:space="preserve">الشبكات </w:t>
      </w:r>
      <w:proofErr w:type="spellStart"/>
      <w:r w:rsidR="00E378AF" w:rsidRPr="00B160B1">
        <w:rPr>
          <w:bCs/>
          <w:spacing w:val="-4"/>
          <w:rtl/>
        </w:rPr>
        <w:t>الكبلية</w:t>
      </w:r>
      <w:proofErr w:type="spellEnd"/>
      <w:r w:rsidR="00E378AF" w:rsidRPr="00B160B1">
        <w:rPr>
          <w:bCs/>
          <w:spacing w:val="-4"/>
          <w:rtl/>
        </w:rPr>
        <w:t xml:space="preserve"> القائمة على بروتوكول الإنترنت</w:t>
      </w:r>
      <w:r w:rsidR="00E378AF" w:rsidRPr="00B160B1">
        <w:rPr>
          <w:b/>
          <w:bCs/>
          <w:spacing w:val="-4"/>
          <w:rtl/>
        </w:rPr>
        <w:t>:</w:t>
      </w:r>
      <w:r w:rsidR="00E378AF" w:rsidRPr="00B160B1">
        <w:rPr>
          <w:spacing w:val="-4"/>
          <w:rtl/>
        </w:rPr>
        <w:t xml:space="preserve"> وافقت لجنة الدراسات 9 لقطاع تقييس الاتصالات على خمس توصيات.</w:t>
      </w:r>
    </w:p>
    <w:p w14:paraId="43FC7E89" w14:textId="446FB2AA" w:rsidR="00E378AF" w:rsidRPr="00573C54" w:rsidRDefault="00FE3676" w:rsidP="00E378AF">
      <w:pPr>
        <w:textDirection w:val="tbRlV"/>
        <w:outlineLvl w:val="1"/>
        <w:rPr>
          <w:rFonts w:eastAsia="SimSun"/>
          <w:spacing w:val="-2"/>
          <w:lang w:val="ar-SA" w:eastAsia="zh-TW" w:bidi="en-GB"/>
        </w:rPr>
      </w:pPr>
      <w:r w:rsidRPr="00573C54">
        <w:rPr>
          <w:b/>
          <w:bCs/>
          <w:spacing w:val="-2"/>
        </w:rPr>
        <w:t>4.2</w:t>
      </w:r>
      <w:r w:rsidR="00E378AF" w:rsidRPr="00573C54">
        <w:rPr>
          <w:spacing w:val="-2"/>
          <w:rtl/>
        </w:rPr>
        <w:tab/>
      </w:r>
      <w:r w:rsidR="00E378AF" w:rsidRPr="00573C54">
        <w:rPr>
          <w:b/>
          <w:bCs/>
          <w:spacing w:val="-2"/>
          <w:rtl/>
        </w:rPr>
        <w:t>تلفزيون بروتوكول الإنترنت (</w:t>
      </w:r>
      <w:r w:rsidR="00E378AF" w:rsidRPr="00573C54">
        <w:rPr>
          <w:b/>
          <w:bCs/>
          <w:spacing w:val="-2"/>
        </w:rPr>
        <w:t>(IPTV</w:t>
      </w:r>
      <w:r w:rsidR="00E378AF" w:rsidRPr="00573C54">
        <w:rPr>
          <w:b/>
          <w:bCs/>
          <w:spacing w:val="-2"/>
          <w:rtl/>
        </w:rPr>
        <w:t>، وشبكات تقديم المحتوى (</w:t>
      </w:r>
      <w:r w:rsidR="00E378AF" w:rsidRPr="00573C54">
        <w:rPr>
          <w:b/>
          <w:bCs/>
          <w:spacing w:val="-2"/>
        </w:rPr>
        <w:t>CDN</w:t>
      </w:r>
      <w:r w:rsidR="00E378AF" w:rsidRPr="00573C54">
        <w:rPr>
          <w:b/>
          <w:bCs/>
          <w:spacing w:val="-2"/>
          <w:rtl/>
        </w:rPr>
        <w:t>) واللافتات الرقمية</w:t>
      </w:r>
      <w:r w:rsidR="00E378AF" w:rsidRPr="00573C54">
        <w:rPr>
          <w:b/>
          <w:bCs/>
          <w:spacing w:val="-2"/>
        </w:rPr>
        <w:t>:</w:t>
      </w:r>
      <w:r w:rsidR="00E378AF" w:rsidRPr="00573C54">
        <w:rPr>
          <w:spacing w:val="-2"/>
          <w:rtl/>
        </w:rPr>
        <w:t xml:space="preserve"> وافقت لجنة الدراسات</w:t>
      </w:r>
      <w:r w:rsidRPr="00573C54">
        <w:rPr>
          <w:spacing w:val="-2"/>
          <w:rtl/>
        </w:rPr>
        <w:t> </w:t>
      </w:r>
      <w:r w:rsidR="00E378AF" w:rsidRPr="00573C54">
        <w:rPr>
          <w:spacing w:val="-2"/>
          <w:rtl/>
        </w:rPr>
        <w:t>16 لقطاع تقييس الاتصالات على ثلاث توصيات.</w:t>
      </w:r>
    </w:p>
    <w:p w14:paraId="488F2D87" w14:textId="17A6CA31" w:rsidR="00E378AF" w:rsidRPr="00B160B1" w:rsidRDefault="00FE3676" w:rsidP="00E378AF">
      <w:pPr>
        <w:textDirection w:val="tbRlV"/>
        <w:outlineLvl w:val="1"/>
        <w:rPr>
          <w:rFonts w:eastAsia="SimSun"/>
          <w:lang w:val="ar-SA" w:eastAsia="zh-TW" w:bidi="en-GB"/>
        </w:rPr>
      </w:pPr>
      <w:r w:rsidRPr="00B160B1">
        <w:rPr>
          <w:b/>
          <w:bCs/>
        </w:rPr>
        <w:t>5.2</w:t>
      </w:r>
      <w:r w:rsidR="00E378AF" w:rsidRPr="00B160B1">
        <w:rPr>
          <w:rtl/>
        </w:rPr>
        <w:tab/>
      </w:r>
      <w:r w:rsidR="00E378AF" w:rsidRPr="00B160B1">
        <w:rPr>
          <w:b/>
          <w:bCs/>
          <w:rtl/>
        </w:rPr>
        <w:t>أداء بروتوكول الإنترنت</w:t>
      </w:r>
      <w:r w:rsidR="00E378AF" w:rsidRPr="004941A0">
        <w:rPr>
          <w:b/>
          <w:bCs/>
          <w:rtl/>
        </w:rPr>
        <w:t>:</w:t>
      </w:r>
      <w:r w:rsidR="00E378AF" w:rsidRPr="00B160B1">
        <w:rPr>
          <w:rtl/>
        </w:rPr>
        <w:t xml:space="preserve"> وافقت لجنة الدراسات 12 لقطاع تقييس الاتصالات على خمس توصيات واتفقت على إضافة</w:t>
      </w:r>
      <w:r w:rsidRPr="00B160B1">
        <w:rPr>
          <w:rtl/>
        </w:rPr>
        <w:t> </w:t>
      </w:r>
      <w:r w:rsidR="00E378AF" w:rsidRPr="00B160B1">
        <w:rPr>
          <w:rtl/>
        </w:rPr>
        <w:t>واحدة.</w:t>
      </w:r>
    </w:p>
    <w:p w14:paraId="37D27321" w14:textId="0E51CB2E" w:rsidR="00E378AF" w:rsidRPr="00B160B1" w:rsidRDefault="000B3B23" w:rsidP="00E378AF">
      <w:pPr>
        <w:rPr>
          <w:rFonts w:eastAsia="SimSun"/>
          <w:b/>
          <w:lang w:val="ar-SA" w:eastAsia="zh-TW" w:bidi="en-GB"/>
        </w:rPr>
      </w:pPr>
      <w:r w:rsidRPr="00B160B1">
        <w:rPr>
          <w:b/>
        </w:rPr>
        <w:t>6.2</w:t>
      </w:r>
      <w:r w:rsidR="00E378AF" w:rsidRPr="00B160B1">
        <w:rPr>
          <w:bCs/>
          <w:rtl/>
        </w:rPr>
        <w:tab/>
        <w:t>الحوسبة السحابية القائمة على بروتوكول الإنترنت والبيانات الضخمة</w:t>
      </w:r>
      <w:r w:rsidR="00E378AF" w:rsidRPr="004941A0">
        <w:rPr>
          <w:b/>
          <w:bCs/>
          <w:rtl/>
        </w:rPr>
        <w:t>:</w:t>
      </w:r>
      <w:r w:rsidR="00E378AF" w:rsidRPr="00B160B1">
        <w:rPr>
          <w:rtl/>
        </w:rPr>
        <w:t xml:space="preserve"> وافقت لجنة الدراسات 13 لقطاع تقييس الاتصالات على سبع توصيات؛ ووافقت لجنة الدراسات 17 على ثلاث توصيات. ووضعت لجنة الدراسات 11 لقطاع تقييس الاتصالات أربع توصيات بشأن شبكات القدرة الحاسوبية وحوسبة الحافة.</w:t>
      </w:r>
    </w:p>
    <w:p w14:paraId="1F977FB9" w14:textId="777DDA08" w:rsidR="00E378AF" w:rsidRPr="00B627F2" w:rsidRDefault="000B3B23" w:rsidP="000B3B23">
      <w:pPr>
        <w:rPr>
          <w:rFonts w:eastAsia="SimSun"/>
          <w:lang w:eastAsia="zh-TW" w:bidi="en-GB"/>
        </w:rPr>
      </w:pPr>
      <w:bookmarkStart w:id="3" w:name="_Hlk163199926"/>
      <w:r w:rsidRPr="00AB3836">
        <w:rPr>
          <w:b/>
          <w:bCs/>
          <w:spacing w:val="-4"/>
        </w:rPr>
        <w:t>7.2</w:t>
      </w:r>
      <w:r w:rsidR="00E378AF" w:rsidRPr="00AB3836">
        <w:rPr>
          <w:spacing w:val="-4"/>
          <w:rtl/>
        </w:rPr>
        <w:tab/>
      </w:r>
      <w:r w:rsidR="00E378AF" w:rsidRPr="00B627F2">
        <w:rPr>
          <w:b/>
          <w:bCs/>
          <w:rtl/>
        </w:rPr>
        <w:t>الأمن</w:t>
      </w:r>
      <w:r w:rsidR="00E378AF" w:rsidRPr="00B627F2">
        <w:rPr>
          <w:rtl/>
        </w:rPr>
        <w:t xml:space="preserve">: وافقت لجنة الدراسات 17 على </w:t>
      </w:r>
      <w:r w:rsidR="00C04DAF" w:rsidRPr="00B627F2">
        <w:rPr>
          <w:rFonts w:hint="cs"/>
          <w:rtl/>
        </w:rPr>
        <w:t>أكثر من</w:t>
      </w:r>
      <w:r w:rsidR="00576840" w:rsidRPr="00B627F2">
        <w:rPr>
          <w:rtl/>
        </w:rPr>
        <w:t xml:space="preserve"> </w:t>
      </w:r>
      <w:r w:rsidR="00E378AF" w:rsidRPr="00B627F2">
        <w:rPr>
          <w:rtl/>
        </w:rPr>
        <w:t xml:space="preserve">20 توصية بشأن مكافحة الهجمات السيبرانية/والرسائل </w:t>
      </w:r>
      <w:proofErr w:type="spellStart"/>
      <w:r w:rsidR="00E378AF" w:rsidRPr="00B627F2">
        <w:rPr>
          <w:rtl/>
        </w:rPr>
        <w:t>الاقتحامية</w:t>
      </w:r>
      <w:proofErr w:type="spellEnd"/>
      <w:r w:rsidR="00E378AF" w:rsidRPr="00B627F2">
        <w:rPr>
          <w:rtl/>
        </w:rPr>
        <w:t xml:space="preserve">، وحماية المعلومات المحددة لهوية الشخص، </w:t>
      </w:r>
      <w:proofErr w:type="spellStart"/>
      <w:r w:rsidR="00E378AF" w:rsidRPr="00B627F2">
        <w:rPr>
          <w:rtl/>
        </w:rPr>
        <w:t>والاستيقان</w:t>
      </w:r>
      <w:proofErr w:type="spellEnd"/>
      <w:r w:rsidR="00E378AF" w:rsidRPr="00B627F2">
        <w:rPr>
          <w:rtl/>
        </w:rPr>
        <w:t>، وتكنولوجيات الأمن القائمة على الحوسبة الكمومية. ويَرِدُ في</w:t>
      </w:r>
      <w:r w:rsidR="00AB3836" w:rsidRPr="00B627F2">
        <w:rPr>
          <w:rFonts w:hint="cs"/>
          <w:rtl/>
        </w:rPr>
        <w:t> </w:t>
      </w:r>
      <w:r w:rsidR="00E378AF" w:rsidRPr="00B627F2">
        <w:rPr>
          <w:rtl/>
        </w:rPr>
        <w:t>الوثيقة</w:t>
      </w:r>
      <w:r w:rsidR="00AB3836" w:rsidRPr="00B627F2">
        <w:rPr>
          <w:rFonts w:hint="cs"/>
          <w:rtl/>
        </w:rPr>
        <w:t> </w:t>
      </w:r>
      <w:hyperlink r:id="rId41" w:history="1">
        <w:r w:rsidR="00E378AF" w:rsidRPr="00B627F2">
          <w:rPr>
            <w:rStyle w:val="Hyperlink"/>
            <w:rtl/>
          </w:rPr>
          <w:t>C24/18</w:t>
        </w:r>
      </w:hyperlink>
      <w:r w:rsidR="00E378AF" w:rsidRPr="00B627F2">
        <w:rPr>
          <w:rtl/>
        </w:rPr>
        <w:t xml:space="preserve"> تقريرٌ</w:t>
      </w:r>
      <w:r w:rsidR="00AB3836" w:rsidRPr="00B627F2">
        <w:rPr>
          <w:rFonts w:hint="cs"/>
          <w:rtl/>
        </w:rPr>
        <w:t> </w:t>
      </w:r>
      <w:r w:rsidR="00E378AF" w:rsidRPr="00B627F2">
        <w:rPr>
          <w:rtl/>
        </w:rPr>
        <w:t>منفصل بشأن أنشطة الاتحاد المتعلقة ببناء الثقة والأمن في استعمال تكنولوجيا المعلومات والاتصالات، بما</w:t>
      </w:r>
      <w:r w:rsidR="00AB3836" w:rsidRPr="00B627F2">
        <w:rPr>
          <w:rFonts w:hint="cs"/>
          <w:rtl/>
        </w:rPr>
        <w:t> </w:t>
      </w:r>
      <w:r w:rsidR="00E378AF" w:rsidRPr="00B627F2">
        <w:rPr>
          <w:rtl/>
        </w:rPr>
        <w:t>في</w:t>
      </w:r>
      <w:r w:rsidR="00AB3836" w:rsidRPr="00B627F2">
        <w:rPr>
          <w:rFonts w:hint="cs"/>
          <w:rtl/>
        </w:rPr>
        <w:t> </w:t>
      </w:r>
      <w:r w:rsidR="00E378AF" w:rsidRPr="00B627F2">
        <w:rPr>
          <w:rtl/>
        </w:rPr>
        <w:t>ذلك عمل لجنة</w:t>
      </w:r>
      <w:r w:rsidR="00AB3836" w:rsidRPr="00B627F2">
        <w:rPr>
          <w:rFonts w:hint="cs"/>
          <w:rtl/>
        </w:rPr>
        <w:t> </w:t>
      </w:r>
      <w:r w:rsidR="00E378AF" w:rsidRPr="00B627F2">
        <w:rPr>
          <w:rtl/>
        </w:rPr>
        <w:t>الدراسات 17.</w:t>
      </w:r>
      <w:bookmarkEnd w:id="3"/>
    </w:p>
    <w:p w14:paraId="120BA1AB" w14:textId="1254A936" w:rsidR="00E378AF" w:rsidRPr="006B6182" w:rsidRDefault="00576840" w:rsidP="00576840">
      <w:pPr>
        <w:rPr>
          <w:rFonts w:eastAsia="SimSun"/>
          <w:spacing w:val="-2"/>
          <w:lang w:eastAsia="zh-TW" w:bidi="en-GB"/>
        </w:rPr>
      </w:pPr>
      <w:r w:rsidRPr="006B6182">
        <w:rPr>
          <w:b/>
          <w:bCs/>
          <w:spacing w:val="-2"/>
        </w:rPr>
        <w:t>8.2</w:t>
      </w:r>
      <w:r w:rsidR="00E378AF" w:rsidRPr="006B6182">
        <w:rPr>
          <w:spacing w:val="-2"/>
          <w:rtl/>
        </w:rPr>
        <w:tab/>
        <w:t>ا</w:t>
      </w:r>
      <w:r w:rsidR="00E378AF" w:rsidRPr="006B6182">
        <w:rPr>
          <w:b/>
          <w:bCs/>
          <w:spacing w:val="-2"/>
          <w:rtl/>
        </w:rPr>
        <w:t>لأفرقة المتخصصة التابعة لقطاع تقييس الاتصالات</w:t>
      </w:r>
      <w:r w:rsidR="00E378AF" w:rsidRPr="00AB5DD5">
        <w:rPr>
          <w:b/>
          <w:bCs/>
          <w:spacing w:val="-2"/>
          <w:rtl/>
        </w:rPr>
        <w:t>:</w:t>
      </w:r>
      <w:r w:rsidR="00E378AF" w:rsidRPr="006B6182">
        <w:rPr>
          <w:spacing w:val="-2"/>
          <w:rtl/>
        </w:rPr>
        <w:t xml:space="preserve"> في المجموع، هناك </w:t>
      </w:r>
      <w:r w:rsidR="00C04DAF" w:rsidRPr="006B6182">
        <w:rPr>
          <w:rFonts w:hint="cs"/>
          <w:spacing w:val="-2"/>
          <w:rtl/>
        </w:rPr>
        <w:t>ستة</w:t>
      </w:r>
      <w:r w:rsidR="00E378AF" w:rsidRPr="006B6182">
        <w:rPr>
          <w:spacing w:val="-2"/>
          <w:rtl/>
        </w:rPr>
        <w:t xml:space="preserve"> أفرقة متخصصة ناشطة تابعة لقطاع تقييس الاتصالات</w:t>
      </w:r>
      <w:r w:rsidR="00E378AF" w:rsidRPr="006B6182">
        <w:rPr>
          <w:spacing w:val="-2"/>
        </w:rPr>
        <w:t>:</w:t>
      </w:r>
      <w:r w:rsidR="00E378AF" w:rsidRPr="006B6182">
        <w:rPr>
          <w:i/>
          <w:iCs/>
          <w:spacing w:val="-2"/>
          <w:rtl/>
        </w:rPr>
        <w:t xml:space="preserve"> </w:t>
      </w:r>
      <w:hyperlink r:id="rId42" w:anchor="/ar" w:history="1">
        <w:r w:rsidR="00E378AF" w:rsidRPr="006B6182">
          <w:rPr>
            <w:rStyle w:val="Hyperlink"/>
            <w:i/>
            <w:iCs/>
            <w:spacing w:val="-2"/>
            <w:rtl/>
          </w:rPr>
          <w:t xml:space="preserve">الفريق المتخصص التابع لقطاع تقييس الاتصالات والمعنيّ </w:t>
        </w:r>
        <w:proofErr w:type="spellStart"/>
        <w:r w:rsidR="00E378AF" w:rsidRPr="006B6182">
          <w:rPr>
            <w:rStyle w:val="Hyperlink"/>
            <w:i/>
            <w:iCs/>
            <w:spacing w:val="-2"/>
            <w:rtl/>
          </w:rPr>
          <w:t>بالميتافيرس</w:t>
        </w:r>
        <w:proofErr w:type="spellEnd"/>
        <w:r w:rsidR="00E378AF" w:rsidRPr="006B6182">
          <w:rPr>
            <w:rStyle w:val="Hyperlink"/>
            <w:i/>
            <w:iCs/>
            <w:spacing w:val="-2"/>
            <w:rtl/>
          </w:rPr>
          <w:t xml:space="preserve"> (</w:t>
        </w:r>
        <w:r w:rsidR="00E378AF" w:rsidRPr="006B6182">
          <w:rPr>
            <w:rStyle w:val="Hyperlink"/>
            <w:i/>
            <w:iCs/>
            <w:spacing w:val="-2"/>
          </w:rPr>
          <w:t>FG-MV</w:t>
        </w:r>
        <w:r w:rsidR="00E378AF" w:rsidRPr="006B6182">
          <w:rPr>
            <w:rStyle w:val="Hyperlink"/>
            <w:i/>
            <w:iCs/>
            <w:spacing w:val="-2"/>
            <w:rtl/>
          </w:rPr>
          <w:t>)</w:t>
        </w:r>
      </w:hyperlink>
      <w:r w:rsidR="00E378AF" w:rsidRPr="006B6182">
        <w:rPr>
          <w:spacing w:val="-2"/>
          <w:rtl/>
        </w:rPr>
        <w:t xml:space="preserve">؛ </w:t>
      </w:r>
      <w:hyperlink r:id="rId43" w:anchor="/ar" w:history="1">
        <w:r w:rsidR="00E378AF" w:rsidRPr="006B6182">
          <w:rPr>
            <w:rStyle w:val="Hyperlink"/>
            <w:i/>
            <w:iCs/>
            <w:spacing w:val="-2"/>
            <w:rtl/>
          </w:rPr>
          <w:t>والفريق المتخصص التابع لقطاع تقييس الاتصالات والمعنيّ باتحادات منصات الاختبار للاتصالات المتنقلة الدولية-2020 وما بعدها (</w:t>
        </w:r>
        <w:r w:rsidR="00E378AF" w:rsidRPr="006B6182">
          <w:rPr>
            <w:rStyle w:val="Hyperlink"/>
            <w:i/>
            <w:iCs/>
            <w:spacing w:val="-2"/>
          </w:rPr>
          <w:t>FG-</w:t>
        </w:r>
        <w:proofErr w:type="spellStart"/>
        <w:r w:rsidR="00E378AF" w:rsidRPr="006B6182">
          <w:rPr>
            <w:rStyle w:val="Hyperlink"/>
            <w:i/>
            <w:iCs/>
            <w:spacing w:val="-2"/>
          </w:rPr>
          <w:t>TBFxG</w:t>
        </w:r>
        <w:proofErr w:type="spellEnd"/>
        <w:r w:rsidR="00E378AF" w:rsidRPr="006B6182">
          <w:rPr>
            <w:rStyle w:val="Hyperlink"/>
            <w:i/>
            <w:iCs/>
            <w:spacing w:val="-2"/>
            <w:rtl/>
          </w:rPr>
          <w:t>)</w:t>
        </w:r>
      </w:hyperlink>
      <w:r w:rsidR="00E378AF" w:rsidRPr="006B6182">
        <w:rPr>
          <w:i/>
          <w:iCs/>
          <w:spacing w:val="-2"/>
          <w:rtl/>
        </w:rPr>
        <w:t>؛</w:t>
      </w:r>
      <w:r w:rsidR="00E378AF" w:rsidRPr="006B6182">
        <w:rPr>
          <w:spacing w:val="-2"/>
          <w:rtl/>
        </w:rPr>
        <w:t xml:space="preserve"> </w:t>
      </w:r>
      <w:hyperlink r:id="rId44" w:anchor="/ar" w:history="1">
        <w:r w:rsidR="00E378AF" w:rsidRPr="006B6182">
          <w:rPr>
            <w:rStyle w:val="Hyperlink"/>
            <w:i/>
            <w:iCs/>
            <w:spacing w:val="-2"/>
            <w:rtl/>
          </w:rPr>
          <w:t>والفريق المتخصص التابع لقطاع تقييس الاتصالات والمعنيّ بالذكاء الاصطناعي من أجل إدارة حالات الكوارث الطبيعية (FG</w:t>
        </w:r>
        <w:r w:rsidRPr="006B6182">
          <w:rPr>
            <w:rStyle w:val="Hyperlink"/>
            <w:i/>
            <w:iCs/>
            <w:spacing w:val="-2"/>
          </w:rPr>
          <w:noBreakHyphen/>
        </w:r>
        <w:r w:rsidR="00E378AF" w:rsidRPr="006B6182">
          <w:rPr>
            <w:rStyle w:val="Hyperlink"/>
            <w:i/>
            <w:iCs/>
            <w:spacing w:val="-2"/>
            <w:rtl/>
          </w:rPr>
          <w:t>AI4NDM</w:t>
        </w:r>
        <w:r w:rsidR="00E378AF" w:rsidRPr="006B6182">
          <w:rPr>
            <w:rStyle w:val="Hyperlink"/>
            <w:spacing w:val="-2"/>
            <w:rtl/>
          </w:rPr>
          <w:t>)</w:t>
        </w:r>
      </w:hyperlink>
      <w:r w:rsidR="00E378AF" w:rsidRPr="006B6182">
        <w:rPr>
          <w:spacing w:val="-2"/>
          <w:rtl/>
        </w:rPr>
        <w:t xml:space="preserve">؛ </w:t>
      </w:r>
      <w:hyperlink r:id="rId45" w:anchor="/ar" w:history="1">
        <w:r w:rsidR="00E378AF" w:rsidRPr="006B6182">
          <w:rPr>
            <w:rStyle w:val="Hyperlink"/>
            <w:i/>
            <w:iCs/>
            <w:spacing w:val="-2"/>
            <w:rtl/>
          </w:rPr>
          <w:t>والفريق المتخصص التابع لقطاع تقييس الاتصالات والمعنيّ بالشبكات المستقلة (</w:t>
        </w:r>
        <w:r w:rsidR="00E378AF" w:rsidRPr="006B6182">
          <w:rPr>
            <w:rStyle w:val="Hyperlink"/>
            <w:i/>
            <w:iCs/>
            <w:spacing w:val="-2"/>
          </w:rPr>
          <w:t>FG-AN</w:t>
        </w:r>
        <w:r w:rsidR="00E378AF" w:rsidRPr="006B6182">
          <w:rPr>
            <w:rStyle w:val="Hyperlink"/>
            <w:i/>
            <w:iCs/>
            <w:spacing w:val="-2"/>
            <w:rtl/>
          </w:rPr>
          <w:t>)</w:t>
        </w:r>
      </w:hyperlink>
      <w:r w:rsidR="00E378AF" w:rsidRPr="006B6182">
        <w:rPr>
          <w:i/>
          <w:iCs/>
          <w:spacing w:val="-2"/>
          <w:rtl/>
        </w:rPr>
        <w:t>؛</w:t>
      </w:r>
      <w:r w:rsidR="00E378AF" w:rsidRPr="006B6182">
        <w:rPr>
          <w:spacing w:val="-2"/>
          <w:rtl/>
        </w:rPr>
        <w:t xml:space="preserve"> </w:t>
      </w:r>
      <w:hyperlink r:id="rId46" w:anchor="/ar" w:history="1">
        <w:r w:rsidR="00E378AF" w:rsidRPr="006B6182">
          <w:rPr>
            <w:rStyle w:val="Hyperlink"/>
            <w:i/>
            <w:iCs/>
            <w:spacing w:val="-2"/>
            <w:rtl/>
          </w:rPr>
          <w:t>والفريق المتخصص التابع لقطاع تقييس الاتصالات والمعنيّ بالذكاء الاصطناعي وإنترنت الأشياء من أجل الزراعة الرقمية (FG-AI4A)</w:t>
        </w:r>
      </w:hyperlink>
      <w:r w:rsidR="00E378AF" w:rsidRPr="006B6182">
        <w:rPr>
          <w:i/>
          <w:iCs/>
          <w:spacing w:val="-2"/>
          <w:rtl/>
        </w:rPr>
        <w:t xml:space="preserve">؛ </w:t>
      </w:r>
      <w:hyperlink r:id="rId47" w:anchor="/ar" w:history="1">
        <w:r w:rsidR="00E378AF" w:rsidRPr="006B6182">
          <w:rPr>
            <w:rStyle w:val="Hyperlink"/>
            <w:i/>
            <w:iCs/>
            <w:spacing w:val="-2"/>
            <w:rtl/>
          </w:rPr>
          <w:t>والفريق المتخصص لقطاع تقييس الاتصالات المعني بنماذج تحديد التكاليف من أجل إتاحة خدمات البيانات بأسعار ميسورة (</w:t>
        </w:r>
        <w:r w:rsidR="00E378AF" w:rsidRPr="006B6182">
          <w:rPr>
            <w:rStyle w:val="Hyperlink"/>
            <w:i/>
            <w:iCs/>
            <w:spacing w:val="-2"/>
          </w:rPr>
          <w:t>FG-CD</w:t>
        </w:r>
        <w:r w:rsidR="00E378AF" w:rsidRPr="006B6182">
          <w:rPr>
            <w:rStyle w:val="Hyperlink"/>
            <w:i/>
            <w:iCs/>
            <w:spacing w:val="-2"/>
            <w:rtl/>
          </w:rPr>
          <w:t>)</w:t>
        </w:r>
      </w:hyperlink>
      <w:r w:rsidRPr="006B6182">
        <w:rPr>
          <w:spacing w:val="-2"/>
          <w:rtl/>
        </w:rPr>
        <w:t>.</w:t>
      </w:r>
    </w:p>
    <w:p w14:paraId="6345DF35" w14:textId="684AC5F6" w:rsidR="00E378AF" w:rsidRPr="00B160B1" w:rsidRDefault="00576840" w:rsidP="00AC43B5">
      <w:pPr>
        <w:keepNext/>
        <w:textDirection w:val="tbRlV"/>
        <w:rPr>
          <w:rFonts w:eastAsia="SimSun"/>
          <w:lang w:val="ar-SA" w:eastAsia="zh-TW" w:bidi="en-GB"/>
        </w:rPr>
      </w:pPr>
      <w:r w:rsidRPr="00B160B1">
        <w:rPr>
          <w:b/>
          <w:bCs/>
        </w:rPr>
        <w:lastRenderedPageBreak/>
        <w:t>9.2</w:t>
      </w:r>
      <w:r w:rsidR="00E378AF" w:rsidRPr="00B160B1">
        <w:rPr>
          <w:rtl/>
        </w:rPr>
        <w:tab/>
        <w:t xml:space="preserve">خلال الفترة المشمولة بالتقرير، لم يتلقَ مكتب تقييس الاتصالات تقارير أو معلومات تتعلق بأيّ حوادث يغطيها </w:t>
      </w:r>
      <w:hyperlink r:id="rId48" w:history="1">
        <w:r w:rsidR="00E378AF" w:rsidRPr="00B160B1">
          <w:rPr>
            <w:rStyle w:val="Hyperlink"/>
            <w:rtl/>
          </w:rPr>
          <w:t>القرار</w:t>
        </w:r>
        <w:r w:rsidR="006B6182">
          <w:rPr>
            <w:rStyle w:val="Hyperlink"/>
            <w:rFonts w:hint="cs"/>
            <w:rtl/>
          </w:rPr>
          <w:t> </w:t>
        </w:r>
        <w:r w:rsidR="00E378AF" w:rsidRPr="00B160B1">
          <w:rPr>
            <w:rStyle w:val="Hyperlink"/>
            <w:rtl/>
          </w:rPr>
          <w:t>69 للجمعية العالمية لتقييس الاتصالات</w:t>
        </w:r>
      </w:hyperlink>
      <w:r w:rsidR="00E378AF" w:rsidRPr="00B160B1">
        <w:rPr>
          <w:rtl/>
        </w:rPr>
        <w:t xml:space="preserve"> بشأن "</w:t>
      </w:r>
      <w:r w:rsidR="00E378AF" w:rsidRPr="00B160B1">
        <w:rPr>
          <w:i/>
          <w:iCs/>
          <w:rtl/>
        </w:rPr>
        <w:t>النفاذ إلى موارد الإنترنت واستعمالها على أساس غير تمييزي</w:t>
      </w:r>
      <w:r w:rsidR="00E378AF" w:rsidRPr="00B160B1">
        <w:rPr>
          <w:rtl/>
        </w:rPr>
        <w:t xml:space="preserve">" (سُجّل </w:t>
      </w:r>
      <w:hyperlink r:id="rId49" w:history="1">
        <w:r w:rsidR="00E378AF" w:rsidRPr="00B160B1">
          <w:rPr>
            <w:rStyle w:val="Hyperlink"/>
            <w:rtl/>
          </w:rPr>
          <w:t>37 حادثاً منذ عام 2009</w:t>
        </w:r>
      </w:hyperlink>
      <w:r w:rsidR="00E378AF" w:rsidRPr="00B160B1">
        <w:rPr>
          <w:rtl/>
        </w:rPr>
        <w:t>).</w:t>
      </w:r>
    </w:p>
    <w:p w14:paraId="0A90D60A" w14:textId="6C868527" w:rsidR="00E378AF" w:rsidRPr="00B160B1" w:rsidRDefault="00576840" w:rsidP="00E378AF">
      <w:pPr>
        <w:snapToGrid w:val="0"/>
        <w:textDirection w:val="tbRlV"/>
        <w:rPr>
          <w:rFonts w:eastAsia="SimSun"/>
          <w:spacing w:val="-2"/>
          <w:lang w:val="ar-SA" w:eastAsia="zh-TW" w:bidi="en-GB"/>
        </w:rPr>
      </w:pPr>
      <w:bookmarkStart w:id="4" w:name="a353677d2-7347-4cd3-8301-15d8ee365aeb"/>
      <w:bookmarkStart w:id="5" w:name="_Hlk500492095"/>
      <w:bookmarkEnd w:id="4"/>
      <w:r w:rsidRPr="00B160B1">
        <w:rPr>
          <w:b/>
          <w:bCs/>
        </w:rPr>
        <w:t>10.2</w:t>
      </w:r>
      <w:r w:rsidR="00E378AF" w:rsidRPr="00B160B1">
        <w:rPr>
          <w:rtl/>
        </w:rPr>
        <w:tab/>
        <w:t xml:space="preserve">دُعيَ مدير مكتب تقييس الاتصالات، السيد </w:t>
      </w:r>
      <w:proofErr w:type="spellStart"/>
      <w:r w:rsidR="00E378AF" w:rsidRPr="00B160B1">
        <w:rPr>
          <w:rtl/>
        </w:rPr>
        <w:t>سيزو</w:t>
      </w:r>
      <w:proofErr w:type="spellEnd"/>
      <w:r w:rsidR="00E378AF" w:rsidRPr="00B160B1">
        <w:rPr>
          <w:rtl/>
        </w:rPr>
        <w:t xml:space="preserve"> </w:t>
      </w:r>
      <w:proofErr w:type="spellStart"/>
      <w:r w:rsidR="00E378AF" w:rsidRPr="00B160B1">
        <w:rPr>
          <w:rtl/>
        </w:rPr>
        <w:t>أونوي</w:t>
      </w:r>
      <w:proofErr w:type="spellEnd"/>
      <w:r w:rsidR="00E378AF" w:rsidRPr="00B160B1">
        <w:rPr>
          <w:rtl/>
        </w:rPr>
        <w:t>، إلى اجتماع فريق مهامّ هندسة الإنترنت (</w:t>
      </w:r>
      <w:r w:rsidR="00E378AF" w:rsidRPr="00B160B1">
        <w:t>(IETF</w:t>
      </w:r>
      <w:r w:rsidR="00E378AF" w:rsidRPr="00B160B1">
        <w:rPr>
          <w:rtl/>
        </w:rPr>
        <w:t xml:space="preserve"> رقم 116 المنعقد في 29 مارس 2023 في يوكوهاما، اليابان، وخاطب الاجتماع.</w:t>
      </w:r>
    </w:p>
    <w:p w14:paraId="716FF2AE" w14:textId="7EB68CAF" w:rsidR="00E378AF" w:rsidRPr="00B160B1" w:rsidRDefault="00576840" w:rsidP="00E378AF">
      <w:pPr>
        <w:snapToGrid w:val="0"/>
        <w:textDirection w:val="tbRlV"/>
        <w:rPr>
          <w:rFonts w:eastAsia="SimSun"/>
          <w:lang w:val="ar-SA" w:eastAsia="zh-TW" w:bidi="en-GB"/>
        </w:rPr>
      </w:pPr>
      <w:r w:rsidRPr="00B160B1">
        <w:rPr>
          <w:b/>
          <w:bCs/>
        </w:rPr>
        <w:t>11.2</w:t>
      </w:r>
      <w:r w:rsidR="00E378AF" w:rsidRPr="00B160B1">
        <w:rPr>
          <w:rtl/>
        </w:rPr>
        <w:tab/>
        <w:t>تواصِل لجنتا الدراسات 1 و2 لقطاع تنمية الاتصالات أعمالهما بشأن القضايا المتعلقة ببروتوكول الإنترنت. ويعمل فريق إدارة المسألة 1/1 على</w:t>
      </w:r>
      <w:r w:rsidR="00F14695" w:rsidRPr="00B160B1">
        <w:rPr>
          <w:rtl/>
        </w:rPr>
        <w:t xml:space="preserve"> </w:t>
      </w:r>
      <w:r w:rsidR="00E378AF" w:rsidRPr="00B160B1">
        <w:rPr>
          <w:rtl/>
        </w:rPr>
        <w:t>"</w:t>
      </w:r>
      <w:r w:rsidR="00E378AF" w:rsidRPr="00B160B1">
        <w:rPr>
          <w:i/>
          <w:iCs/>
          <w:rtl/>
        </w:rPr>
        <w:t>استراتيجيات وسياسات نشر النطاق العريض في البلدان النامية</w:t>
      </w:r>
      <w:r w:rsidR="00E378AF" w:rsidRPr="00B160B1">
        <w:rPr>
          <w:rtl/>
        </w:rPr>
        <w:t xml:space="preserve">"؛ </w:t>
      </w:r>
    </w:p>
    <w:bookmarkEnd w:id="5"/>
    <w:p w14:paraId="6EBDEE20" w14:textId="395076A7" w:rsidR="00E378AF" w:rsidRPr="00B160B1" w:rsidRDefault="00576840" w:rsidP="00E378AF">
      <w:pPr>
        <w:snapToGrid w:val="0"/>
        <w:textDirection w:val="tbRlV"/>
        <w:rPr>
          <w:rFonts w:eastAsia="SimSun"/>
          <w:lang w:val="ar-SA" w:eastAsia="zh-TW" w:bidi="en-GB"/>
        </w:rPr>
      </w:pPr>
      <w:r w:rsidRPr="00B160B1">
        <w:rPr>
          <w:b/>
          <w:bCs/>
        </w:rPr>
        <w:t>12.2</w:t>
      </w:r>
      <w:r w:rsidR="00E378AF" w:rsidRPr="00B160B1">
        <w:rPr>
          <w:rtl/>
        </w:rPr>
        <w:tab/>
        <w:t xml:space="preserve"> نفّذ مكتب تنمية الاتصالات بنجاح مشاريعَ بشأن توصيلية الإنترنت اللاسلكية عريضة النطاق لتوفير نفاذ رقمي مجاني أو منخفض التكلفة للمدارس والمستشفيات، وللفئات السكانية التي يشح تخديمها في المناطق الريفية والنائية في بلدان مختارة. ويشمل أثر ذلك على البلدان التي نُفّذت فيها المشاريع ما يلي، على سبيل المثال لا الحصر</w:t>
      </w:r>
      <w:r w:rsidR="00E378AF" w:rsidRPr="00B160B1">
        <w:t>:</w:t>
      </w:r>
      <w:r w:rsidR="00E378AF" w:rsidRPr="00B160B1">
        <w:rPr>
          <w:rtl/>
        </w:rPr>
        <w:t xml:space="preserve"> </w:t>
      </w:r>
    </w:p>
    <w:p w14:paraId="076537A4" w14:textId="77777777" w:rsidR="00E378AF" w:rsidRPr="00B160B1" w:rsidRDefault="00E378AF" w:rsidP="00D77510">
      <w:pPr>
        <w:pStyle w:val="enumlev1"/>
        <w:rPr>
          <w:rFonts w:eastAsia="SimSun"/>
          <w:lang w:val="ar-SA" w:eastAsia="zh-TW" w:bidi="en-GB"/>
        </w:rPr>
      </w:pPr>
      <w:r w:rsidRPr="00B160B1">
        <w:rPr>
          <w:rtl/>
        </w:rPr>
        <w:t>-</w:t>
      </w:r>
      <w:r w:rsidRPr="00B160B1">
        <w:rPr>
          <w:rtl/>
        </w:rPr>
        <w:tab/>
        <w:t xml:space="preserve">بوروندي: تمّ توصيل 10 مدن بنطاق الترددات 2,5 </w:t>
      </w:r>
      <w:proofErr w:type="spellStart"/>
      <w:r w:rsidRPr="00B160B1">
        <w:rPr>
          <w:rtl/>
        </w:rPr>
        <w:t>GHz</w:t>
      </w:r>
      <w:proofErr w:type="spellEnd"/>
      <w:r w:rsidRPr="00B160B1">
        <w:rPr>
          <w:rtl/>
        </w:rPr>
        <w:t>، ودُرّب 15 مهندساً على أعمال التشغيل والصيانة، وتمّ توصيل 437 مدرسة ومستشفى وهيئة حكومية.</w:t>
      </w:r>
    </w:p>
    <w:p w14:paraId="5114455A" w14:textId="77777777" w:rsidR="00E378AF" w:rsidRPr="00B160B1" w:rsidRDefault="00E378AF" w:rsidP="00D77510">
      <w:pPr>
        <w:pStyle w:val="enumlev1"/>
        <w:rPr>
          <w:rFonts w:eastAsia="SimSun"/>
          <w:lang w:val="ar-SA" w:eastAsia="zh-TW" w:bidi="en-GB"/>
        </w:rPr>
      </w:pPr>
      <w:r w:rsidRPr="00B160B1">
        <w:rPr>
          <w:rtl/>
        </w:rPr>
        <w:t>-</w:t>
      </w:r>
      <w:r w:rsidRPr="00B160B1">
        <w:rPr>
          <w:rtl/>
        </w:rPr>
        <w:tab/>
        <w:t xml:space="preserve">جيبوتي: تمّ توصيل 20 مدينة بنطاق الترددات 2,5 </w:t>
      </w:r>
      <w:proofErr w:type="spellStart"/>
      <w:r w:rsidRPr="00B160B1">
        <w:rPr>
          <w:rtl/>
        </w:rPr>
        <w:t>GHz</w:t>
      </w:r>
      <w:proofErr w:type="spellEnd"/>
      <w:r w:rsidRPr="00B160B1">
        <w:rPr>
          <w:rtl/>
        </w:rPr>
        <w:t>، وتمّ توصيل 48 مدرسة، و43 مستشفى/عيادة، و23 وزارة.</w:t>
      </w:r>
    </w:p>
    <w:p w14:paraId="11B55F12" w14:textId="77777777" w:rsidR="00E378AF" w:rsidRPr="00B160B1" w:rsidRDefault="00E378AF" w:rsidP="00D77510">
      <w:pPr>
        <w:pStyle w:val="enumlev1"/>
        <w:rPr>
          <w:rFonts w:eastAsia="SimSun"/>
          <w:lang w:val="ar-SA" w:eastAsia="zh-TW" w:bidi="en-GB"/>
        </w:rPr>
      </w:pPr>
      <w:r w:rsidRPr="00B160B1">
        <w:rPr>
          <w:rtl/>
        </w:rPr>
        <w:t>-</w:t>
      </w:r>
      <w:r w:rsidRPr="00B160B1">
        <w:rPr>
          <w:rtl/>
        </w:rPr>
        <w:tab/>
        <w:t>إسواتيني: تمّ تركيب شبكة نطاق عريض لاسلكية 4G LTE في 10 مواقع، واستُكملت 15 جلسة تدريبية تقنية لخبراء محليين عن مراقبة الترددات الراديوية والتخطيط لشبكة النطاق العريض اللاسلكية 4G LTE وتشغيلها وصيانتها.</w:t>
      </w:r>
    </w:p>
    <w:p w14:paraId="760CF30D" w14:textId="1F5EC3FD" w:rsidR="00E378AF" w:rsidRPr="00B160B1" w:rsidRDefault="00E378AF" w:rsidP="00D77510">
      <w:pPr>
        <w:rPr>
          <w:rFonts w:eastAsia="SimSun"/>
          <w:lang w:val="ar-SA" w:eastAsia="zh-TW" w:bidi="en-GB"/>
        </w:rPr>
      </w:pPr>
      <w:r w:rsidRPr="00B160B1">
        <w:rPr>
          <w:rtl/>
        </w:rPr>
        <w:t xml:space="preserve">وثمة مبادرات أخرى جارية تتعلق بهذا الموضوع مثل مبادرة </w:t>
      </w:r>
      <w:r w:rsidRPr="00B160B1">
        <w:t>GIGA</w:t>
      </w:r>
      <w:r w:rsidRPr="00B160B1">
        <w:rPr>
          <w:rtl/>
        </w:rPr>
        <w:t xml:space="preserve"> وتحالف الشراكة من أجل التوصيل (Partner2Connect). ويَرِدُ مزيد من المعلومات في الوثيقة </w:t>
      </w:r>
      <w:hyperlink r:id="rId50" w:history="1">
        <w:r w:rsidRPr="00B160B1">
          <w:rPr>
            <w:rStyle w:val="Hyperlink"/>
            <w:rFonts w:eastAsia="SimSun"/>
          </w:rPr>
          <w:t>C24/35</w:t>
        </w:r>
      </w:hyperlink>
      <w:r w:rsidRPr="00B160B1">
        <w:rPr>
          <w:rtl/>
        </w:rPr>
        <w:t>.</w:t>
      </w:r>
    </w:p>
    <w:p w14:paraId="69D53ECB" w14:textId="78511717" w:rsidR="00E378AF" w:rsidRPr="00B160B1" w:rsidRDefault="00F77A33" w:rsidP="00E378AF">
      <w:pPr>
        <w:snapToGrid w:val="0"/>
        <w:textDirection w:val="tbRlV"/>
        <w:rPr>
          <w:rFonts w:eastAsia="SimSun"/>
          <w:lang w:eastAsia="zh-TW" w:bidi="en-GB"/>
        </w:rPr>
      </w:pPr>
      <w:r w:rsidRPr="00B160B1">
        <w:rPr>
          <w:b/>
          <w:bCs/>
        </w:rPr>
        <w:t>13.2</w:t>
      </w:r>
      <w:r w:rsidR="00E378AF" w:rsidRPr="00B160B1">
        <w:rPr>
          <w:rtl/>
        </w:rPr>
        <w:tab/>
        <w:t>وافق قطاع الاتصالات الراديوية على التوصية ITU-R M.2083-0 "</w:t>
      </w:r>
      <w:r w:rsidR="00E378AF" w:rsidRPr="00B160B1">
        <w:rPr>
          <w:i/>
          <w:iCs/>
          <w:rtl/>
        </w:rPr>
        <w:t>رؤية بشأن الاتصالات المتنقلة الدولية - الإطار والأهداف العامة للتطوير المستقبلي للاتصالات المتنقلة الدولية لعام 2020 وما بعده</w:t>
      </w:r>
      <w:r w:rsidR="00E378AF" w:rsidRPr="00B160B1">
        <w:rPr>
          <w:rtl/>
        </w:rPr>
        <w:t>" وعلى القرارين ITU-R 65 "</w:t>
      </w:r>
      <w:r w:rsidR="00E378AF" w:rsidRPr="00B160B1">
        <w:rPr>
          <w:i/>
          <w:iCs/>
          <w:rtl/>
        </w:rPr>
        <w:t>المبادئ المتعلقة بعملية التطوير المستقبلي للاتصالات المتنقلة الدولية لعام 2020 وما بعده</w:t>
      </w:r>
      <w:r w:rsidR="00E378AF" w:rsidRPr="00B160B1">
        <w:rPr>
          <w:rtl/>
        </w:rPr>
        <w:t xml:space="preserve">" </w:t>
      </w:r>
      <w:proofErr w:type="spellStart"/>
      <w:r w:rsidR="00E378AF" w:rsidRPr="00B160B1">
        <w:rPr>
          <w:rtl/>
        </w:rPr>
        <w:t>وITU</w:t>
      </w:r>
      <w:proofErr w:type="spellEnd"/>
      <w:r w:rsidR="00E378AF" w:rsidRPr="00B160B1">
        <w:rPr>
          <w:rtl/>
        </w:rPr>
        <w:t>-R 66 "</w:t>
      </w:r>
      <w:r w:rsidR="00E378AF" w:rsidRPr="00B160B1">
        <w:rPr>
          <w:i/>
          <w:iCs/>
          <w:rtl/>
        </w:rPr>
        <w:t>الدراسات المتعلقة بالأنظمة والتطبيقات اللاسلكية لتطوير إنترنت الأشياء</w:t>
      </w:r>
      <w:r w:rsidR="00E378AF" w:rsidRPr="00B160B1">
        <w:rPr>
          <w:rtl/>
        </w:rPr>
        <w:t>"، وعلى التقرير ITU-R M.2440-0 بشأن "</w:t>
      </w:r>
      <w:r w:rsidR="00E378AF" w:rsidRPr="00B160B1">
        <w:rPr>
          <w:i/>
          <w:iCs/>
          <w:rtl/>
        </w:rPr>
        <w:t>استخدام المكون الأرضي للاتصالات المتنقلة الدولية من أجل الاتصالات ضيقة النطاق وعريضة النطاق من النوع الآلي</w:t>
      </w:r>
      <w:r w:rsidR="00E378AF" w:rsidRPr="00B160B1">
        <w:t>"</w:t>
      </w:r>
      <w:r w:rsidR="00E378AF" w:rsidRPr="00B160B1">
        <w:rPr>
          <w:rtl/>
        </w:rPr>
        <w:t>.</w:t>
      </w:r>
    </w:p>
    <w:p w14:paraId="34D6E25D" w14:textId="64C3E6BC" w:rsidR="00E378AF" w:rsidRPr="00B160B1" w:rsidRDefault="00FF09E6" w:rsidP="00FF09E6">
      <w:pPr>
        <w:rPr>
          <w:highlight w:val="yellow"/>
          <w:rtl/>
          <w:lang w:bidi="ar-EG"/>
        </w:rPr>
      </w:pPr>
      <w:r w:rsidRPr="00B160B1">
        <w:rPr>
          <w:b/>
          <w:bCs/>
        </w:rPr>
        <w:t>14.2</w:t>
      </w:r>
      <w:r w:rsidR="00E378AF" w:rsidRPr="00B160B1">
        <w:rPr>
          <w:rtl/>
        </w:rPr>
        <w:tab/>
        <w:t xml:space="preserve">وقُدمت عدة دورات تدريبية من خلال </w:t>
      </w:r>
      <w:hyperlink r:id="rId51" w:history="1">
        <w:r w:rsidR="00E378AF" w:rsidRPr="00B160B1">
          <w:rPr>
            <w:rStyle w:val="Hyperlink"/>
            <w:rtl/>
          </w:rPr>
          <w:t>أكاديمية الاتحاد</w:t>
        </w:r>
      </w:hyperlink>
      <w:r w:rsidR="00E378AF" w:rsidRPr="00B160B1">
        <w:rPr>
          <w:rtl/>
        </w:rPr>
        <w:t xml:space="preserve"> و</w:t>
      </w:r>
      <w:hyperlink r:id="rId52" w:history="1">
        <w:r w:rsidR="00E378AF" w:rsidRPr="00B160B1">
          <w:rPr>
            <w:rStyle w:val="Hyperlink"/>
            <w:rtl/>
          </w:rPr>
          <w:t>مراكز التميز التابعة للاتحاد</w:t>
        </w:r>
      </w:hyperlink>
      <w:r w:rsidR="00E378AF" w:rsidRPr="00B160B1">
        <w:rPr>
          <w:rtl/>
        </w:rPr>
        <w:t>،</w:t>
      </w:r>
      <w:r w:rsidR="00F14695" w:rsidRPr="00B160B1">
        <w:rPr>
          <w:rtl/>
        </w:rPr>
        <w:t xml:space="preserve"> </w:t>
      </w:r>
      <w:r w:rsidR="00E378AF" w:rsidRPr="00B160B1">
        <w:rPr>
          <w:rtl/>
        </w:rPr>
        <w:t>فتناولت مواضيع مثل "تكنولوجيات النفاذ اللاسلكي إلى شبكات الإنترنت"، و"التكنولوجيات الرئيسية لإنترنت الأشياء وإدارتها،</w:t>
      </w:r>
      <w:r w:rsidR="00F14695" w:rsidRPr="00B160B1">
        <w:rPr>
          <w:rtl/>
        </w:rPr>
        <w:t xml:space="preserve"> </w:t>
      </w:r>
      <w:r w:rsidR="00E378AF" w:rsidRPr="00B160B1">
        <w:rPr>
          <w:rtl/>
        </w:rPr>
        <w:t>والبيانات الضخمة والذكاء الاصطناعي" و"الميل الأخير في توصيلية الإنترنت". والتحق بهذه الدورات ما مجموعه 794 مشاركاً، حصل 306 منهم على شهادة</w:t>
      </w:r>
      <w:r w:rsidR="00E378AF" w:rsidRPr="00B160B1">
        <w:rPr>
          <w:rtl/>
          <w:lang w:bidi="ar-EG"/>
        </w:rPr>
        <w:t>.</w:t>
      </w:r>
    </w:p>
    <w:p w14:paraId="32B6E3DA" w14:textId="77777777" w:rsidR="00E378AF" w:rsidRPr="00B160B1" w:rsidRDefault="00E378AF" w:rsidP="007C3EA1">
      <w:pPr>
        <w:pStyle w:val="Heading1"/>
        <w:rPr>
          <w:rtl/>
          <w:lang w:bidi="ar-EG"/>
        </w:rPr>
      </w:pPr>
      <w:r w:rsidRPr="00B160B1">
        <w:rPr>
          <w:lang w:bidi="ar-EG"/>
        </w:rPr>
        <w:t>3</w:t>
      </w:r>
      <w:r w:rsidRPr="00B160B1">
        <w:rPr>
          <w:rtl/>
          <w:lang w:bidi="ar-EG"/>
        </w:rPr>
        <w:tab/>
        <w:t xml:space="preserve">الإصدار السادس من </w:t>
      </w:r>
      <w:r w:rsidRPr="00B160B1">
        <w:rPr>
          <w:rtl/>
        </w:rPr>
        <w:t>بروتوكول</w:t>
      </w:r>
      <w:r w:rsidRPr="00B160B1">
        <w:rPr>
          <w:rtl/>
          <w:lang w:bidi="ar-EG"/>
        </w:rPr>
        <w:t xml:space="preserve"> الإنترنت (IPv6)</w:t>
      </w:r>
    </w:p>
    <w:p w14:paraId="2D4FE269" w14:textId="366D3167" w:rsidR="00E378AF" w:rsidRPr="00B160B1" w:rsidRDefault="001F7416" w:rsidP="001F7416">
      <w:pPr>
        <w:rPr>
          <w:rFonts w:eastAsia="SimSun"/>
          <w:lang w:val="ar-SA" w:eastAsia="zh-TW" w:bidi="en-GB"/>
        </w:rPr>
      </w:pPr>
      <w:r w:rsidRPr="00B160B1">
        <w:rPr>
          <w:b/>
          <w:bCs/>
        </w:rPr>
        <w:t>1.3</w:t>
      </w:r>
      <w:r w:rsidR="00E378AF" w:rsidRPr="00B160B1">
        <w:rPr>
          <w:rtl/>
        </w:rPr>
        <w:tab/>
        <w:t xml:space="preserve">تسلّط </w:t>
      </w:r>
      <w:hyperlink r:id="rId53" w:history="1">
        <w:r w:rsidR="00E378AF" w:rsidRPr="00B160B1">
          <w:rPr>
            <w:rStyle w:val="Hyperlink"/>
            <w:rtl/>
          </w:rPr>
          <w:t>الصفحة الإلكترونية لقطاع تقييس الاتصالات بشأن الإصدار السادس من بروتوكول الإنترنت</w:t>
        </w:r>
      </w:hyperlink>
      <w:r w:rsidR="00E378AF" w:rsidRPr="00B160B1">
        <w:rPr>
          <w:rtl/>
        </w:rPr>
        <w:t xml:space="preserve"> الضوءَ على الأنشطة المتعلقة بالإصدار السادس من بروتوكول الإنترنت داخل قطاع تقييس الاتصالات.</w:t>
      </w:r>
      <w:r w:rsidR="00F14695" w:rsidRPr="00B160B1">
        <w:rPr>
          <w:rtl/>
        </w:rPr>
        <w:t xml:space="preserve"> </w:t>
      </w:r>
      <w:r w:rsidR="00E378AF" w:rsidRPr="00B160B1">
        <w:rPr>
          <w:rtl/>
        </w:rPr>
        <w:t>ونُظّمت دورات تدريبية/دراسية بشأن جميع أشكال توصيليةِ إنترنت الأشياء بما فيها أمن المعلومات وحرمة الخصوصيات.</w:t>
      </w:r>
    </w:p>
    <w:p w14:paraId="6CADA32B" w14:textId="7F5E8ADB" w:rsidR="00E378AF" w:rsidRPr="00B160B1" w:rsidRDefault="001F7416" w:rsidP="001F7416">
      <w:pPr>
        <w:rPr>
          <w:lang w:val="ar-SA" w:eastAsia="zh-TW" w:bidi="en-GB"/>
        </w:rPr>
      </w:pPr>
      <w:r w:rsidRPr="00B160B1">
        <w:rPr>
          <w:b/>
          <w:bCs/>
        </w:rPr>
        <w:t>2.3</w:t>
      </w:r>
      <w:r w:rsidR="00E378AF" w:rsidRPr="00B160B1">
        <w:rPr>
          <w:rtl/>
        </w:rPr>
        <w:tab/>
        <w:t xml:space="preserve">أنشأ مكتب تنمية الاتصالات وجهاز تنظيم الاتصالات والبريد – السودان "المركز الإقليميّ للاتحاد بشأن خبرات الإصدار السادس من بروتوكول الإنترنت (IPv6) وإنترنت الأشياء للمنطقة العربية" الذي يستضيفه جهاز تنظيم الاتصالات والبريد – السودان </w:t>
      </w:r>
      <w:hyperlink r:id="rId54" w:history="1">
        <w:r w:rsidR="00E378AF" w:rsidRPr="00B160B1">
          <w:rPr>
            <w:rStyle w:val="Hyperlink"/>
            <w:rtl/>
          </w:rPr>
          <w:t>لتقديم التدريب</w:t>
        </w:r>
      </w:hyperlink>
      <w:r w:rsidR="00E378AF" w:rsidRPr="00B160B1">
        <w:rPr>
          <w:rtl/>
        </w:rPr>
        <w:t>.</w:t>
      </w:r>
    </w:p>
    <w:p w14:paraId="5C599E55" w14:textId="426EFEA8" w:rsidR="00E378AF" w:rsidRPr="00B160B1" w:rsidRDefault="001F7416" w:rsidP="00E378AF">
      <w:pPr>
        <w:widowControl w:val="0"/>
        <w:textDirection w:val="tbRlV"/>
        <w:rPr>
          <w:rFonts w:eastAsia="SimSun"/>
          <w:color w:val="000000"/>
          <w:lang w:val="ar-SA" w:eastAsia="zh-TW" w:bidi="en-GB"/>
        </w:rPr>
      </w:pPr>
      <w:r w:rsidRPr="00B160B1">
        <w:rPr>
          <w:b/>
          <w:bCs/>
        </w:rPr>
        <w:t>3.3</w:t>
      </w:r>
      <w:r w:rsidR="00E378AF" w:rsidRPr="00B160B1">
        <w:rPr>
          <w:rtl/>
        </w:rPr>
        <w:tab/>
        <w:t>يقدّم مكتب تنمية الاتصالات أيضاً المساعدة التقنية بشأن الإصدار السادس من بروتوكول الإنترنت إلى الجبل الأسود. وقد دخل مختبر الإصدار السادس من بروتوكول الإنترنت طورَ التشغيل في جامعة الجبل الأسود.</w:t>
      </w:r>
    </w:p>
    <w:p w14:paraId="751C0A80" w14:textId="0AB2146F" w:rsidR="00E378AF" w:rsidRPr="00221E1C" w:rsidRDefault="00653F59" w:rsidP="00653F59">
      <w:pPr>
        <w:rPr>
          <w:rFonts w:eastAsia="SimSun"/>
          <w:spacing w:val="-2"/>
          <w:lang w:val="ar-SA" w:eastAsia="zh-TW" w:bidi="en-GB"/>
        </w:rPr>
      </w:pPr>
      <w:r w:rsidRPr="00221E1C">
        <w:rPr>
          <w:b/>
          <w:bCs/>
          <w:spacing w:val="-2"/>
        </w:rPr>
        <w:t>4.3</w:t>
      </w:r>
      <w:r w:rsidR="00E378AF" w:rsidRPr="00221E1C">
        <w:rPr>
          <w:spacing w:val="-2"/>
          <w:rtl/>
        </w:rPr>
        <w:tab/>
        <w:t>يقدّم مكتب تنمية الاتصالات المساعدةَ بشأن تنفيذ منصة تجريبية للإصدار السادس من بروتوكول الإنترنت في</w:t>
      </w:r>
      <w:r w:rsidR="0014590D" w:rsidRPr="00221E1C">
        <w:rPr>
          <w:rFonts w:hint="cs"/>
          <w:spacing w:val="-2"/>
          <w:rtl/>
        </w:rPr>
        <w:t> </w:t>
      </w:r>
      <w:r w:rsidR="00E378AF" w:rsidRPr="00221E1C">
        <w:rPr>
          <w:spacing w:val="-2"/>
          <w:rtl/>
        </w:rPr>
        <w:t>الكاميرون وجمهورية الكونغو. ويجري تقديم المساعدة التقنية إلى العراق، ودولة فلسطين، والصومال، والسودان، لوضع استراتيجيات وطنية للانتقال إلى الإصدار السادس من بروتوكول الإنترنت، وإنشاء أفرقة مهامّ وطنية للإصدار السادس من بروتوكول الإنترنت.</w:t>
      </w:r>
    </w:p>
    <w:p w14:paraId="4FCBD8B8" w14:textId="3E9001CA" w:rsidR="00E378AF" w:rsidRPr="00B160B1" w:rsidRDefault="00653F59" w:rsidP="00AC43B5">
      <w:pPr>
        <w:keepNext/>
        <w:snapToGrid w:val="0"/>
        <w:textDirection w:val="tbRlV"/>
        <w:rPr>
          <w:lang w:val="ar-SA" w:eastAsia="zh-TW" w:bidi="ar-SY"/>
        </w:rPr>
      </w:pPr>
      <w:r w:rsidRPr="00B160B1">
        <w:rPr>
          <w:b/>
          <w:bCs/>
        </w:rPr>
        <w:lastRenderedPageBreak/>
        <w:t>5.3</w:t>
      </w:r>
      <w:r w:rsidR="00E378AF" w:rsidRPr="00B160B1">
        <w:rPr>
          <w:rtl/>
        </w:rPr>
        <w:tab/>
        <w:t>يركّز مكتب تنمية الاتصالات أيضاً على برنامج خاص لتدريب المدرِّبين بشأن "الإصدار السادس من بروتوكول الإنترنت عبر شبكات الجيل الخامس". وأكملَ 31 مشاركاً التدريب وحصل 20 منهم على شهادة.</w:t>
      </w:r>
    </w:p>
    <w:p w14:paraId="5A45ED60" w14:textId="4407095B" w:rsidR="00E378AF" w:rsidRPr="00B160B1" w:rsidRDefault="008D7DDA" w:rsidP="00E378AF">
      <w:pPr>
        <w:snapToGrid w:val="0"/>
        <w:textDirection w:val="tbRlV"/>
        <w:rPr>
          <w:rFonts w:eastAsia="SimSun"/>
          <w:lang w:val="ar-SA" w:eastAsia="zh-TW" w:bidi="en-GB"/>
        </w:rPr>
      </w:pPr>
      <w:r w:rsidRPr="00B160B1">
        <w:rPr>
          <w:b/>
          <w:bCs/>
        </w:rPr>
        <w:t>6.3</w:t>
      </w:r>
      <w:r w:rsidR="00E378AF" w:rsidRPr="00B160B1">
        <w:rPr>
          <w:rtl/>
        </w:rPr>
        <w:tab/>
        <w:t xml:space="preserve">يُتاح </w:t>
      </w:r>
      <w:hyperlink r:id="rId55" w:history="1">
        <w:r w:rsidR="00E378AF" w:rsidRPr="00B160B1">
          <w:rPr>
            <w:rStyle w:val="Hyperlink"/>
            <w:rtl/>
          </w:rPr>
          <w:t>التقرير النهائي</w:t>
        </w:r>
      </w:hyperlink>
      <w:r w:rsidR="00E378AF" w:rsidRPr="00B160B1">
        <w:rPr>
          <w:rtl/>
        </w:rPr>
        <w:t xml:space="preserve">، استجابةً </w:t>
      </w:r>
      <w:hyperlink r:id="rId56" w:history="1">
        <w:r w:rsidR="00B160B1" w:rsidRPr="00B160B1">
          <w:rPr>
            <w:rStyle w:val="Hyperlink"/>
            <w:rtl/>
          </w:rPr>
          <w:t xml:space="preserve">للمسألة </w:t>
        </w:r>
        <w:r w:rsidR="00B160B1" w:rsidRPr="00B160B1">
          <w:rPr>
            <w:rStyle w:val="Hyperlink"/>
          </w:rPr>
          <w:t>1/1</w:t>
        </w:r>
      </w:hyperlink>
      <w:r w:rsidR="00E378AF" w:rsidRPr="00B160B1">
        <w:rPr>
          <w:rtl/>
        </w:rPr>
        <w:t xml:space="preserve"> لدى لجنة الدراسات 1 بقطاع تنمية الاتصالات، وهو يستكشف من خلال دراسات الحالة تجارب البلدان في الانتقال من الإصدار الرابع إلى الإصدار السادس من بروتوكول الإنترنت. ويتاح أيضاً </w:t>
      </w:r>
      <w:hyperlink r:id="rId57" w:history="1">
        <w:r w:rsidR="00E378AF" w:rsidRPr="00B160B1">
          <w:rPr>
            <w:rStyle w:val="Hyperlink"/>
            <w:rtl/>
          </w:rPr>
          <w:t>دليل أساسي</w:t>
        </w:r>
      </w:hyperlink>
      <w:r w:rsidR="00E378AF" w:rsidRPr="00B160B1">
        <w:rPr>
          <w:rtl/>
        </w:rPr>
        <w:t xml:space="preserve"> لمساعدة البلدان النامية على تنفيذ الإصدار السادس من بروتوكول الإنترنت عبر شبكات الجيل الخامس.</w:t>
      </w:r>
    </w:p>
    <w:p w14:paraId="47B0503E" w14:textId="77777777" w:rsidR="00E378AF" w:rsidRPr="00B160B1" w:rsidRDefault="00E378AF" w:rsidP="00B160B1">
      <w:pPr>
        <w:pStyle w:val="Heading1"/>
        <w:rPr>
          <w:rFonts w:eastAsia="SimSun"/>
          <w:lang w:val="ar-SA" w:eastAsia="zh-TW" w:bidi="en-GB"/>
        </w:rPr>
      </w:pPr>
      <w:r w:rsidRPr="00B160B1">
        <w:rPr>
          <w:rtl/>
        </w:rPr>
        <w:t>4</w:t>
      </w:r>
      <w:r w:rsidRPr="00B160B1">
        <w:rPr>
          <w:rtl/>
        </w:rPr>
        <w:tab/>
        <w:t>قضايا السياسة العامة المتصلة بالإنترنت بما في ذلك إدارة أسماء الميادين والعناوين</w:t>
      </w:r>
    </w:p>
    <w:p w14:paraId="52034898" w14:textId="7D7A3619" w:rsidR="00E378AF" w:rsidRPr="00B160B1" w:rsidRDefault="00B160B1" w:rsidP="00F14695">
      <w:pPr>
        <w:rPr>
          <w:rFonts w:eastAsia="SimSun"/>
          <w:lang w:val="ar-SA" w:eastAsia="zh-TW" w:bidi="en-GB"/>
        </w:rPr>
      </w:pPr>
      <w:r w:rsidRPr="00153984">
        <w:rPr>
          <w:b/>
          <w:bCs/>
        </w:rPr>
        <w:t>1.4</w:t>
      </w:r>
      <w:r w:rsidR="00E378AF" w:rsidRPr="00153984">
        <w:rPr>
          <w:rtl/>
        </w:rPr>
        <w:tab/>
        <w:t xml:space="preserve">عقد </w:t>
      </w:r>
      <w:hyperlink r:id="rId58" w:anchor="/ar" w:history="1">
        <w:r w:rsidR="00E378AF" w:rsidRPr="00153984">
          <w:rPr>
            <w:rStyle w:val="Hyperlink"/>
            <w:rtl/>
          </w:rPr>
          <w:t xml:space="preserve">فريق العمل التابع للمجلس والمعني بقضايا السياسات العامة الدولية المتعلقة بالإنترنت </w:t>
        </w:r>
        <w:r w:rsidR="00E378AF" w:rsidRPr="00153984">
          <w:rPr>
            <w:rStyle w:val="Hyperlink"/>
          </w:rPr>
          <w:t>(CWG-Internet)</w:t>
        </w:r>
      </w:hyperlink>
      <w:r w:rsidR="00E378AF" w:rsidRPr="00153984">
        <w:rPr>
          <w:rtl/>
        </w:rPr>
        <w:t xml:space="preserve"> اجتماعيه الثامن عشر والتاسع عشر في 18 أكتوبر 2023 و31 يناير - 1 فبراير 2024، على التوالي، في مقر الاتحاد في</w:t>
      </w:r>
      <w:r w:rsidR="00AE4FDB">
        <w:rPr>
          <w:rFonts w:hint="cs"/>
          <w:rtl/>
        </w:rPr>
        <w:t> </w:t>
      </w:r>
      <w:r w:rsidR="00E378AF" w:rsidRPr="00153984">
        <w:rPr>
          <w:rtl/>
        </w:rPr>
        <w:t xml:space="preserve">جنيف، سويسرا. وفي الاجتماع التاسع عشر، اتفق الفريق على افتتاح عملية المشاورة المفتوحة بشأن </w:t>
      </w:r>
      <w:hyperlink r:id="rId59" w:history="1">
        <w:r w:rsidR="00E378AF" w:rsidRPr="00153984">
          <w:rPr>
            <w:rStyle w:val="Hyperlink"/>
            <w:i/>
            <w:iCs/>
            <w:rtl/>
          </w:rPr>
          <w:t>الجوانب التطويرية لتقوية الإنترنت</w:t>
        </w:r>
      </w:hyperlink>
      <w:r w:rsidR="00E378AF" w:rsidRPr="00153984">
        <w:rPr>
          <w:rtl/>
        </w:rPr>
        <w:t>. ويرد تقرير الرئيس إلى المجلس في الوثيقة</w:t>
      </w:r>
      <w:r w:rsidR="00F14695" w:rsidRPr="00153984">
        <w:rPr>
          <w:rtl/>
        </w:rPr>
        <w:t xml:space="preserve"> </w:t>
      </w:r>
      <w:hyperlink r:id="rId60" w:history="1">
        <w:r w:rsidR="00E378AF" w:rsidRPr="00153984">
          <w:rPr>
            <w:rStyle w:val="Hyperlink"/>
            <w:rFonts w:eastAsia="SimSun"/>
            <w:szCs w:val="24"/>
          </w:rPr>
          <w:t>C24/51</w:t>
        </w:r>
      </w:hyperlink>
      <w:r w:rsidR="00E378AF" w:rsidRPr="00153984">
        <w:rPr>
          <w:rtl/>
        </w:rPr>
        <w:t>.</w:t>
      </w:r>
    </w:p>
    <w:p w14:paraId="6304C28A" w14:textId="70036B7C" w:rsidR="00E378AF" w:rsidRPr="00AE4FDB" w:rsidRDefault="00B160B1" w:rsidP="00B160B1">
      <w:pPr>
        <w:rPr>
          <w:rFonts w:eastAsia="SimSun"/>
          <w:spacing w:val="-2"/>
          <w:rtl/>
          <w:lang w:eastAsia="zh-TW"/>
        </w:rPr>
      </w:pPr>
      <w:r>
        <w:rPr>
          <w:b/>
          <w:bCs/>
        </w:rPr>
        <w:t>2.4</w:t>
      </w:r>
      <w:r w:rsidR="00E378AF" w:rsidRPr="00B160B1">
        <w:rPr>
          <w:rtl/>
        </w:rPr>
        <w:tab/>
        <w:t xml:space="preserve">وشارك الاتحاد في الاجتماع الثامن عشر لمنتدى إدارة الإنترنت </w:t>
      </w:r>
      <w:r w:rsidR="00E378AF" w:rsidRPr="00B160B1">
        <w:t>(IGF)</w:t>
      </w:r>
      <w:r w:rsidR="00E378AF" w:rsidRPr="00B160B1">
        <w:rPr>
          <w:rtl/>
        </w:rPr>
        <w:t xml:space="preserve"> الذي عُقد في كيوتو، اليابان، في الفترة من 8 إلى 12 أكتوبر 2023، بما في ذلك الحفل الافتتاحي والجلسات الرفيعة المستوى، فنظّم جلسات بشأن </w:t>
      </w:r>
      <w:r w:rsidR="00E378AF" w:rsidRPr="00B160B1">
        <w:rPr>
          <w:cs/>
        </w:rPr>
        <w:t>‎</w:t>
      </w:r>
      <w:r w:rsidR="00E378AF" w:rsidRPr="00B160B1">
        <w:rPr>
          <w:rtl/>
        </w:rPr>
        <w:t xml:space="preserve"> فريق العمل التابع للمجلس والمعني بقضايا السياسات العامة الدولية المتعلقة بالإنترنت (</w:t>
      </w:r>
      <w:r w:rsidR="00E378AF" w:rsidRPr="00B160B1">
        <w:t>CWG-Internet</w:t>
      </w:r>
      <w:r w:rsidR="00E378AF" w:rsidRPr="00B160B1">
        <w:rPr>
          <w:rtl/>
        </w:rPr>
        <w:t>) ‏</w:t>
      </w:r>
      <w:proofErr w:type="spellStart"/>
      <w:r w:rsidR="00E378AF" w:rsidRPr="00B160B1">
        <w:rPr>
          <w:rtl/>
        </w:rPr>
        <w:t>و</w:t>
      </w:r>
      <w:r w:rsidR="00E378AF" w:rsidRPr="00B160B1">
        <w:rPr>
          <w:cs/>
        </w:rPr>
        <w:t>‎</w:t>
      </w:r>
      <w:r w:rsidR="00E378AF" w:rsidRPr="00B160B1">
        <w:rPr>
          <w:rtl/>
        </w:rPr>
        <w:t>منتدى</w:t>
      </w:r>
      <w:proofErr w:type="spellEnd"/>
      <w:r w:rsidR="00E378AF" w:rsidRPr="00B160B1">
        <w:rPr>
          <w:rtl/>
        </w:rPr>
        <w:t xml:space="preserve"> القمة العالمية لمجتمع المعلومات بعد مرور 20 عاماً على انعقادها (</w:t>
      </w:r>
      <w:r w:rsidR="00E378AF" w:rsidRPr="00B160B1">
        <w:t>WSIS+20</w:t>
      </w:r>
      <w:r w:rsidR="00E378AF" w:rsidRPr="00B160B1">
        <w:rPr>
          <w:rtl/>
        </w:rPr>
        <w:t xml:space="preserve">) ‏ومنتدى القمة العالمية لمجتمع المعلومات لعام </w:t>
      </w:r>
      <w:r w:rsidR="00E378AF" w:rsidRPr="00B160B1">
        <w:rPr>
          <w:cs/>
        </w:rPr>
        <w:t>‎</w:t>
      </w:r>
      <w:r w:rsidR="00E378AF" w:rsidRPr="00B160B1">
        <w:t>2024</w:t>
      </w:r>
      <w:r w:rsidR="00E378AF" w:rsidRPr="00B160B1">
        <w:rPr>
          <w:rtl/>
        </w:rPr>
        <w:t xml:space="preserve">‏، وأطر ومؤشرات القياس، </w:t>
      </w:r>
      <w:r w:rsidR="00E378AF" w:rsidRPr="00AE4FDB">
        <w:rPr>
          <w:spacing w:val="-2"/>
          <w:rtl/>
        </w:rPr>
        <w:t>والأمن السيبراني. وسيواصل الاتحاد الدولي للاتصالات المشاركة على أعلى مستوى في الاجتماع التاسع عشر لمنتدى إدارة الإنترنت في الرياض، المملكة العربية السعودية.</w:t>
      </w:r>
    </w:p>
    <w:p w14:paraId="48A8015F" w14:textId="1D10EDEC" w:rsidR="00E378AF" w:rsidRPr="00B160B1" w:rsidRDefault="00B160B1" w:rsidP="00E378AF">
      <w:pPr>
        <w:snapToGrid w:val="0"/>
        <w:textDirection w:val="tbRlV"/>
        <w:rPr>
          <w:rFonts w:eastAsia="SimSun"/>
          <w:lang w:val="ar-SA" w:eastAsia="zh-TW" w:bidi="en-GB"/>
        </w:rPr>
      </w:pPr>
      <w:r>
        <w:rPr>
          <w:b/>
          <w:bCs/>
        </w:rPr>
        <w:t>3.4</w:t>
      </w:r>
      <w:r w:rsidR="00E378AF" w:rsidRPr="00B160B1">
        <w:rPr>
          <w:rtl/>
        </w:rPr>
        <w:tab/>
        <w:t xml:space="preserve">يواصِل الاتحاد متابعة مسألة حماية الأسماء والأسماء المختصرة للمنظمات الحكومية الدولية </w:t>
      </w:r>
      <w:r w:rsidR="00E378AF" w:rsidRPr="00B160B1">
        <w:t>(IGF)</w:t>
      </w:r>
      <w:r w:rsidR="00E378AF" w:rsidRPr="00B160B1">
        <w:rPr>
          <w:rtl/>
        </w:rPr>
        <w:t xml:space="preserve"> في أي من الميادين العامة للمستوى الأعلى (</w:t>
      </w:r>
      <w:r w:rsidR="00E378AF" w:rsidRPr="00B160B1">
        <w:t>gTLD</w:t>
      </w:r>
      <w:r w:rsidR="00E378AF" w:rsidRPr="00B160B1">
        <w:rPr>
          <w:rtl/>
        </w:rPr>
        <w:t>) الجديدة، في إطار تحالف المنظمات الحكومية الدولية المؤلف من حوالي 35 منظمة بما فيها منظمة التعاون والتنمية في الميدان الاقتصادي (</w:t>
      </w:r>
      <w:r w:rsidR="00E378AF" w:rsidRPr="00B160B1">
        <w:t>OECD</w:t>
      </w:r>
      <w:r w:rsidR="00E378AF" w:rsidRPr="00B160B1">
        <w:rPr>
          <w:rtl/>
        </w:rPr>
        <w:t>) والأمم المتحدة (</w:t>
      </w:r>
      <w:r w:rsidR="00E378AF" w:rsidRPr="00B160B1">
        <w:t>UN</w:t>
      </w:r>
      <w:r w:rsidR="00E378AF" w:rsidRPr="00B160B1">
        <w:rPr>
          <w:rtl/>
        </w:rPr>
        <w:t>) والاتحاد البريدي العالمي (</w:t>
      </w:r>
      <w:r w:rsidR="00E378AF" w:rsidRPr="00B160B1">
        <w:t>UPU</w:t>
      </w:r>
      <w:r w:rsidR="00E378AF" w:rsidRPr="00B160B1">
        <w:rPr>
          <w:rtl/>
        </w:rPr>
        <w:t>) ومنظمة الصحة العالمية (</w:t>
      </w:r>
      <w:r w:rsidR="00E378AF" w:rsidRPr="00B160B1">
        <w:t>WHO</w:t>
      </w:r>
      <w:r w:rsidR="00E378AF" w:rsidRPr="00B160B1">
        <w:rPr>
          <w:rtl/>
        </w:rPr>
        <w:t>) والمنظمة العالمية للملكية الفكرية (</w:t>
      </w:r>
      <w:r w:rsidR="00E378AF" w:rsidRPr="00B160B1">
        <w:t>WIPO</w:t>
      </w:r>
      <w:r w:rsidR="00E378AF" w:rsidRPr="00B160B1">
        <w:rPr>
          <w:rtl/>
        </w:rPr>
        <w:t>) والبنك الدولي.</w:t>
      </w:r>
    </w:p>
    <w:p w14:paraId="70498029" w14:textId="355C9CAA" w:rsidR="00E378AF" w:rsidRPr="00B160B1" w:rsidRDefault="00B160B1" w:rsidP="00E378AF">
      <w:pPr>
        <w:snapToGrid w:val="0"/>
        <w:textDirection w:val="tbRlV"/>
        <w:rPr>
          <w:rFonts w:eastAsia="SimSun"/>
          <w:lang w:val="ar-SA" w:eastAsia="zh-TW" w:bidi="en-GB"/>
        </w:rPr>
      </w:pPr>
      <w:r>
        <w:rPr>
          <w:b/>
          <w:bCs/>
        </w:rPr>
        <w:t>4.4</w:t>
      </w:r>
      <w:r w:rsidR="00E378AF" w:rsidRPr="00B160B1">
        <w:rPr>
          <w:rtl/>
        </w:rPr>
        <w:tab/>
        <w:t>في جميع الأنشطة المدرَجة في الأقسام المختلفة من هذا التقرير، خاصةً فيما يتعلق بالبلدان المستفيدة من أنشطة الإصدار السادس من بروتوكول الإنترنت والنطاق العريض وبناء القدرات، يهدف الاتحاد إلى التصدي للتحديات التي تواجهها البلدان النامية المحاطة باليابسة وفقاً لبرنامج عمل فيينا.</w:t>
      </w:r>
    </w:p>
    <w:p w14:paraId="34D84BEB" w14:textId="00A27544" w:rsidR="00E378AF" w:rsidRPr="00384E8C" w:rsidRDefault="00B160B1" w:rsidP="00384E8C">
      <w:pPr>
        <w:snapToGrid w:val="0"/>
        <w:textDirection w:val="tbRlV"/>
      </w:pPr>
      <w:r>
        <w:rPr>
          <w:b/>
          <w:bCs/>
        </w:rPr>
        <w:t>5.4</w:t>
      </w:r>
      <w:r w:rsidR="00E378AF" w:rsidRPr="00B160B1">
        <w:rPr>
          <w:rtl/>
        </w:rPr>
        <w:tab/>
        <w:t xml:space="preserve">ويواصِل الاتحاد المتابعة النشطة لمناقشات اللجنة الاستشارية الحكومية بصفة مراقب. وحضر الاتحاد </w:t>
      </w:r>
      <w:r w:rsidR="00E378AF" w:rsidRPr="00B160B1">
        <w:rPr>
          <w:rtl/>
          <w:lang w:bidi="ar-EG"/>
        </w:rPr>
        <w:t>الاجتماع 78 ل</w:t>
      </w:r>
      <w:r w:rsidR="00E378AF" w:rsidRPr="00B160B1">
        <w:rPr>
          <w:rtl/>
        </w:rPr>
        <w:t>مؤسسة الإنترنت لتخصيص الأسماء والأرقام (ICANN78) الذي انعقد في شهر أكتوبر، وتزامن مع اجتماعها السنوي العام الخامس والعشرين. وانضمت الأمينة العامة</w:t>
      </w:r>
      <w:r w:rsidR="00F14695" w:rsidRPr="00B160B1">
        <w:rPr>
          <w:rtl/>
        </w:rPr>
        <w:t xml:space="preserve"> </w:t>
      </w:r>
      <w:r w:rsidR="00E378AF" w:rsidRPr="00B160B1">
        <w:rPr>
          <w:rtl/>
        </w:rPr>
        <w:t xml:space="preserve">للاتحاد أيضاً إلى اجتماع ICANN78 والتقت مع مجلس إدارة مؤسسة الإنترنت لتخصيص الأسماء والأرقام </w:t>
      </w:r>
      <w:r w:rsidR="00E378AF" w:rsidRPr="00B160B1">
        <w:rPr>
          <w:rtl/>
          <w:lang w:bidi="ar-EG"/>
        </w:rPr>
        <w:t>(</w:t>
      </w:r>
      <w:r w:rsidR="00E378AF" w:rsidRPr="00B160B1">
        <w:t>ICANN</w:t>
      </w:r>
      <w:r w:rsidR="00E378AF" w:rsidRPr="00B160B1">
        <w:rPr>
          <w:rtl/>
          <w:lang w:bidi="ar-EG"/>
        </w:rPr>
        <w:t>).</w:t>
      </w:r>
      <w:r w:rsidR="00E378AF" w:rsidRPr="00B160B1">
        <w:rPr>
          <w:rtl/>
        </w:rPr>
        <w:t xml:space="preserve"> وسيشارك الاتحاد في اجتماع</w:t>
      </w:r>
      <w:r w:rsidR="00F14695" w:rsidRPr="00B160B1">
        <w:rPr>
          <w:rtl/>
        </w:rPr>
        <w:t xml:space="preserve"> </w:t>
      </w:r>
      <w:r w:rsidR="00E378AF" w:rsidRPr="00B160B1">
        <w:rPr>
          <w:rtl/>
        </w:rPr>
        <w:t>ICANN79 في مارس 2024.</w:t>
      </w:r>
    </w:p>
    <w:p w14:paraId="68E53EE6" w14:textId="77777777" w:rsidR="00E378AF" w:rsidRPr="00B160B1" w:rsidRDefault="00E378AF" w:rsidP="00384E8C">
      <w:pPr>
        <w:pStyle w:val="Heading1"/>
        <w:rPr>
          <w:rtl/>
        </w:rPr>
      </w:pPr>
      <w:r w:rsidRPr="00B160B1">
        <w:rPr>
          <w:rtl/>
        </w:rPr>
        <w:t>5</w:t>
      </w:r>
      <w:r w:rsidRPr="00B160B1">
        <w:rPr>
          <w:rtl/>
        </w:rPr>
        <w:tab/>
        <w:t xml:space="preserve">بروتوكول الترقيم </w:t>
      </w:r>
      <w:r w:rsidRPr="00384E8C">
        <w:rPr>
          <w:rtl/>
        </w:rPr>
        <w:t>الإلكتروني</w:t>
      </w:r>
      <w:r w:rsidRPr="00B160B1">
        <w:rPr>
          <w:rtl/>
        </w:rPr>
        <w:t xml:space="preserve"> </w:t>
      </w:r>
      <w:r w:rsidRPr="00B160B1">
        <w:t>(ENUM)</w:t>
      </w:r>
    </w:p>
    <w:p w14:paraId="3DAAF72A" w14:textId="055638BB" w:rsidR="00E378AF" w:rsidRPr="00B160B1" w:rsidRDefault="00E378AF" w:rsidP="00E378AF">
      <w:pPr>
        <w:rPr>
          <w:rtl/>
        </w:rPr>
      </w:pPr>
      <w:r w:rsidRPr="00B160B1">
        <w:rPr>
          <w:rtl/>
        </w:rPr>
        <w:t xml:space="preserve">يحتفظ قطاع تقييس الاتصالات </w:t>
      </w:r>
      <w:hyperlink r:id="rId61" w:history="1">
        <w:r w:rsidRPr="00B160B1">
          <w:rPr>
            <w:rStyle w:val="Hyperlink"/>
            <w:rtl/>
          </w:rPr>
          <w:t xml:space="preserve">بأحدث المعلومات بشأن بروتوكول الترقيم الإلكتروني </w:t>
        </w:r>
        <w:r w:rsidRPr="00B160B1">
          <w:rPr>
            <w:rStyle w:val="Hyperlink"/>
          </w:rPr>
          <w:t>(ENUM)</w:t>
        </w:r>
      </w:hyperlink>
      <w:r w:rsidRPr="00B160B1">
        <w:rPr>
          <w:rtl/>
        </w:rPr>
        <w:t>. وتواصِل لجنة الدراسات</w:t>
      </w:r>
      <w:r w:rsidR="003D5978">
        <w:rPr>
          <w:rFonts w:hint="cs"/>
          <w:rtl/>
        </w:rPr>
        <w:t> </w:t>
      </w:r>
      <w:r w:rsidRPr="00B160B1">
        <w:rPr>
          <w:rtl/>
        </w:rPr>
        <w:t>2 بقطاع تقييس الاتصالات العمل على مشروع توصية جديدة للتمييز بين بروتوكول الترقيم الإلكتروني وبروتوكول الترقيم الإلكتروني للبنية</w:t>
      </w:r>
      <w:r w:rsidR="003D5978">
        <w:rPr>
          <w:rFonts w:hint="cs"/>
          <w:rtl/>
        </w:rPr>
        <w:t> </w:t>
      </w:r>
      <w:r w:rsidRPr="00B160B1">
        <w:rPr>
          <w:rtl/>
        </w:rPr>
        <w:t>التحتية.</w:t>
      </w:r>
    </w:p>
    <w:p w14:paraId="62D8D887" w14:textId="77777777" w:rsidR="00E378AF" w:rsidRPr="00B160B1" w:rsidRDefault="00E378AF" w:rsidP="00764671">
      <w:pPr>
        <w:pStyle w:val="Heading1"/>
      </w:pPr>
      <w:bookmarkStart w:id="6" w:name="_Hlk133498507"/>
      <w:r w:rsidRPr="00B160B1">
        <w:rPr>
          <w:rtl/>
        </w:rPr>
        <w:t>6</w:t>
      </w:r>
      <w:r w:rsidRPr="00B160B1">
        <w:rPr>
          <w:rtl/>
        </w:rPr>
        <w:tab/>
        <w:t>التوصيلية الدولية للإنترنت (</w:t>
      </w:r>
      <w:r w:rsidRPr="00B160B1">
        <w:t>/(IIC</w:t>
      </w:r>
      <w:r w:rsidRPr="00B160B1">
        <w:rPr>
          <w:rtl/>
        </w:rPr>
        <w:t>نقاط تبادل الإنترنت (</w:t>
      </w:r>
      <w:r w:rsidRPr="00B160B1">
        <w:t>IXP</w:t>
      </w:r>
      <w:r w:rsidRPr="00B160B1">
        <w:rPr>
          <w:rtl/>
        </w:rPr>
        <w:t>)</w:t>
      </w:r>
    </w:p>
    <w:p w14:paraId="33F79DD1" w14:textId="77777777" w:rsidR="00E378AF" w:rsidRPr="00296FCB" w:rsidRDefault="00E378AF" w:rsidP="00764671">
      <w:pPr>
        <w:rPr>
          <w:rFonts w:eastAsia="SimSun"/>
          <w:bCs/>
          <w:spacing w:val="-4"/>
          <w:lang w:eastAsia="zh-TW" w:bidi="en-GB"/>
        </w:rPr>
      </w:pPr>
      <w:r w:rsidRPr="00296FCB">
        <w:rPr>
          <w:spacing w:val="-4"/>
          <w:rtl/>
        </w:rPr>
        <w:t xml:space="preserve">يواصِل مكتب تنمية الاتصالات عمله في تقديم المساعدة في المسائل المتعلقة بنقاط تبادُل الإنترنت </w:t>
      </w:r>
      <w:r w:rsidRPr="00296FCB">
        <w:rPr>
          <w:spacing w:val="-4"/>
        </w:rPr>
        <w:t>(IXP)</w:t>
      </w:r>
      <w:r w:rsidRPr="00296FCB">
        <w:rPr>
          <w:spacing w:val="-4"/>
          <w:rtl/>
        </w:rPr>
        <w:t>. وتتوفر مواقع نقاط تبادُل الإنترنت في الخريطة التفاعلية للبنية التحتية لتكنولوجيا المعلومات والاتصالات عبر الرابط</w:t>
      </w:r>
      <w:r w:rsidRPr="00296FCB">
        <w:rPr>
          <w:spacing w:val="-4"/>
        </w:rPr>
        <w:t>:</w:t>
      </w:r>
      <w:r w:rsidRPr="00296FCB">
        <w:rPr>
          <w:spacing w:val="-4"/>
          <w:rtl/>
        </w:rPr>
        <w:t xml:space="preserve"> </w:t>
      </w:r>
      <w:bookmarkEnd w:id="6"/>
      <w:r w:rsidRPr="00296FCB">
        <w:rPr>
          <w:spacing w:val="-4"/>
        </w:rPr>
        <w:fldChar w:fldCharType="begin"/>
      </w:r>
      <w:r w:rsidRPr="00296FCB">
        <w:rPr>
          <w:spacing w:val="-4"/>
        </w:rPr>
        <w:instrText xml:space="preserve"> HYPERLINK "https://bbmaps.itu.int/bbmaps/" \t "_blank" \o "https://bbmaps.itu.int/bbmaps/" </w:instrText>
      </w:r>
      <w:r w:rsidRPr="00296FCB">
        <w:rPr>
          <w:spacing w:val="-4"/>
        </w:rPr>
        <w:fldChar w:fldCharType="separate"/>
      </w:r>
      <w:r w:rsidRPr="00296FCB">
        <w:rPr>
          <w:rFonts w:eastAsia="SimSun"/>
          <w:bCs/>
          <w:color w:val="0563C1"/>
          <w:spacing w:val="-4"/>
          <w:szCs w:val="24"/>
          <w:u w:val="single"/>
        </w:rPr>
        <w:t>https://bbmaps.itu.int/bbmaps/</w:t>
      </w:r>
      <w:r w:rsidRPr="00296FCB">
        <w:rPr>
          <w:rFonts w:eastAsia="SimSun"/>
          <w:bCs/>
          <w:color w:val="0563C1"/>
          <w:spacing w:val="-4"/>
          <w:szCs w:val="24"/>
          <w:u w:val="single"/>
        </w:rPr>
        <w:fldChar w:fldCharType="end"/>
      </w:r>
      <w:r w:rsidRPr="00662E12">
        <w:rPr>
          <w:rFonts w:eastAsia="SimSun"/>
          <w:b/>
          <w:spacing w:val="-4"/>
          <w:rtl/>
          <w:lang w:eastAsia="zh-TW" w:bidi="en-GB"/>
        </w:rPr>
        <w:t>.</w:t>
      </w:r>
    </w:p>
    <w:p w14:paraId="3D6E2E8C" w14:textId="77777777" w:rsidR="00E378AF" w:rsidRPr="00B160B1" w:rsidRDefault="00E378AF" w:rsidP="00E378AF">
      <w:pPr>
        <w:pStyle w:val="Heading1"/>
        <w:textDirection w:val="tbRlV"/>
        <w:rPr>
          <w:rtl/>
        </w:rPr>
      </w:pPr>
      <w:r w:rsidRPr="00B160B1">
        <w:rPr>
          <w:rtl/>
        </w:rPr>
        <w:t>7</w:t>
      </w:r>
      <w:r w:rsidRPr="00B160B1">
        <w:rPr>
          <w:rtl/>
        </w:rPr>
        <w:tab/>
        <w:t xml:space="preserve">الخدمات المتاحة عبر الإنترنت </w:t>
      </w:r>
      <w:r w:rsidRPr="00B160B1">
        <w:t>(OTT)</w:t>
      </w:r>
    </w:p>
    <w:p w14:paraId="46FC7F9C" w14:textId="6D8A114D" w:rsidR="00E378AF" w:rsidRPr="00B160B1" w:rsidRDefault="00296FCB" w:rsidP="00E378AF">
      <w:pPr>
        <w:textDirection w:val="tbRlV"/>
        <w:rPr>
          <w:rFonts w:eastAsia="SimSun"/>
          <w:lang w:val="ar-SA" w:eastAsia="zh-TW" w:bidi="en-GB"/>
        </w:rPr>
      </w:pPr>
      <w:r>
        <w:rPr>
          <w:b/>
          <w:bCs/>
        </w:rPr>
        <w:t>1.7</w:t>
      </w:r>
      <w:r w:rsidR="00E378AF" w:rsidRPr="00B160B1">
        <w:rPr>
          <w:rtl/>
        </w:rPr>
        <w:tab/>
        <w:t xml:space="preserve">في إطار </w:t>
      </w:r>
      <w:r w:rsidR="00E378AF" w:rsidRPr="00B160B1">
        <w:rPr>
          <w:b/>
          <w:bCs/>
          <w:rtl/>
        </w:rPr>
        <w:t>المسألة 1/3 لقطاع تنمية الاتصالات</w:t>
      </w:r>
      <w:r w:rsidR="00E378AF" w:rsidRPr="00B160B1">
        <w:rPr>
          <w:rtl/>
        </w:rPr>
        <w:t>، يتواصل العمل بشأن "</w:t>
      </w:r>
      <w:r w:rsidR="00E378AF" w:rsidRPr="00B160B1">
        <w:rPr>
          <w:i/>
          <w:iCs/>
          <w:rtl/>
        </w:rPr>
        <w:t xml:space="preserve">التكنولوجيات الناشئة، بما في ذلك الحوسبة السحابية والخدمات المتنقلة والخدمات المتاحة عبر الإنترنت </w:t>
      </w:r>
      <w:r w:rsidR="00E378AF" w:rsidRPr="00B160B1">
        <w:rPr>
          <w:i/>
          <w:iCs/>
        </w:rPr>
        <w:t>(OTT)</w:t>
      </w:r>
      <w:r w:rsidR="00E378AF" w:rsidRPr="00B160B1">
        <w:rPr>
          <w:i/>
          <w:iCs/>
          <w:rtl/>
        </w:rPr>
        <w:t xml:space="preserve">: الفرص والتحديات والآثار الاقتصادية </w:t>
      </w:r>
      <w:proofErr w:type="spellStart"/>
      <w:r w:rsidR="00E378AF" w:rsidRPr="00B160B1">
        <w:rPr>
          <w:i/>
          <w:iCs/>
          <w:rtl/>
        </w:rPr>
        <w:t>والسياساتية</w:t>
      </w:r>
      <w:proofErr w:type="spellEnd"/>
      <w:r w:rsidR="00E378AF" w:rsidRPr="00B160B1">
        <w:rPr>
          <w:i/>
          <w:iCs/>
          <w:rtl/>
        </w:rPr>
        <w:t xml:space="preserve"> فيما</w:t>
      </w:r>
      <w:r w:rsidR="00AB3836">
        <w:rPr>
          <w:rFonts w:hint="cs"/>
          <w:i/>
          <w:iCs/>
          <w:rtl/>
        </w:rPr>
        <w:t> </w:t>
      </w:r>
      <w:r w:rsidR="00E378AF" w:rsidRPr="00B160B1">
        <w:rPr>
          <w:i/>
          <w:iCs/>
          <w:rtl/>
        </w:rPr>
        <w:t>يخص البلدان النامية</w:t>
      </w:r>
      <w:r w:rsidR="00E378AF" w:rsidRPr="00B160B1">
        <w:rPr>
          <w:rtl/>
        </w:rPr>
        <w:t>".</w:t>
      </w:r>
    </w:p>
    <w:p w14:paraId="3C84149E" w14:textId="7373631F" w:rsidR="00E378AF" w:rsidRPr="00B160B1" w:rsidRDefault="00296FCB" w:rsidP="00AC43B5">
      <w:pPr>
        <w:keepNext/>
        <w:rPr>
          <w:rtl/>
        </w:rPr>
      </w:pPr>
      <w:r>
        <w:rPr>
          <w:b/>
          <w:bCs/>
        </w:rPr>
        <w:lastRenderedPageBreak/>
        <w:t>2.7</w:t>
      </w:r>
      <w:r w:rsidR="00E378AF" w:rsidRPr="00B160B1">
        <w:rPr>
          <w:rtl/>
        </w:rPr>
        <w:tab/>
        <w:t xml:space="preserve">تواصِل </w:t>
      </w:r>
      <w:r w:rsidR="00E378AF" w:rsidRPr="00B160B1">
        <w:rPr>
          <w:b/>
          <w:bCs/>
          <w:rtl/>
        </w:rPr>
        <w:t>لجنة الدراسات 2 لقطاع تقييس الاتصالات</w:t>
      </w:r>
      <w:r w:rsidR="00E378AF" w:rsidRPr="00B160B1">
        <w:rPr>
          <w:rtl/>
        </w:rPr>
        <w:t xml:space="preserve"> إحرازَ تقدُّم في بندين من بنود العمل المتعلقة بالخدمات المتاحة عبر الإنترنت </w:t>
      </w:r>
      <w:r w:rsidR="00E378AF" w:rsidRPr="00B160B1">
        <w:rPr>
          <w:i/>
          <w:iCs/>
        </w:rPr>
        <w:t>(OTT)</w:t>
      </w:r>
      <w:r w:rsidR="00E378AF" w:rsidRPr="00B160B1">
        <w:rPr>
          <w:rtl/>
        </w:rPr>
        <w:t xml:space="preserve"> (</w:t>
      </w:r>
      <w:proofErr w:type="spellStart"/>
      <w:r w:rsidR="00E378AF" w:rsidRPr="00B160B1">
        <w:rPr>
          <w:rtl/>
        </w:rPr>
        <w:t>TR.OTTnum</w:t>
      </w:r>
      <w:proofErr w:type="spellEnd"/>
      <w:r w:rsidR="00E378AF" w:rsidRPr="00B160B1">
        <w:rPr>
          <w:rtl/>
        </w:rPr>
        <w:t xml:space="preserve"> "</w:t>
      </w:r>
      <w:r w:rsidR="00E378AF" w:rsidRPr="00B160B1">
        <w:rPr>
          <w:i/>
          <w:iCs/>
          <w:rtl/>
        </w:rPr>
        <w:t>الاستخدام الحالي لأرقام التوصية E.164 كمعرفات للخدمات المتاحة عبر الإنترنت</w:t>
      </w:r>
      <w:r w:rsidR="00E378AF" w:rsidRPr="00B160B1">
        <w:rPr>
          <w:rtl/>
        </w:rPr>
        <w:t>"، ومشروع التوصية ITU-T E.ACP "</w:t>
      </w:r>
      <w:r w:rsidR="00E378AF" w:rsidRPr="00B160B1">
        <w:rPr>
          <w:i/>
          <w:iCs/>
          <w:rtl/>
        </w:rPr>
        <w:t>إجراءات النداء البديلة</w:t>
      </w:r>
      <w:r w:rsidR="00E378AF" w:rsidRPr="00B160B1">
        <w:rPr>
          <w:rtl/>
        </w:rPr>
        <w:t xml:space="preserve">") ووافقت </w:t>
      </w:r>
      <w:r w:rsidR="00E378AF" w:rsidRPr="00B160B1">
        <w:rPr>
          <w:b/>
          <w:bCs/>
          <w:rtl/>
        </w:rPr>
        <w:t>لجنة الدراسات 3 لقطاع تقييس الاتصالات</w:t>
      </w:r>
      <w:r w:rsidR="00E378AF" w:rsidRPr="00B160B1">
        <w:rPr>
          <w:rtl/>
        </w:rPr>
        <w:t xml:space="preserve"> على توصية إقليمية واحدة لإفريقيا بشأن تجاوز الاتصالات الصوتية بواسطة الخدمات المتاحة عبر الإنترنت، وتوصية واحدة للدول العربية بشأن "</w:t>
      </w:r>
      <w:r w:rsidR="00E378AF" w:rsidRPr="00B160B1">
        <w:rPr>
          <w:i/>
          <w:iCs/>
          <w:spacing w:val="-2"/>
          <w:rtl/>
        </w:rPr>
        <w:t xml:space="preserve">مبادئ التعامل مع الخدمات المتاحة عبر الإنترنت </w:t>
      </w:r>
      <w:r w:rsidR="00E378AF" w:rsidRPr="00B160B1">
        <w:rPr>
          <w:i/>
          <w:iCs/>
          <w:spacing w:val="-2"/>
        </w:rPr>
        <w:t>(OTT)</w:t>
      </w:r>
      <w:r w:rsidR="00E378AF" w:rsidRPr="00B160B1">
        <w:rPr>
          <w:spacing w:val="-2"/>
          <w:rtl/>
        </w:rPr>
        <w:t xml:space="preserve">". </w:t>
      </w:r>
      <w:r w:rsidR="00E378AF" w:rsidRPr="00B160B1">
        <w:rPr>
          <w:rtl/>
        </w:rPr>
        <w:t xml:space="preserve">وتعمل لجنة الدراسات </w:t>
      </w:r>
      <w:r w:rsidR="00E378AF" w:rsidRPr="00B160B1">
        <w:t>3</w:t>
      </w:r>
      <w:r w:rsidR="00E378AF" w:rsidRPr="00B160B1">
        <w:rPr>
          <w:rtl/>
        </w:rPr>
        <w:t xml:space="preserve"> لقطاع تقييس الاتصالات أيضاً على عدة بنود عمل متعلقة بالخدمات المتاحة عبر الإنترنت، بما في ذلك التقرير التقني لدراسة الجوانب الاقتصادية </w:t>
      </w:r>
      <w:proofErr w:type="spellStart"/>
      <w:r w:rsidR="00E378AF" w:rsidRPr="00B160B1">
        <w:rPr>
          <w:rtl/>
        </w:rPr>
        <w:t>والسياساتية</w:t>
      </w:r>
      <w:proofErr w:type="spellEnd"/>
      <w:r w:rsidR="00E378AF" w:rsidRPr="00B160B1">
        <w:rPr>
          <w:rtl/>
        </w:rPr>
        <w:t xml:space="preserve"> للخدمات المتاحة عبر الإنترنت. وعُقدت ورشة عمل الاتحاد بشأن "</w:t>
      </w:r>
      <w:hyperlink r:id="rId62" w:history="1">
        <w:r w:rsidR="00E378AF" w:rsidRPr="00B160B1">
          <w:rPr>
            <w:rStyle w:val="Hyperlink"/>
            <w:rtl/>
          </w:rPr>
          <w:t>الحوافز الاقتصادية والضريبية لتسريع وتيرة التحول الرقمي للبيانات والتطبيقات في البنية التحتية للاتصالات</w:t>
        </w:r>
      </w:hyperlink>
      <w:r w:rsidR="00E378AF" w:rsidRPr="00B160B1">
        <w:rPr>
          <w:rtl/>
        </w:rPr>
        <w:t>" يومَي 3 و4 نوفمبر 2022 في جنيف.</w:t>
      </w:r>
    </w:p>
    <w:p w14:paraId="1416C106" w14:textId="4C8182C6" w:rsidR="00E378AF" w:rsidRPr="00B160B1" w:rsidRDefault="00E378AF" w:rsidP="00B96BE2">
      <w:pPr>
        <w:spacing w:before="600"/>
        <w:jc w:val="center"/>
        <w:rPr>
          <w:rtl/>
        </w:rPr>
      </w:pPr>
      <w:r w:rsidRPr="00B160B1">
        <w:rPr>
          <w:rtl/>
        </w:rPr>
        <w:t>ــــــــــــــــــــــــــــــــــــــــــــــــــــــــــــــــــــــــــــــــــــــــــــــ</w:t>
      </w:r>
    </w:p>
    <w:sectPr w:rsidR="00E378AF" w:rsidRPr="00B160B1" w:rsidSect="00E378AF">
      <w:footerReference w:type="default" r:id="rId63"/>
      <w:headerReference w:type="first" r:id="rId64"/>
      <w:footerReference w:type="first" r:id="rId6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053D" w14:textId="77777777" w:rsidR="00E378AF" w:rsidRDefault="00E378AF" w:rsidP="006C3242">
      <w:pPr>
        <w:spacing w:before="0" w:line="240" w:lineRule="auto"/>
      </w:pPr>
      <w:r>
        <w:separator/>
      </w:r>
    </w:p>
  </w:endnote>
  <w:endnote w:type="continuationSeparator" w:id="0">
    <w:p w14:paraId="33189904" w14:textId="77777777" w:rsidR="00E378AF" w:rsidRDefault="00E378A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03D3599B" w14:textId="77777777" w:rsidTr="00357086">
      <w:trPr>
        <w:jc w:val="center"/>
      </w:trPr>
      <w:tc>
        <w:tcPr>
          <w:tcW w:w="868" w:type="pct"/>
          <w:vAlign w:val="center"/>
        </w:tcPr>
        <w:p w14:paraId="5D298D38" w14:textId="171B60B7"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1E1B7490" w14:textId="328FC902"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8F2DF2">
            <w:rPr>
              <w:rFonts w:ascii="Calibri" w:hAnsi="Calibri" w:cs="Arial"/>
              <w:bCs/>
              <w:color w:val="7F7F7F"/>
              <w:sz w:val="18"/>
            </w:rPr>
            <w:t>33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E537C46"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E21506B" w14:textId="7BCC70C8" w:rsidR="00387876" w:rsidRPr="00AC43B5" w:rsidRDefault="00387876" w:rsidP="00E378AF">
    <w:pPr>
      <w:pStyle w:val="Footer"/>
      <w:tabs>
        <w:tab w:val="clear" w:pos="4153"/>
        <w:tab w:val="clear" w:pos="8306"/>
        <w:tab w:val="center" w:pos="5103"/>
        <w:tab w:val="right" w:pos="9639"/>
      </w:tabs>
      <w:spacing w:before="12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DCAA932" w14:textId="77777777" w:rsidTr="00F50E3F">
      <w:trPr>
        <w:jc w:val="center"/>
      </w:trPr>
      <w:tc>
        <w:tcPr>
          <w:tcW w:w="868" w:type="pct"/>
          <w:vAlign w:val="center"/>
        </w:tcPr>
        <w:p w14:paraId="2753D11B" w14:textId="77777777" w:rsidR="007B0AA0" w:rsidRPr="007B0AA0" w:rsidRDefault="00AC43B5"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5589B5E0" w14:textId="291EF66B"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9430C4">
            <w:rPr>
              <w:rFonts w:ascii="Calibri" w:hAnsi="Calibri" w:cs="Arial"/>
              <w:bCs/>
              <w:color w:val="7F7F7F"/>
              <w:sz w:val="18"/>
            </w:rPr>
            <w:t>33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F132DA4"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2C9BAFB" w14:textId="18F4DF26" w:rsidR="00387876" w:rsidRPr="00AC43B5" w:rsidRDefault="00387876" w:rsidP="00E378AF">
    <w:pPr>
      <w:pStyle w:val="Footer"/>
      <w:tabs>
        <w:tab w:val="clear" w:pos="4153"/>
        <w:tab w:val="clear" w:pos="8306"/>
        <w:tab w:val="center" w:pos="5103"/>
        <w:tab w:val="right" w:pos="9639"/>
      </w:tabs>
      <w:spacing w:before="12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A695" w14:textId="77777777" w:rsidR="00E378AF" w:rsidRDefault="00E378AF" w:rsidP="006C3242">
      <w:pPr>
        <w:spacing w:before="0" w:line="240" w:lineRule="auto"/>
      </w:pPr>
      <w:r>
        <w:separator/>
      </w:r>
    </w:p>
  </w:footnote>
  <w:footnote w:type="continuationSeparator" w:id="0">
    <w:p w14:paraId="158C89BC" w14:textId="77777777" w:rsidR="00E378AF" w:rsidRDefault="00E378A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A9CA"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A8D3F26" wp14:editId="37BC4CA1">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9FB94"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4DD47C54" wp14:editId="6BB27310">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AF"/>
    <w:rsid w:val="00004225"/>
    <w:rsid w:val="0006468A"/>
    <w:rsid w:val="00090574"/>
    <w:rsid w:val="0009186A"/>
    <w:rsid w:val="000B3B23"/>
    <w:rsid w:val="000C1C0E"/>
    <w:rsid w:val="000C548A"/>
    <w:rsid w:val="0014590D"/>
    <w:rsid w:val="00153984"/>
    <w:rsid w:val="00195B5F"/>
    <w:rsid w:val="001C0169"/>
    <w:rsid w:val="001D1D50"/>
    <w:rsid w:val="001D6745"/>
    <w:rsid w:val="001E446E"/>
    <w:rsid w:val="001F7416"/>
    <w:rsid w:val="002154EE"/>
    <w:rsid w:val="00221E1C"/>
    <w:rsid w:val="00224F96"/>
    <w:rsid w:val="002276D2"/>
    <w:rsid w:val="0023283D"/>
    <w:rsid w:val="00255F7A"/>
    <w:rsid w:val="0026373E"/>
    <w:rsid w:val="00271C43"/>
    <w:rsid w:val="00290728"/>
    <w:rsid w:val="00296FCB"/>
    <w:rsid w:val="0029761E"/>
    <w:rsid w:val="002978F4"/>
    <w:rsid w:val="002B028D"/>
    <w:rsid w:val="002E6541"/>
    <w:rsid w:val="00334924"/>
    <w:rsid w:val="003409BC"/>
    <w:rsid w:val="00357185"/>
    <w:rsid w:val="00383829"/>
    <w:rsid w:val="00384E8C"/>
    <w:rsid w:val="00387876"/>
    <w:rsid w:val="003B44B8"/>
    <w:rsid w:val="003D5978"/>
    <w:rsid w:val="003F4B29"/>
    <w:rsid w:val="0042686F"/>
    <w:rsid w:val="004317D8"/>
    <w:rsid w:val="00434183"/>
    <w:rsid w:val="00443869"/>
    <w:rsid w:val="00447F32"/>
    <w:rsid w:val="004941A0"/>
    <w:rsid w:val="00497219"/>
    <w:rsid w:val="004B7334"/>
    <w:rsid w:val="004E11DC"/>
    <w:rsid w:val="004F1597"/>
    <w:rsid w:val="004F64E0"/>
    <w:rsid w:val="00525DDD"/>
    <w:rsid w:val="005409AC"/>
    <w:rsid w:val="0055516A"/>
    <w:rsid w:val="00562A38"/>
    <w:rsid w:val="00573C54"/>
    <w:rsid w:val="00576840"/>
    <w:rsid w:val="0058491B"/>
    <w:rsid w:val="00592EA5"/>
    <w:rsid w:val="005A3170"/>
    <w:rsid w:val="00653F59"/>
    <w:rsid w:val="00662E12"/>
    <w:rsid w:val="00677396"/>
    <w:rsid w:val="0069200F"/>
    <w:rsid w:val="006A65CB"/>
    <w:rsid w:val="006B6182"/>
    <w:rsid w:val="006C3242"/>
    <w:rsid w:val="006C7CC0"/>
    <w:rsid w:val="006F63F7"/>
    <w:rsid w:val="007025C7"/>
    <w:rsid w:val="00706D7A"/>
    <w:rsid w:val="00722F0D"/>
    <w:rsid w:val="0073780A"/>
    <w:rsid w:val="0074420E"/>
    <w:rsid w:val="00764671"/>
    <w:rsid w:val="00783E26"/>
    <w:rsid w:val="007B0AA0"/>
    <w:rsid w:val="007C3BC7"/>
    <w:rsid w:val="007C3BCD"/>
    <w:rsid w:val="007C3EA1"/>
    <w:rsid w:val="007D4ACF"/>
    <w:rsid w:val="007F0787"/>
    <w:rsid w:val="00810B7B"/>
    <w:rsid w:val="00822F3C"/>
    <w:rsid w:val="0082358A"/>
    <w:rsid w:val="008235CD"/>
    <w:rsid w:val="008247DE"/>
    <w:rsid w:val="008339C0"/>
    <w:rsid w:val="00840B10"/>
    <w:rsid w:val="008513CB"/>
    <w:rsid w:val="00872FBA"/>
    <w:rsid w:val="00885202"/>
    <w:rsid w:val="008A7F84"/>
    <w:rsid w:val="008D7DDA"/>
    <w:rsid w:val="008F2DF2"/>
    <w:rsid w:val="00913F03"/>
    <w:rsid w:val="0091702E"/>
    <w:rsid w:val="00923B0C"/>
    <w:rsid w:val="0094021C"/>
    <w:rsid w:val="009430C4"/>
    <w:rsid w:val="00952F86"/>
    <w:rsid w:val="00974B51"/>
    <w:rsid w:val="00982B28"/>
    <w:rsid w:val="009D313F"/>
    <w:rsid w:val="00A47A5A"/>
    <w:rsid w:val="00A6683B"/>
    <w:rsid w:val="00A97F94"/>
    <w:rsid w:val="00AA7EA2"/>
    <w:rsid w:val="00AB3836"/>
    <w:rsid w:val="00AB5DD5"/>
    <w:rsid w:val="00AC43B5"/>
    <w:rsid w:val="00AE4FDB"/>
    <w:rsid w:val="00B03099"/>
    <w:rsid w:val="00B05BC8"/>
    <w:rsid w:val="00B160B1"/>
    <w:rsid w:val="00B6080B"/>
    <w:rsid w:val="00B627F2"/>
    <w:rsid w:val="00B64B47"/>
    <w:rsid w:val="00B71BB8"/>
    <w:rsid w:val="00B91B14"/>
    <w:rsid w:val="00B95654"/>
    <w:rsid w:val="00B95781"/>
    <w:rsid w:val="00B96BE2"/>
    <w:rsid w:val="00C002DE"/>
    <w:rsid w:val="00C04DAF"/>
    <w:rsid w:val="00C2512F"/>
    <w:rsid w:val="00C53BF8"/>
    <w:rsid w:val="00C66157"/>
    <w:rsid w:val="00C674FE"/>
    <w:rsid w:val="00C67501"/>
    <w:rsid w:val="00C75633"/>
    <w:rsid w:val="00CE2EE1"/>
    <w:rsid w:val="00CE3349"/>
    <w:rsid w:val="00CE36E5"/>
    <w:rsid w:val="00CF27F5"/>
    <w:rsid w:val="00CF3FFD"/>
    <w:rsid w:val="00CF7AE2"/>
    <w:rsid w:val="00D10CCF"/>
    <w:rsid w:val="00D13941"/>
    <w:rsid w:val="00D63735"/>
    <w:rsid w:val="00D77510"/>
    <w:rsid w:val="00D77D0F"/>
    <w:rsid w:val="00D81A2C"/>
    <w:rsid w:val="00DA1CF0"/>
    <w:rsid w:val="00DC1E02"/>
    <w:rsid w:val="00DC24B4"/>
    <w:rsid w:val="00DC5FB0"/>
    <w:rsid w:val="00DF16DC"/>
    <w:rsid w:val="00E378AF"/>
    <w:rsid w:val="00E45211"/>
    <w:rsid w:val="00E473C5"/>
    <w:rsid w:val="00E61BE8"/>
    <w:rsid w:val="00E7538C"/>
    <w:rsid w:val="00E92863"/>
    <w:rsid w:val="00E95327"/>
    <w:rsid w:val="00EB796D"/>
    <w:rsid w:val="00EC0567"/>
    <w:rsid w:val="00F048F0"/>
    <w:rsid w:val="00F058DC"/>
    <w:rsid w:val="00F14695"/>
    <w:rsid w:val="00F24FC4"/>
    <w:rsid w:val="00F2676C"/>
    <w:rsid w:val="00F363FE"/>
    <w:rsid w:val="00F50E3F"/>
    <w:rsid w:val="00F77A33"/>
    <w:rsid w:val="00F84366"/>
    <w:rsid w:val="00F85089"/>
    <w:rsid w:val="00F974C5"/>
    <w:rsid w:val="00FA6F46"/>
    <w:rsid w:val="00FC4592"/>
    <w:rsid w:val="00FD4770"/>
    <w:rsid w:val="00FD527F"/>
    <w:rsid w:val="00FE3676"/>
    <w:rsid w:val="00FE5872"/>
    <w:rsid w:val="00FE7FCA"/>
    <w:rsid w:val="00FF09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115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FollowedHyperlink">
    <w:name w:val="FollowedHyperlink"/>
    <w:basedOn w:val="DefaultParagraphFont"/>
    <w:uiPriority w:val="99"/>
    <w:semiHidden/>
    <w:unhideWhenUsed/>
    <w:rsid w:val="00F14695"/>
    <w:rPr>
      <w:color w:val="954F72" w:themeColor="followedHyperlink"/>
      <w:u w:val="single"/>
    </w:rPr>
  </w:style>
  <w:style w:type="character" w:styleId="UnresolvedMention">
    <w:name w:val="Unresolved Mention"/>
    <w:basedOn w:val="DefaultParagraphFont"/>
    <w:uiPriority w:val="99"/>
    <w:semiHidden/>
    <w:unhideWhenUsed/>
    <w:rsid w:val="00497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RES-T.98-2022" TargetMode="External"/><Relationship Id="rId21" Type="http://schemas.openxmlformats.org/officeDocument/2006/relationships/hyperlink" Target="https://www.itu.int/pub/publications.aspx?lang=en&amp;parent=T-RES-T.58-2022" TargetMode="External"/><Relationship Id="rId34" Type="http://schemas.openxmlformats.org/officeDocument/2006/relationships/hyperlink" Target="https://www.itu.int/md/S18-CL-C-0033/en" TargetMode="External"/><Relationship Id="rId42" Type="http://schemas.openxmlformats.org/officeDocument/2006/relationships/hyperlink" Target="https://www.itu.int/en/ITU-T/focusgroups/mv/Pages/default.aspx" TargetMode="External"/><Relationship Id="rId47" Type="http://schemas.openxmlformats.org/officeDocument/2006/relationships/hyperlink" Target="https://www.itu.int/en/ITU-T/focusgroups/cd/Pages/default.aspx" TargetMode="External"/><Relationship Id="rId50" Type="http://schemas.openxmlformats.org/officeDocument/2006/relationships/hyperlink" Target="https://www.itu.int/md/S24-CL-C-0035/en" TargetMode="External"/><Relationship Id="rId55" Type="http://schemas.openxmlformats.org/officeDocument/2006/relationships/hyperlink" Target="https://www.itu.int/pub/D-STG-SG01.01.1-2017"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pub/publications.aspx?lang=en&amp;parent=T-RES-T.47-2022" TargetMode="External"/><Relationship Id="rId29" Type="http://schemas.openxmlformats.org/officeDocument/2006/relationships/hyperlink" Target="https://www.itu.int/en/ITU-D/Conferences/WTDC/WTDC17/Documents/WTDC17_FinalReport_en.pdf" TargetMode="External"/><Relationship Id="rId11" Type="http://schemas.openxmlformats.org/officeDocument/2006/relationships/hyperlink" Target="https://www.itu.int/en/council/Documents/basic-texts-2023/RES-180-A.pdf" TargetMode="External"/><Relationship Id="rId24" Type="http://schemas.openxmlformats.org/officeDocument/2006/relationships/hyperlink" Target="https://www.itu.int/pub/publications.aspx?lang=en&amp;parent=T-RES-T.69-2022" TargetMode="External"/><Relationship Id="rId32" Type="http://schemas.openxmlformats.org/officeDocument/2006/relationships/hyperlink" Target="http://www.itu.int/md/S16-CL-C-0033/en" TargetMode="External"/><Relationship Id="rId37" Type="http://schemas.openxmlformats.org/officeDocument/2006/relationships/hyperlink" Target="https://www.itu.int/md/S21-CL-C-0033/en" TargetMode="External"/><Relationship Id="rId40" Type="http://schemas.openxmlformats.org/officeDocument/2006/relationships/hyperlink" Target="https://www.itu.int/ITU-T/workprog/wp_search.aspx?isn_sp=8265&amp;isn_status=-1,8,1,3,7,2&amp;adf=2023-03-01&amp;adt=2024-03-25&amp;details=0&amp;field=acdefghijo" TargetMode="External"/><Relationship Id="rId45" Type="http://schemas.openxmlformats.org/officeDocument/2006/relationships/hyperlink" Target="https://www.itu.int/en/ITU-T/focusgroups/an/Pages/default.aspx" TargetMode="External"/><Relationship Id="rId53" Type="http://schemas.openxmlformats.org/officeDocument/2006/relationships/hyperlink" Target="https://www.itu.int/ar/ITU-T/ipv6/Pages/default.aspx" TargetMode="External"/><Relationship Id="rId58" Type="http://schemas.openxmlformats.org/officeDocument/2006/relationships/hyperlink" Target="https://www.itu.int/en/council/cwg-internet/Pages/default.aspx"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itu.int/ITU-T/inr/enum/" TargetMode="External"/><Relationship Id="rId19" Type="http://schemas.openxmlformats.org/officeDocument/2006/relationships/hyperlink" Target="https://www.itu.int/pub/publications.aspx?lang=en&amp;parent=T-RES-T.50-2022" TargetMode="External"/><Relationship Id="rId14" Type="http://schemas.openxmlformats.org/officeDocument/2006/relationships/hyperlink" Target="http://www.itu.int/md/S15-CL-C-0113/en" TargetMode="External"/><Relationship Id="rId22" Type="http://schemas.openxmlformats.org/officeDocument/2006/relationships/hyperlink" Target="https://www.itu.int/pub/publications.aspx?lang=en&amp;parent=T-RES-T.60-2022" TargetMode="External"/><Relationship Id="rId27" Type="http://schemas.openxmlformats.org/officeDocument/2006/relationships/hyperlink" Target="https://www.itu.int/en/ITU-D/Conferences/WTDC/WTDC17/Documents/WTDC17_FinalReport_en.pdf" TargetMode="External"/><Relationship Id="rId30" Type="http://schemas.openxmlformats.org/officeDocument/2006/relationships/hyperlink" Target="https://www.itu.int/en/ITU-D/Conferences/WTDC/WTDC17/Documents/WTDC17_FinalReport_en.pdf" TargetMode="External"/><Relationship Id="rId35" Type="http://schemas.openxmlformats.org/officeDocument/2006/relationships/hyperlink" Target="https://www.itu.int/md/S19-CL-C-0033/en" TargetMode="External"/><Relationship Id="rId43" Type="http://schemas.openxmlformats.org/officeDocument/2006/relationships/hyperlink" Target="https://www.itu.int/en/ITU-T/focusgroups/tbfxg/Pages/default.aspx" TargetMode="External"/><Relationship Id="rId48" Type="http://schemas.openxmlformats.org/officeDocument/2006/relationships/hyperlink" Target="https://www.itu.int/net/ITU-T/res69/Default.aspx" TargetMode="External"/><Relationship Id="rId56" Type="http://schemas.openxmlformats.org/officeDocument/2006/relationships/hyperlink" Target="https://www.itu.int/net4/ITU-D/CDS/sg/rgqlist.asp?lg=4&amp;sp=2014&amp;rgq=D14-SG01-RGQ01.1&amp;stg=1" TargetMode="External"/><Relationship Id="rId64" Type="http://schemas.openxmlformats.org/officeDocument/2006/relationships/header" Target="header1.xml"/><Relationship Id="rId8" Type="http://schemas.openxmlformats.org/officeDocument/2006/relationships/hyperlink" Target="https://www.itu.int/en/council/Documents/basic-texts-2023/RES-101-A.pdf" TargetMode="External"/><Relationship Id="rId51" Type="http://schemas.openxmlformats.org/officeDocument/2006/relationships/hyperlink" Target="https://academy.itu.int/" TargetMode="External"/><Relationship Id="rId3" Type="http://schemas.openxmlformats.org/officeDocument/2006/relationships/styles" Target="styles.xml"/><Relationship Id="rId12" Type="http://schemas.openxmlformats.org/officeDocument/2006/relationships/hyperlink" Target="https://www.itu.int/en/council/Documents/basic-texts-2023/RES-206-A.pdf" TargetMode="External"/><Relationship Id="rId17" Type="http://schemas.openxmlformats.org/officeDocument/2006/relationships/hyperlink" Target="https://www.itu.int/pub/publications.aspx?lang=en&amp;parent=T-RES-T.48-2022" TargetMode="External"/><Relationship Id="rId25" Type="http://schemas.openxmlformats.org/officeDocument/2006/relationships/hyperlink" Target="https://www.itu.int/pub/publications.aspx?lang=en&amp;parent=T-RES-T.75-2022" TargetMode="External"/><Relationship Id="rId33" Type="http://schemas.openxmlformats.org/officeDocument/2006/relationships/hyperlink" Target="https://www.itu.int/md/S17-CL-C-0033/en" TargetMode="External"/><Relationship Id="rId38" Type="http://schemas.openxmlformats.org/officeDocument/2006/relationships/hyperlink" Target="https://www.itu.int/md/S22-CL-C-0033/en" TargetMode="External"/><Relationship Id="rId46" Type="http://schemas.openxmlformats.org/officeDocument/2006/relationships/hyperlink" Target="https://www.itu.int/en/ITU-T/focusgroups/ai4a/Pages/default.aspx" TargetMode="External"/><Relationship Id="rId59" Type="http://schemas.openxmlformats.org/officeDocument/2006/relationships/hyperlink" Target="https://www.itu.int/en/council/cwg-internet/Pages/consultation-feb2024.aspx" TargetMode="External"/><Relationship Id="rId67" Type="http://schemas.openxmlformats.org/officeDocument/2006/relationships/theme" Target="theme/theme1.xml"/><Relationship Id="rId20" Type="http://schemas.openxmlformats.org/officeDocument/2006/relationships/hyperlink" Target="https://www.itu.int/pub/publications.aspx?lang=en&amp;parent=T-RES-T.52-2022" TargetMode="External"/><Relationship Id="rId41" Type="http://schemas.openxmlformats.org/officeDocument/2006/relationships/hyperlink" Target="https://www.itu.int/md/S24-CL-C-0018/en" TargetMode="External"/><Relationship Id="rId54" Type="http://schemas.openxmlformats.org/officeDocument/2006/relationships/hyperlink" Target="https://www.itu.int/ar/ITU-D/Regional-Presence/ArabStates/Pages/Projects/IPv6&amp;IoT/IPV6-IOT.aspx" TargetMode="External"/><Relationship Id="rId62" Type="http://schemas.openxmlformats.org/officeDocument/2006/relationships/hyperlink" Target="https://www.itu.int/en/ITU-T/Workshops-and-Seminars/2022/1103/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S15-CL-C-0112/en" TargetMode="External"/><Relationship Id="rId23" Type="http://schemas.openxmlformats.org/officeDocument/2006/relationships/hyperlink" Target="https://www.itu.int/pub/publications.aspx?lang=en&amp;parent=T-RES-T.64-2022" TargetMode="External"/><Relationship Id="rId28" Type="http://schemas.openxmlformats.org/officeDocument/2006/relationships/hyperlink" Target="https://www.itu.int/en/ITU-D/Conferences/WTDC/WTDC17/Documents/WTDC17_FinalReport_en.pdf" TargetMode="External"/><Relationship Id="rId36" Type="http://schemas.openxmlformats.org/officeDocument/2006/relationships/hyperlink" Target="https://www.itu.int/md/S20-CL-C-0033/en" TargetMode="External"/><Relationship Id="rId49" Type="http://schemas.openxmlformats.org/officeDocument/2006/relationships/hyperlink" Target="https://www.itu.int/net/ITU-T/res69/secured/notifications.aspx" TargetMode="External"/><Relationship Id="rId57" Type="http://schemas.openxmlformats.org/officeDocument/2006/relationships/hyperlink" Target="https://www.itu.int/en/ITU-D/Study-Groups/2018-2021/Pages/Publications.aspx" TargetMode="External"/><Relationship Id="rId10" Type="http://schemas.openxmlformats.org/officeDocument/2006/relationships/hyperlink" Target="https://www.itu.int/en/council/Documents/basic-texts-2023/RES-133-A.pdf" TargetMode="External"/><Relationship Id="rId31" Type="http://schemas.openxmlformats.org/officeDocument/2006/relationships/hyperlink" Target="http://www.itu.int/en/action/internet/Documents/Resolution_45_wtdc14.pdf" TargetMode="External"/><Relationship Id="rId44" Type="http://schemas.openxmlformats.org/officeDocument/2006/relationships/hyperlink" Target="https://www.itu.int/en/ITU-T/focusgroups/ai4ndm/Pages/default.aspx" TargetMode="External"/><Relationship Id="rId52" Type="http://schemas.openxmlformats.org/officeDocument/2006/relationships/hyperlink" Target="https://academy.itu.int/itu-d/projects-activities/centres-excellence/coe-overview" TargetMode="External"/><Relationship Id="rId60" Type="http://schemas.openxmlformats.org/officeDocument/2006/relationships/hyperlink" Target="https://www.itu.int/md/S24-CL-C-0051/en"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n/council/Documents/basic-texts-2023/RES-102-A.pdf" TargetMode="External"/><Relationship Id="rId13" Type="http://schemas.openxmlformats.org/officeDocument/2006/relationships/hyperlink" Target="http://www.itu.int/md/S09-CL-C-0105" TargetMode="External"/><Relationship Id="rId18" Type="http://schemas.openxmlformats.org/officeDocument/2006/relationships/hyperlink" Target="https://www.itu.int/pub/publications.aspx?lang=en&amp;parent=T-RES-T.49-2016" TargetMode="External"/><Relationship Id="rId39" Type="http://schemas.openxmlformats.org/officeDocument/2006/relationships/hyperlink" Target="https://www.itu.int/md/S23-CL-C-003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5</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2024-05-10T07:12:00Z</dcterms:created>
  <dcterms:modified xsi:type="dcterms:W3CDTF">2024-05-17T07:17:00Z</dcterms:modified>
  <cp:category>Conference document</cp:category>
</cp:coreProperties>
</file>