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3A3A3D6F">
        <w:trPr>
          <w:cantSplit/>
          <w:trHeight w:val="23"/>
        </w:trPr>
        <w:tc>
          <w:tcPr>
            <w:tcW w:w="3969" w:type="dxa"/>
            <w:vMerge w:val="restart"/>
            <w:tcMar>
              <w:left w:w="0" w:type="dxa"/>
            </w:tcMar>
          </w:tcPr>
          <w:p w14:paraId="60A806D3" w14:textId="6B2E7D15"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E87A7E">
              <w:rPr>
                <w:b/>
              </w:rPr>
              <w:t>PL 2</w:t>
            </w:r>
          </w:p>
        </w:tc>
        <w:tc>
          <w:tcPr>
            <w:tcW w:w="5245" w:type="dxa"/>
          </w:tcPr>
          <w:p w14:paraId="291AB2A2" w14:textId="04640954"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E87A7E">
              <w:rPr>
                <w:b/>
              </w:rPr>
              <w:t>33</w:t>
            </w:r>
            <w:r>
              <w:rPr>
                <w:b/>
              </w:rPr>
              <w:t>-E</w:t>
            </w:r>
          </w:p>
        </w:tc>
      </w:tr>
      <w:tr w:rsidR="00AD3606" w:rsidRPr="00813E5E" w14:paraId="789B45BA" w14:textId="77777777" w:rsidTr="3A3A3D6F">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5E6E810" w:rsidR="00AD3606" w:rsidRPr="00E85629" w:rsidRDefault="000674EC" w:rsidP="00AD3606">
            <w:pPr>
              <w:tabs>
                <w:tab w:val="left" w:pos="851"/>
              </w:tabs>
              <w:spacing w:before="0"/>
              <w:jc w:val="right"/>
              <w:rPr>
                <w:b/>
              </w:rPr>
            </w:pPr>
            <w:r>
              <w:rPr>
                <w:b/>
              </w:rPr>
              <w:t>18</w:t>
            </w:r>
            <w:r w:rsidR="00D168BE">
              <w:rPr>
                <w:b/>
              </w:rPr>
              <w:t xml:space="preserve"> April</w:t>
            </w:r>
            <w:r w:rsidR="00AD3606">
              <w:rPr>
                <w:b/>
              </w:rPr>
              <w:t xml:space="preserve"> 202</w:t>
            </w:r>
            <w:r w:rsidR="00E23618">
              <w:rPr>
                <w:b/>
              </w:rPr>
              <w:t>4</w:t>
            </w:r>
          </w:p>
        </w:tc>
      </w:tr>
      <w:tr w:rsidR="00AD3606" w:rsidRPr="00813E5E" w14:paraId="58A84C4A" w14:textId="77777777" w:rsidTr="3A3A3D6F">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3A3A3D6F">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3A3A3D6F">
        <w:trPr>
          <w:cantSplit/>
        </w:trPr>
        <w:tc>
          <w:tcPr>
            <w:tcW w:w="9214" w:type="dxa"/>
            <w:gridSpan w:val="2"/>
            <w:tcMar>
              <w:left w:w="0" w:type="dxa"/>
            </w:tcMar>
          </w:tcPr>
          <w:p w14:paraId="4E7CDB90" w14:textId="77777777" w:rsidR="00AD3606" w:rsidRPr="006850BE" w:rsidRDefault="00AD3606" w:rsidP="00D168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3A3A3D6F">
        <w:trPr>
          <w:cantSplit/>
        </w:trPr>
        <w:tc>
          <w:tcPr>
            <w:tcW w:w="9214" w:type="dxa"/>
            <w:gridSpan w:val="2"/>
            <w:tcMar>
              <w:left w:w="0" w:type="dxa"/>
            </w:tcMar>
          </w:tcPr>
          <w:p w14:paraId="47B91AA8" w14:textId="102F2EF3" w:rsidR="00AD3606" w:rsidRPr="006850BE" w:rsidRDefault="00D168BE" w:rsidP="00D168BE">
            <w:pPr>
              <w:pStyle w:val="Subtitle1"/>
              <w:framePr w:hSpace="0" w:wrap="auto" w:xAlign="left" w:yAlign="inline"/>
            </w:pPr>
            <w:bookmarkStart w:id="9" w:name="_Hlk163200227"/>
            <w:bookmarkStart w:id="10" w:name="dtitle1" w:colFirst="0" w:colLast="0"/>
            <w:bookmarkEnd w:id="8"/>
            <w:r w:rsidRPr="00D168BE">
              <w:t>ITU INTERNET ACTIVITIES: RESOLUTIONS 101, 102, 133, 180 AND 206</w:t>
            </w:r>
          </w:p>
        </w:tc>
      </w:tr>
      <w:bookmarkEnd w:id="9"/>
      <w:tr w:rsidR="00AD3606" w:rsidRPr="00813E5E" w14:paraId="1F564D2D" w14:textId="77777777" w:rsidTr="3A3A3D6F">
        <w:trPr>
          <w:cantSplit/>
        </w:trPr>
        <w:tc>
          <w:tcPr>
            <w:tcW w:w="9214" w:type="dxa"/>
            <w:gridSpan w:val="2"/>
            <w:tcBorders>
              <w:top w:val="single" w:sz="4" w:space="0" w:color="auto"/>
              <w:bottom w:val="single" w:sz="4" w:space="0" w:color="auto"/>
            </w:tcBorders>
            <w:tcMar>
              <w:left w:w="0" w:type="dxa"/>
            </w:tcMar>
          </w:tcPr>
          <w:p w14:paraId="7AD73B47" w14:textId="2F0E3B49" w:rsidR="00AD3606" w:rsidRPr="00F16BAB" w:rsidRDefault="00F16BAB" w:rsidP="00F16BAB">
            <w:pPr>
              <w:spacing w:before="160"/>
              <w:rPr>
                <w:b/>
                <w:bCs/>
                <w:sz w:val="26"/>
                <w:szCs w:val="26"/>
              </w:rPr>
            </w:pPr>
            <w:r w:rsidRPr="00F16BAB">
              <w:rPr>
                <w:b/>
                <w:bCs/>
                <w:sz w:val="26"/>
                <w:szCs w:val="26"/>
              </w:rPr>
              <w:t>Purpose</w:t>
            </w:r>
          </w:p>
          <w:p w14:paraId="2E09FE8B" w14:textId="4B8F6B8B" w:rsidR="00AD3606" w:rsidRPr="00813E5E" w:rsidRDefault="00D168BE" w:rsidP="3A3A3D6F">
            <w:pPr>
              <w:jc w:val="both"/>
            </w:pPr>
            <w:r>
              <w:t xml:space="preserve">This report summarizes ITU’s activities related to Plenipotentiary Conference (PP) Resolution 101 (Rev. Bucharest, 2022), </w:t>
            </w:r>
            <w:r w:rsidRPr="3A3A3D6F">
              <w:rPr>
                <w:i/>
                <w:iCs/>
              </w:rPr>
              <w:t>“Internet Protocol-based networks”</w:t>
            </w:r>
            <w:r>
              <w:t xml:space="preserve">; Resolution 102 (Rev. Bucharest, 2022), </w:t>
            </w:r>
            <w:r w:rsidRPr="3A3A3D6F">
              <w:rPr>
                <w:i/>
                <w:iCs/>
              </w:rPr>
              <w:t>“ITU’s role with regard to international public policy issues pertaining to the Internet and the management of Internet resources, including domain names and addresses”</w:t>
            </w:r>
            <w:r>
              <w:t xml:space="preserve">; Resolution 133 (Rev. Bucharest, 2022), </w:t>
            </w:r>
            <w:r w:rsidRPr="3A3A3D6F">
              <w:rPr>
                <w:i/>
                <w:iCs/>
              </w:rPr>
              <w:t>“Roles of administrations of Member States in the management of Internationalized (multilingual) domain names”</w:t>
            </w:r>
            <w:r>
              <w:t>; Resolution 180 (Rev. Bucharest, 202</w:t>
            </w:r>
            <w:r w:rsidR="00160CC9">
              <w:t>2</w:t>
            </w:r>
            <w:r>
              <w:t xml:space="preserve">), </w:t>
            </w:r>
            <w:r w:rsidRPr="3A3A3D6F">
              <w:rPr>
                <w:i/>
                <w:iCs/>
              </w:rPr>
              <w:t>“Promoting deployment of Internet Protocol version 6”</w:t>
            </w:r>
            <w:r>
              <w:t xml:space="preserve"> and Resolution 206 (Dubai, 2018), </w:t>
            </w:r>
            <w:r w:rsidRPr="3A3A3D6F">
              <w:rPr>
                <w:i/>
                <w:iCs/>
              </w:rPr>
              <w:t>“OTTs”</w:t>
            </w:r>
            <w:r>
              <w:t>.</w:t>
            </w:r>
          </w:p>
          <w:p w14:paraId="5076D5C4" w14:textId="77777777" w:rsidR="00AD3606" w:rsidRPr="00F16BAB" w:rsidRDefault="00AD3606" w:rsidP="3A3A3D6F">
            <w:pPr>
              <w:spacing w:before="160"/>
              <w:jc w:val="both"/>
              <w:rPr>
                <w:b/>
                <w:bCs/>
                <w:sz w:val="26"/>
                <w:szCs w:val="26"/>
              </w:rPr>
            </w:pPr>
            <w:r w:rsidRPr="3A3A3D6F">
              <w:rPr>
                <w:b/>
                <w:bCs/>
                <w:sz w:val="26"/>
                <w:szCs w:val="26"/>
              </w:rPr>
              <w:t>Action required</w:t>
            </w:r>
            <w:r w:rsidR="00F16BAB" w:rsidRPr="3A3A3D6F">
              <w:rPr>
                <w:b/>
                <w:bCs/>
                <w:sz w:val="26"/>
                <w:szCs w:val="26"/>
              </w:rPr>
              <w:t xml:space="preserve"> by the Council</w:t>
            </w:r>
          </w:p>
          <w:p w14:paraId="79F38DAD" w14:textId="4AD0BCE3" w:rsidR="00AD3606" w:rsidRPr="00484009" w:rsidRDefault="00D168BE" w:rsidP="3A3A3D6F">
            <w:pPr>
              <w:jc w:val="both"/>
            </w:pPr>
            <w:r>
              <w:t xml:space="preserve">The Council is invited to </w:t>
            </w:r>
            <w:r w:rsidRPr="3A3A3D6F">
              <w:rPr>
                <w:b/>
                <w:bCs/>
              </w:rPr>
              <w:t>note</w:t>
            </w:r>
            <w:r>
              <w:t xml:space="preserve"> the report. The Council is also invited to </w:t>
            </w:r>
            <w:r w:rsidRPr="3A3A3D6F">
              <w:rPr>
                <w:b/>
                <w:bCs/>
              </w:rPr>
              <w:t>endorse</w:t>
            </w:r>
            <w:r>
              <w:t xml:space="preserve"> the transmission of the report, along with the compilation of views of Council Member States and the related summary records with a cover note, to the United Nations Secretary-General.</w:t>
            </w:r>
          </w:p>
          <w:p w14:paraId="0F8F1F03" w14:textId="488DF653" w:rsidR="00F16BAB" w:rsidRDefault="00F16BAB" w:rsidP="3A3A3D6F">
            <w:pPr>
              <w:spacing w:before="160"/>
              <w:jc w:val="both"/>
              <w:rPr>
                <w:b/>
                <w:bCs/>
                <w:sz w:val="26"/>
                <w:szCs w:val="26"/>
              </w:rPr>
            </w:pPr>
            <w:r w:rsidRPr="3A3A3D6F">
              <w:rPr>
                <w:b/>
                <w:bCs/>
                <w:sz w:val="26"/>
                <w:szCs w:val="26"/>
              </w:rPr>
              <w:t>Relevant link</w:t>
            </w:r>
            <w:r w:rsidR="00D168BE" w:rsidRPr="3A3A3D6F">
              <w:rPr>
                <w:b/>
                <w:bCs/>
                <w:sz w:val="26"/>
                <w:szCs w:val="26"/>
              </w:rPr>
              <w:t>(s)</w:t>
            </w:r>
            <w:r w:rsidRPr="3A3A3D6F">
              <w:rPr>
                <w:b/>
                <w:bCs/>
                <w:sz w:val="26"/>
                <w:szCs w:val="26"/>
              </w:rPr>
              <w:t xml:space="preserve"> with the Strategic Plan</w:t>
            </w:r>
          </w:p>
          <w:p w14:paraId="00A55EA1" w14:textId="65CA073A" w:rsidR="00F16BAB" w:rsidRPr="00F16BAB" w:rsidRDefault="00D168BE" w:rsidP="3A3A3D6F">
            <w:pPr>
              <w:jc w:val="both"/>
            </w:pPr>
            <w:r>
              <w:t>Development of international standards; convening platform; capacity development; provision of technical assistance.</w:t>
            </w:r>
          </w:p>
          <w:p w14:paraId="632C043A" w14:textId="0E650EC5" w:rsidR="00F16BAB" w:rsidRDefault="00F16BAB" w:rsidP="00F16BAB">
            <w:pPr>
              <w:spacing w:before="160"/>
              <w:rPr>
                <w:b/>
                <w:bCs/>
                <w:sz w:val="26"/>
                <w:szCs w:val="26"/>
              </w:rPr>
            </w:pPr>
            <w:r w:rsidRPr="37A207A2">
              <w:rPr>
                <w:b/>
                <w:bCs/>
                <w:sz w:val="26"/>
                <w:szCs w:val="26"/>
              </w:rPr>
              <w:t>Financial implications</w:t>
            </w:r>
          </w:p>
          <w:p w14:paraId="1A9A79B6" w14:textId="4DC8E3AF" w:rsidR="00D168BE" w:rsidRPr="00D168BE" w:rsidRDefault="00795513" w:rsidP="00F16BAB">
            <w:pPr>
              <w:spacing w:before="160"/>
              <w:rPr>
                <w:szCs w:val="24"/>
              </w:rPr>
            </w:pPr>
            <w:r w:rsidRPr="00795513">
              <w:rPr>
                <w:szCs w:val="24"/>
              </w:rPr>
              <w:t>Within the allocated budget 2024-2025.</w:t>
            </w:r>
          </w:p>
          <w:p w14:paraId="2AAB18B0" w14:textId="77777777" w:rsidR="00AD3606" w:rsidRPr="00813E5E" w:rsidRDefault="00AD3606" w:rsidP="00FE0E43">
            <w:pPr>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04E8ED5" w:rsidR="00AD3606" w:rsidRPr="000674EC" w:rsidRDefault="00D168BE" w:rsidP="00F16BAB">
            <w:pPr>
              <w:spacing w:after="160"/>
              <w:rPr>
                <w:sz w:val="22"/>
                <w:szCs w:val="22"/>
              </w:rPr>
            </w:pPr>
            <w:r w:rsidRPr="000674EC">
              <w:rPr>
                <w:i/>
                <w:sz w:val="22"/>
                <w:szCs w:val="22"/>
              </w:rPr>
              <w:t xml:space="preserve">Plenipotentiary Resolutions </w:t>
            </w:r>
            <w:hyperlink r:id="rId11" w:history="1">
              <w:r w:rsidRPr="000674EC">
                <w:rPr>
                  <w:rStyle w:val="Hyperlink"/>
                  <w:sz w:val="22"/>
                  <w:szCs w:val="22"/>
                </w:rPr>
                <w:t>101</w:t>
              </w:r>
            </w:hyperlink>
            <w:r w:rsidRPr="000674EC">
              <w:rPr>
                <w:i/>
                <w:sz w:val="22"/>
                <w:szCs w:val="22"/>
              </w:rPr>
              <w:t xml:space="preserve">, </w:t>
            </w:r>
            <w:hyperlink r:id="rId12" w:history="1">
              <w:r w:rsidRPr="000674EC">
                <w:rPr>
                  <w:rStyle w:val="Hyperlink"/>
                  <w:sz w:val="22"/>
                  <w:szCs w:val="22"/>
                </w:rPr>
                <w:t>102</w:t>
              </w:r>
            </w:hyperlink>
            <w:r w:rsidRPr="000674EC">
              <w:rPr>
                <w:i/>
                <w:sz w:val="22"/>
                <w:szCs w:val="22"/>
              </w:rPr>
              <w:t xml:space="preserve">, </w:t>
            </w:r>
            <w:hyperlink r:id="rId13" w:history="1">
              <w:r w:rsidRPr="000674EC">
                <w:rPr>
                  <w:rStyle w:val="Hyperlink"/>
                  <w:sz w:val="22"/>
                  <w:szCs w:val="22"/>
                </w:rPr>
                <w:t>133</w:t>
              </w:r>
            </w:hyperlink>
            <w:r w:rsidRPr="000674EC">
              <w:rPr>
                <w:i/>
                <w:sz w:val="22"/>
                <w:szCs w:val="22"/>
              </w:rPr>
              <w:t xml:space="preserve">, </w:t>
            </w:r>
            <w:hyperlink r:id="rId14" w:history="1">
              <w:r w:rsidRPr="000674EC">
                <w:rPr>
                  <w:rStyle w:val="Hyperlink"/>
                  <w:sz w:val="22"/>
                  <w:szCs w:val="22"/>
                </w:rPr>
                <w:t>180</w:t>
              </w:r>
            </w:hyperlink>
            <w:r w:rsidRPr="000674EC">
              <w:rPr>
                <w:i/>
                <w:sz w:val="22"/>
                <w:szCs w:val="22"/>
              </w:rPr>
              <w:t xml:space="preserve"> (Rev. </w:t>
            </w:r>
            <w:r w:rsidRPr="000674EC">
              <w:rPr>
                <w:sz w:val="22"/>
                <w:szCs w:val="22"/>
              </w:rPr>
              <w:t>Bucharest</w:t>
            </w:r>
            <w:r w:rsidRPr="000674EC">
              <w:rPr>
                <w:i/>
                <w:sz w:val="22"/>
                <w:szCs w:val="22"/>
              </w:rPr>
              <w:t xml:space="preserve">, 2022), Resolution </w:t>
            </w:r>
            <w:hyperlink r:id="rId15" w:history="1">
              <w:r w:rsidRPr="000674EC">
                <w:rPr>
                  <w:rStyle w:val="Hyperlink"/>
                  <w:i/>
                  <w:sz w:val="22"/>
                  <w:szCs w:val="22"/>
                </w:rPr>
                <w:t>206</w:t>
              </w:r>
            </w:hyperlink>
            <w:r w:rsidRPr="000674EC">
              <w:rPr>
                <w:i/>
                <w:sz w:val="22"/>
                <w:szCs w:val="22"/>
              </w:rPr>
              <w:t xml:space="preserve"> (Dubai, 2018); Council Resolutions </w:t>
            </w:r>
            <w:hyperlink r:id="rId16" w:history="1">
              <w:r w:rsidRPr="000674EC">
                <w:rPr>
                  <w:rStyle w:val="Hyperlink"/>
                  <w:i/>
                  <w:sz w:val="22"/>
                  <w:szCs w:val="22"/>
                </w:rPr>
                <w:t>1305</w:t>
              </w:r>
            </w:hyperlink>
            <w:r w:rsidRPr="000674EC">
              <w:rPr>
                <w:i/>
                <w:sz w:val="22"/>
                <w:szCs w:val="22"/>
              </w:rPr>
              <w:t xml:space="preserve"> (2009), </w:t>
            </w:r>
            <w:hyperlink r:id="rId17" w:history="1">
              <w:r w:rsidRPr="000674EC">
                <w:rPr>
                  <w:rStyle w:val="Hyperlink"/>
                  <w:i/>
                  <w:sz w:val="22"/>
                  <w:szCs w:val="22"/>
                </w:rPr>
                <w:t>1336</w:t>
              </w:r>
            </w:hyperlink>
            <w:r w:rsidRPr="000674EC">
              <w:rPr>
                <w:i/>
                <w:sz w:val="22"/>
                <w:szCs w:val="22"/>
              </w:rPr>
              <w:t xml:space="preserve"> (mod 2015), </w:t>
            </w:r>
            <w:hyperlink r:id="rId18" w:history="1">
              <w:r w:rsidRPr="000674EC">
                <w:rPr>
                  <w:rStyle w:val="Hyperlink"/>
                  <w:i/>
                  <w:sz w:val="22"/>
                  <w:szCs w:val="22"/>
                </w:rPr>
                <w:t>1344</w:t>
              </w:r>
            </w:hyperlink>
            <w:r w:rsidRPr="000674EC">
              <w:rPr>
                <w:i/>
                <w:sz w:val="22"/>
                <w:szCs w:val="22"/>
              </w:rPr>
              <w:t xml:space="preserve"> (mod 2015); WTSA Resolutions </w:t>
            </w:r>
            <w:hyperlink r:id="rId19" w:history="1">
              <w:r w:rsidRPr="000674EC">
                <w:rPr>
                  <w:rStyle w:val="Hyperlink"/>
                  <w:i/>
                  <w:sz w:val="22"/>
                  <w:szCs w:val="22"/>
                </w:rPr>
                <w:t>47</w:t>
              </w:r>
            </w:hyperlink>
            <w:r w:rsidRPr="000674EC">
              <w:rPr>
                <w:i/>
                <w:sz w:val="22"/>
                <w:szCs w:val="22"/>
                <w:u w:val="single"/>
              </w:rPr>
              <w:t xml:space="preserve"> </w:t>
            </w:r>
            <w:r w:rsidRPr="000674EC">
              <w:rPr>
                <w:i/>
                <w:sz w:val="22"/>
                <w:szCs w:val="22"/>
              </w:rPr>
              <w:t xml:space="preserve">(Rev. Dubai, 2012), </w:t>
            </w:r>
            <w:hyperlink r:id="rId20" w:history="1">
              <w:r w:rsidRPr="000674EC">
                <w:rPr>
                  <w:rStyle w:val="Hyperlink"/>
                  <w:i/>
                  <w:sz w:val="22"/>
                  <w:szCs w:val="22"/>
                </w:rPr>
                <w:t>48</w:t>
              </w:r>
            </w:hyperlink>
            <w:r w:rsidRPr="000674EC">
              <w:rPr>
                <w:sz w:val="22"/>
                <w:szCs w:val="22"/>
              </w:rPr>
              <w:t xml:space="preserve"> </w:t>
            </w:r>
            <w:r w:rsidRPr="000674EC">
              <w:rPr>
                <w:i/>
                <w:sz w:val="22"/>
                <w:szCs w:val="22"/>
              </w:rPr>
              <w:t xml:space="preserve">(Rev. Geneva, 2022), </w:t>
            </w:r>
            <w:hyperlink r:id="rId21" w:history="1">
              <w:r w:rsidRPr="000674EC">
                <w:rPr>
                  <w:rStyle w:val="Hyperlink"/>
                  <w:i/>
                  <w:sz w:val="22"/>
                  <w:szCs w:val="22"/>
                </w:rPr>
                <w:t>49</w:t>
              </w:r>
            </w:hyperlink>
            <w:r w:rsidRPr="000674EC">
              <w:rPr>
                <w:i/>
                <w:sz w:val="22"/>
                <w:szCs w:val="22"/>
                <w:u w:val="single"/>
              </w:rPr>
              <w:t xml:space="preserve"> </w:t>
            </w:r>
            <w:r w:rsidRPr="000674EC">
              <w:rPr>
                <w:i/>
                <w:sz w:val="22"/>
                <w:szCs w:val="22"/>
              </w:rPr>
              <w:t>(Rev. </w:t>
            </w:r>
            <w:proofErr w:type="spellStart"/>
            <w:r w:rsidRPr="000674EC">
              <w:rPr>
                <w:i/>
                <w:sz w:val="22"/>
                <w:szCs w:val="22"/>
              </w:rPr>
              <w:t>Hammamet</w:t>
            </w:r>
            <w:proofErr w:type="spellEnd"/>
            <w:r w:rsidRPr="000674EC">
              <w:rPr>
                <w:i/>
                <w:sz w:val="22"/>
                <w:szCs w:val="22"/>
              </w:rPr>
              <w:t xml:space="preserve">, 2016), </w:t>
            </w:r>
            <w:hyperlink r:id="rId22" w:history="1">
              <w:r w:rsidRPr="000674EC">
                <w:rPr>
                  <w:rStyle w:val="Hyperlink"/>
                  <w:i/>
                  <w:sz w:val="22"/>
                  <w:szCs w:val="22"/>
                </w:rPr>
                <w:t>50</w:t>
              </w:r>
            </w:hyperlink>
            <w:r w:rsidRPr="000674EC">
              <w:rPr>
                <w:i/>
                <w:sz w:val="22"/>
                <w:szCs w:val="22"/>
                <w:u w:val="single"/>
              </w:rPr>
              <w:t xml:space="preserve"> </w:t>
            </w:r>
            <w:r w:rsidRPr="000674EC">
              <w:rPr>
                <w:i/>
                <w:sz w:val="22"/>
                <w:szCs w:val="22"/>
              </w:rPr>
              <w:t xml:space="preserve">(Rev. Geneva, 2022), </w:t>
            </w:r>
            <w:hyperlink r:id="rId23" w:history="1">
              <w:r w:rsidRPr="000674EC">
                <w:rPr>
                  <w:rStyle w:val="Hyperlink"/>
                  <w:i/>
                  <w:sz w:val="22"/>
                  <w:szCs w:val="22"/>
                </w:rPr>
                <w:t>52</w:t>
              </w:r>
            </w:hyperlink>
            <w:r w:rsidRPr="000674EC">
              <w:rPr>
                <w:i/>
                <w:sz w:val="22"/>
                <w:szCs w:val="22"/>
                <w:u w:val="single"/>
              </w:rPr>
              <w:t xml:space="preserve"> </w:t>
            </w:r>
            <w:r w:rsidRPr="000674EC">
              <w:rPr>
                <w:i/>
                <w:sz w:val="22"/>
                <w:szCs w:val="22"/>
              </w:rPr>
              <w:t>(Rev. </w:t>
            </w:r>
            <w:proofErr w:type="spellStart"/>
            <w:r w:rsidRPr="000674EC">
              <w:rPr>
                <w:i/>
                <w:sz w:val="22"/>
                <w:szCs w:val="22"/>
              </w:rPr>
              <w:t>Hammamet</w:t>
            </w:r>
            <w:proofErr w:type="spellEnd"/>
            <w:r w:rsidRPr="000674EC">
              <w:rPr>
                <w:i/>
                <w:sz w:val="22"/>
                <w:szCs w:val="22"/>
              </w:rPr>
              <w:t xml:space="preserve">, 2016), </w:t>
            </w:r>
            <w:hyperlink r:id="rId24" w:history="1">
              <w:r w:rsidRPr="000674EC">
                <w:rPr>
                  <w:rStyle w:val="Hyperlink"/>
                  <w:i/>
                  <w:sz w:val="22"/>
                  <w:szCs w:val="22"/>
                </w:rPr>
                <w:t>58</w:t>
              </w:r>
            </w:hyperlink>
            <w:r w:rsidRPr="000674EC">
              <w:rPr>
                <w:i/>
                <w:sz w:val="22"/>
                <w:szCs w:val="22"/>
              </w:rPr>
              <w:t xml:space="preserve">, </w:t>
            </w:r>
            <w:hyperlink r:id="rId25" w:history="1">
              <w:r w:rsidRPr="000674EC">
                <w:rPr>
                  <w:rStyle w:val="Hyperlink"/>
                  <w:i/>
                  <w:sz w:val="22"/>
                  <w:szCs w:val="22"/>
                </w:rPr>
                <w:t>60</w:t>
              </w:r>
            </w:hyperlink>
            <w:r w:rsidRPr="000674EC">
              <w:rPr>
                <w:i/>
                <w:sz w:val="22"/>
                <w:szCs w:val="22"/>
                <w:u w:val="single"/>
              </w:rPr>
              <w:t xml:space="preserve">, </w:t>
            </w:r>
            <w:hyperlink r:id="rId26" w:history="1">
              <w:r w:rsidRPr="000674EC">
                <w:rPr>
                  <w:rStyle w:val="Hyperlink"/>
                  <w:i/>
                  <w:sz w:val="22"/>
                  <w:szCs w:val="22"/>
                </w:rPr>
                <w:t>64</w:t>
              </w:r>
            </w:hyperlink>
            <w:r w:rsidRPr="000674EC">
              <w:rPr>
                <w:i/>
                <w:sz w:val="22"/>
                <w:szCs w:val="22"/>
              </w:rPr>
              <w:t xml:space="preserve">, (Rev. Geneva, 2022), </w:t>
            </w:r>
            <w:hyperlink r:id="rId27" w:history="1">
              <w:r w:rsidRPr="000674EC">
                <w:rPr>
                  <w:rStyle w:val="Hyperlink"/>
                  <w:i/>
                  <w:sz w:val="22"/>
                  <w:szCs w:val="22"/>
                </w:rPr>
                <w:t>69</w:t>
              </w:r>
            </w:hyperlink>
            <w:r w:rsidRPr="000674EC">
              <w:rPr>
                <w:i/>
                <w:sz w:val="22"/>
                <w:szCs w:val="22"/>
              </w:rPr>
              <w:t xml:space="preserve">, </w:t>
            </w:r>
            <w:hyperlink r:id="rId28" w:history="1">
              <w:r w:rsidRPr="000674EC">
                <w:rPr>
                  <w:rStyle w:val="Hyperlink"/>
                  <w:i/>
                  <w:sz w:val="22"/>
                  <w:szCs w:val="22"/>
                </w:rPr>
                <w:t>75</w:t>
              </w:r>
            </w:hyperlink>
            <w:r w:rsidRPr="000674EC">
              <w:rPr>
                <w:i/>
                <w:sz w:val="22"/>
                <w:szCs w:val="22"/>
                <w:u w:val="single"/>
              </w:rPr>
              <w:t xml:space="preserve"> </w:t>
            </w:r>
            <w:r w:rsidRPr="000674EC">
              <w:rPr>
                <w:i/>
                <w:sz w:val="22"/>
                <w:szCs w:val="22"/>
              </w:rPr>
              <w:t xml:space="preserve">(Rev. Geneva, 2022), </w:t>
            </w:r>
            <w:hyperlink r:id="rId29" w:history="1">
              <w:r w:rsidRPr="000674EC">
                <w:rPr>
                  <w:rStyle w:val="Hyperlink"/>
                  <w:i/>
                  <w:sz w:val="22"/>
                  <w:szCs w:val="22"/>
                </w:rPr>
                <w:t>98</w:t>
              </w:r>
            </w:hyperlink>
            <w:r w:rsidRPr="000674EC">
              <w:rPr>
                <w:i/>
                <w:sz w:val="22"/>
                <w:szCs w:val="22"/>
              </w:rPr>
              <w:t xml:space="preserve"> (Rev. Geneva, 2022); </w:t>
            </w:r>
            <w:hyperlink r:id="rId30" w:history="1">
              <w:r w:rsidRPr="000674EC">
                <w:rPr>
                  <w:rStyle w:val="Hyperlink"/>
                  <w:i/>
                  <w:sz w:val="22"/>
                  <w:szCs w:val="22"/>
                </w:rPr>
                <w:t>WTDC-17/Buenos Aire</w:t>
              </w:r>
              <w:r w:rsidRPr="000674EC">
                <w:rPr>
                  <w:rStyle w:val="Hyperlink"/>
                  <w:i/>
                  <w:iCs/>
                  <w:sz w:val="22"/>
                  <w:szCs w:val="22"/>
                </w:rPr>
                <w:t>s Action Plan Objective 3/Output 3.3</w:t>
              </w:r>
            </w:hyperlink>
            <w:r w:rsidRPr="000674EC">
              <w:rPr>
                <w:sz w:val="22"/>
                <w:szCs w:val="22"/>
              </w:rPr>
              <w:t xml:space="preserve"> </w:t>
            </w:r>
            <w:r w:rsidRPr="000674EC">
              <w:rPr>
                <w:i/>
                <w:sz w:val="22"/>
                <w:szCs w:val="22"/>
              </w:rPr>
              <w:t xml:space="preserve">, WTDC Resolutions </w:t>
            </w:r>
            <w:hyperlink r:id="rId31" w:history="1">
              <w:r w:rsidRPr="000674EC">
                <w:rPr>
                  <w:rStyle w:val="Hyperlink"/>
                  <w:i/>
                  <w:sz w:val="22"/>
                  <w:szCs w:val="22"/>
                </w:rPr>
                <w:t>20, 30 , 63</w:t>
              </w:r>
            </w:hyperlink>
            <w:r w:rsidRPr="000674EC">
              <w:rPr>
                <w:i/>
                <w:sz w:val="22"/>
                <w:szCs w:val="22"/>
              </w:rPr>
              <w:t xml:space="preserve"> (Rev. Buenos Aires, 2017), and </w:t>
            </w:r>
            <w:hyperlink r:id="rId32" w:history="1">
              <w:r w:rsidRPr="000674EC">
                <w:rPr>
                  <w:rStyle w:val="Hyperlink"/>
                  <w:i/>
                  <w:sz w:val="22"/>
                  <w:szCs w:val="22"/>
                </w:rPr>
                <w:t>45</w:t>
              </w:r>
            </w:hyperlink>
            <w:r w:rsidRPr="000674EC">
              <w:rPr>
                <w:sz w:val="22"/>
                <w:szCs w:val="22"/>
              </w:rPr>
              <w:t> </w:t>
            </w:r>
            <w:r w:rsidRPr="000674EC">
              <w:rPr>
                <w:i/>
                <w:sz w:val="22"/>
                <w:szCs w:val="22"/>
              </w:rPr>
              <w:t xml:space="preserve"> (Rev. Dubai, 2014); Council Documents </w:t>
            </w:r>
            <w:hyperlink r:id="rId33" w:history="1">
              <w:r w:rsidRPr="000674EC">
                <w:rPr>
                  <w:rStyle w:val="Hyperlink"/>
                  <w:i/>
                  <w:sz w:val="22"/>
                  <w:szCs w:val="22"/>
                </w:rPr>
                <w:t>C16/33</w:t>
              </w:r>
            </w:hyperlink>
            <w:r w:rsidRPr="000674EC">
              <w:rPr>
                <w:i/>
                <w:sz w:val="22"/>
                <w:szCs w:val="22"/>
              </w:rPr>
              <w:t xml:space="preserve">, </w:t>
            </w:r>
            <w:hyperlink r:id="rId34" w:history="1">
              <w:r w:rsidRPr="000674EC">
                <w:rPr>
                  <w:rStyle w:val="Hyperlink"/>
                  <w:i/>
                  <w:sz w:val="22"/>
                  <w:szCs w:val="22"/>
                </w:rPr>
                <w:t>C17/33</w:t>
              </w:r>
            </w:hyperlink>
            <w:r w:rsidRPr="000674EC">
              <w:rPr>
                <w:i/>
                <w:sz w:val="22"/>
                <w:szCs w:val="22"/>
                <w:u w:val="single"/>
              </w:rPr>
              <w:t>,</w:t>
            </w:r>
            <w:hyperlink r:id="rId35" w:history="1">
              <w:r w:rsidRPr="000674EC">
                <w:rPr>
                  <w:rStyle w:val="Hyperlink"/>
                  <w:i/>
                  <w:sz w:val="22"/>
                  <w:szCs w:val="22"/>
                </w:rPr>
                <w:t xml:space="preserve"> C18/33</w:t>
              </w:r>
            </w:hyperlink>
            <w:r w:rsidRPr="000674EC">
              <w:rPr>
                <w:i/>
                <w:sz w:val="22"/>
                <w:szCs w:val="22"/>
                <w:u w:val="single"/>
              </w:rPr>
              <w:t>,</w:t>
            </w:r>
            <w:r w:rsidRPr="000674EC">
              <w:rPr>
                <w:i/>
                <w:sz w:val="22"/>
                <w:szCs w:val="22"/>
              </w:rPr>
              <w:t xml:space="preserve"> </w:t>
            </w:r>
            <w:hyperlink r:id="rId36" w:history="1">
              <w:r w:rsidRPr="000674EC">
                <w:rPr>
                  <w:rStyle w:val="Hyperlink"/>
                  <w:i/>
                  <w:sz w:val="22"/>
                  <w:szCs w:val="22"/>
                </w:rPr>
                <w:t>C19/33</w:t>
              </w:r>
            </w:hyperlink>
            <w:r w:rsidRPr="000674EC">
              <w:rPr>
                <w:i/>
                <w:sz w:val="22"/>
                <w:szCs w:val="22"/>
              </w:rPr>
              <w:t xml:space="preserve">, </w:t>
            </w:r>
            <w:hyperlink r:id="rId37" w:history="1">
              <w:r w:rsidRPr="000674EC">
                <w:rPr>
                  <w:rStyle w:val="Hyperlink"/>
                  <w:i/>
                  <w:sz w:val="22"/>
                  <w:szCs w:val="22"/>
                </w:rPr>
                <w:t>C20/33</w:t>
              </w:r>
            </w:hyperlink>
            <w:r w:rsidRPr="000674EC">
              <w:rPr>
                <w:sz w:val="22"/>
                <w:szCs w:val="22"/>
              </w:rPr>
              <w:t xml:space="preserve">, </w:t>
            </w:r>
            <w:hyperlink r:id="rId38" w:history="1">
              <w:r w:rsidRPr="000674EC">
                <w:rPr>
                  <w:rStyle w:val="Hyperlink"/>
                  <w:i/>
                  <w:iCs/>
                  <w:sz w:val="22"/>
                  <w:szCs w:val="22"/>
                </w:rPr>
                <w:t>C21/33</w:t>
              </w:r>
            </w:hyperlink>
            <w:r w:rsidRPr="000674EC">
              <w:rPr>
                <w:i/>
                <w:iCs/>
                <w:sz w:val="22"/>
                <w:szCs w:val="22"/>
              </w:rPr>
              <w:t xml:space="preserve">, </w:t>
            </w:r>
            <w:hyperlink r:id="rId39" w:history="1">
              <w:r w:rsidRPr="000674EC">
                <w:rPr>
                  <w:rStyle w:val="Hyperlink"/>
                  <w:i/>
                  <w:iCs/>
                  <w:sz w:val="22"/>
                  <w:szCs w:val="22"/>
                </w:rPr>
                <w:t>C22/33</w:t>
              </w:r>
            </w:hyperlink>
            <w:r w:rsidR="000674EC" w:rsidRPr="000674EC">
              <w:rPr>
                <w:rStyle w:val="Hyperlink"/>
                <w:i/>
                <w:iCs/>
                <w:color w:val="auto"/>
                <w:sz w:val="22"/>
                <w:szCs w:val="22"/>
                <w:u w:val="none"/>
              </w:rPr>
              <w:t xml:space="preserve">, </w:t>
            </w:r>
            <w:hyperlink r:id="rId40" w:history="1">
              <w:r w:rsidR="000674EC" w:rsidRPr="000674EC">
                <w:rPr>
                  <w:rStyle w:val="Hyperlink"/>
                  <w:i/>
                  <w:iCs/>
                  <w:sz w:val="22"/>
                  <w:szCs w:val="22"/>
                </w:rPr>
                <w:t>C23/33</w:t>
              </w:r>
            </w:hyperlink>
            <w:r w:rsidR="000674EC">
              <w:rPr>
                <w:rStyle w:val="Hyperlink"/>
                <w:i/>
                <w:iCs/>
                <w:color w:val="auto"/>
                <w:sz w:val="22"/>
                <w:szCs w:val="22"/>
                <w:u w:val="none"/>
              </w:rPr>
              <w:t>.</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1" w:name="_Hlk133421428"/>
      <w:bookmarkEnd w:id="2"/>
      <w:bookmarkEnd w:id="3"/>
      <w:bookmarkEnd w:id="4"/>
      <w:bookmarkEnd w:id="10"/>
      <w:r>
        <w:rPr>
          <w:lang w:val="es-ES"/>
        </w:rPr>
        <w:br w:type="page"/>
      </w:r>
    </w:p>
    <w:bookmarkEnd w:id="5"/>
    <w:bookmarkEnd w:id="11"/>
    <w:p w14:paraId="7D35779D" w14:textId="77777777" w:rsidR="00D168BE" w:rsidRPr="00D168BE" w:rsidRDefault="00D168BE" w:rsidP="00D168BE">
      <w:pPr>
        <w:tabs>
          <w:tab w:val="clear" w:pos="567"/>
          <w:tab w:val="clear" w:pos="1134"/>
          <w:tab w:val="clear" w:pos="1701"/>
          <w:tab w:val="clear" w:pos="2268"/>
          <w:tab w:val="clear" w:pos="2835"/>
        </w:tabs>
        <w:snapToGrid w:val="0"/>
        <w:spacing w:before="360" w:after="120"/>
        <w:ind w:left="686" w:hanging="686"/>
        <w:outlineLvl w:val="0"/>
        <w:rPr>
          <w:rFonts w:asciiTheme="minorHAnsi" w:eastAsia="SimSun" w:hAnsiTheme="minorHAnsi" w:cstheme="minorBidi"/>
          <w:b/>
          <w:sz w:val="26"/>
          <w:szCs w:val="26"/>
        </w:rPr>
      </w:pPr>
      <w:r w:rsidRPr="00D168BE">
        <w:rPr>
          <w:rFonts w:asciiTheme="minorHAnsi" w:eastAsia="SimSun" w:hAnsiTheme="minorHAnsi" w:cstheme="minorBidi"/>
          <w:b/>
          <w:sz w:val="26"/>
          <w:szCs w:val="26"/>
        </w:rPr>
        <w:lastRenderedPageBreak/>
        <w:t>1</w:t>
      </w:r>
      <w:r w:rsidRPr="00D168BE">
        <w:rPr>
          <w:rFonts w:eastAsia="SimSun"/>
          <w:b/>
          <w:sz w:val="26"/>
          <w:szCs w:val="26"/>
        </w:rPr>
        <w:tab/>
      </w:r>
      <w:r w:rsidRPr="00D168BE">
        <w:rPr>
          <w:rFonts w:asciiTheme="minorHAnsi" w:eastAsia="SimSun" w:hAnsiTheme="minorHAnsi" w:cstheme="minorBidi"/>
          <w:b/>
          <w:sz w:val="26"/>
          <w:szCs w:val="26"/>
        </w:rPr>
        <w:t>Introduction</w:t>
      </w:r>
    </w:p>
    <w:p w14:paraId="073AC64A" w14:textId="60B13379"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Bidi"/>
          <w:szCs w:val="24"/>
        </w:rPr>
      </w:pPr>
      <w:r w:rsidRPr="00D168BE">
        <w:rPr>
          <w:rFonts w:asciiTheme="minorHAnsi" w:eastAsia="SimSun" w:hAnsiTheme="minorHAnsi" w:cstheme="minorBidi"/>
          <w:szCs w:val="24"/>
        </w:rPr>
        <w:t xml:space="preserve">This report describes ITU’s activities related to the 2022 Plenipotentiary Conference Resolutions 101, 102, 133, 180 and 206 for the reporting period from </w:t>
      </w:r>
      <w:r w:rsidR="00D92611">
        <w:rPr>
          <w:rFonts w:asciiTheme="minorHAnsi" w:eastAsia="SimSun" w:hAnsiTheme="minorHAnsi" w:cstheme="minorBidi"/>
          <w:szCs w:val="24"/>
        </w:rPr>
        <w:t>March 2023</w:t>
      </w:r>
      <w:r w:rsidRPr="00D168BE">
        <w:rPr>
          <w:rFonts w:asciiTheme="minorHAnsi" w:eastAsia="SimSun" w:hAnsiTheme="minorHAnsi" w:cstheme="minorBidi"/>
          <w:szCs w:val="24"/>
        </w:rPr>
        <w:t xml:space="preserve"> till </w:t>
      </w:r>
      <w:r w:rsidR="00D92611">
        <w:rPr>
          <w:rFonts w:asciiTheme="minorHAnsi" w:eastAsia="SimSun" w:hAnsiTheme="minorHAnsi" w:cstheme="minorBidi"/>
          <w:szCs w:val="24"/>
        </w:rPr>
        <w:t>March 2024</w:t>
      </w:r>
      <w:r w:rsidRPr="00D168BE">
        <w:rPr>
          <w:rFonts w:asciiTheme="minorHAnsi" w:eastAsia="SimSun" w:hAnsiTheme="minorHAnsi" w:cstheme="minorBidi"/>
          <w:szCs w:val="24"/>
        </w:rPr>
        <w:t>.</w:t>
      </w:r>
      <w:bookmarkStart w:id="12" w:name="_Hlt239152104"/>
      <w:bookmarkStart w:id="13" w:name="_Hlt239152105"/>
      <w:bookmarkStart w:id="14" w:name="_Hlt239151886"/>
      <w:bookmarkStart w:id="15" w:name="_Hlt239151887"/>
      <w:bookmarkStart w:id="16" w:name="_Hlt239152106"/>
      <w:bookmarkStart w:id="17" w:name="_Hlt239152114"/>
      <w:bookmarkStart w:id="18" w:name="_Hlt239153440"/>
      <w:bookmarkStart w:id="19" w:name="_Hlt239153441"/>
      <w:bookmarkEnd w:id="12"/>
      <w:bookmarkEnd w:id="13"/>
      <w:bookmarkEnd w:id="14"/>
      <w:bookmarkEnd w:id="15"/>
      <w:bookmarkEnd w:id="16"/>
      <w:bookmarkEnd w:id="17"/>
      <w:bookmarkEnd w:id="18"/>
      <w:bookmarkEnd w:id="19"/>
    </w:p>
    <w:p w14:paraId="74D5A8EC" w14:textId="77777777" w:rsidR="00D168BE" w:rsidRPr="00D168BE" w:rsidRDefault="00D168BE" w:rsidP="00D168BE">
      <w:pPr>
        <w:keepNext/>
        <w:keepLines/>
        <w:tabs>
          <w:tab w:val="clear" w:pos="567"/>
          <w:tab w:val="clear" w:pos="1134"/>
          <w:tab w:val="clear" w:pos="1701"/>
          <w:tab w:val="clear" w:pos="2268"/>
          <w:tab w:val="clear" w:pos="2835"/>
        </w:tabs>
        <w:snapToGrid w:val="0"/>
        <w:spacing w:before="360"/>
        <w:ind w:left="709" w:hanging="709"/>
        <w:jc w:val="both"/>
        <w:outlineLvl w:val="0"/>
        <w:rPr>
          <w:rFonts w:asciiTheme="minorHAnsi" w:eastAsia="SimSun" w:hAnsiTheme="minorHAnsi" w:cstheme="minorBidi"/>
          <w:b/>
          <w:szCs w:val="24"/>
        </w:rPr>
      </w:pPr>
      <w:r w:rsidRPr="00D168BE">
        <w:rPr>
          <w:rFonts w:asciiTheme="minorHAnsi" w:eastAsia="SimSun" w:hAnsiTheme="minorHAnsi" w:cstheme="minorBidi"/>
          <w:b/>
          <w:sz w:val="26"/>
          <w:szCs w:val="26"/>
        </w:rPr>
        <w:t>2</w:t>
      </w:r>
      <w:r w:rsidRPr="00D168BE">
        <w:rPr>
          <w:rFonts w:eastAsia="SimSun"/>
          <w:b/>
          <w:sz w:val="28"/>
        </w:rPr>
        <w:tab/>
      </w:r>
      <w:r w:rsidRPr="00D168BE">
        <w:rPr>
          <w:rFonts w:asciiTheme="minorHAnsi" w:eastAsia="SimSun" w:hAnsiTheme="minorHAnsi" w:cstheme="minorBidi"/>
          <w:b/>
          <w:sz w:val="26"/>
          <w:szCs w:val="26"/>
        </w:rPr>
        <w:t>Activities related to Internet Protocol (IP) networks, the development of next-generation networks (NGN) and future Internet, including policy and regulatory challenges</w:t>
      </w:r>
    </w:p>
    <w:p w14:paraId="43BE4DBC" w14:textId="501EACC7" w:rsidR="00D168BE" w:rsidRPr="00D168BE" w:rsidRDefault="00D168BE" w:rsidP="00D168BE">
      <w:pPr>
        <w:keepNext/>
        <w:keepLines/>
        <w:tabs>
          <w:tab w:val="clear" w:pos="567"/>
          <w:tab w:val="clear" w:pos="1134"/>
          <w:tab w:val="clear" w:pos="1701"/>
          <w:tab w:val="clear" w:pos="2268"/>
          <w:tab w:val="clear" w:pos="2835"/>
        </w:tabs>
        <w:snapToGrid w:val="0"/>
        <w:jc w:val="both"/>
        <w:rPr>
          <w:rFonts w:asciiTheme="minorHAnsi" w:eastAsia="SimSun" w:hAnsiTheme="minorHAnsi" w:cstheme="minorBidi"/>
        </w:rPr>
      </w:pPr>
      <w:bookmarkStart w:id="20" w:name="_Hlk163199762"/>
      <w:r w:rsidRPr="00D168BE">
        <w:rPr>
          <w:rFonts w:asciiTheme="minorHAnsi" w:eastAsia="SimSun" w:hAnsiTheme="minorHAnsi" w:cstheme="minorBidi"/>
        </w:rPr>
        <w:t xml:space="preserve">More than 350 new/revised ITU-T Recommendations and other texts have been approved from </w:t>
      </w:r>
      <w:r w:rsidRPr="00D168BE">
        <w:rPr>
          <w:rFonts w:asciiTheme="minorHAnsi" w:eastAsia="SimSun" w:hAnsiTheme="minorHAnsi" w:cstheme="minorBidi"/>
          <w:spacing w:val="-2"/>
        </w:rPr>
        <w:t>1 March 2023 to 25 March 2024</w:t>
      </w:r>
      <w:r w:rsidRPr="00D168BE">
        <w:rPr>
          <w:rFonts w:asciiTheme="minorHAnsi" w:eastAsia="SimSun" w:hAnsiTheme="minorHAnsi" w:cstheme="minorBidi"/>
        </w:rPr>
        <w:t>, including those relevant to this Report</w:t>
      </w:r>
      <w:r w:rsidRPr="00D168BE">
        <w:rPr>
          <w:rFonts w:asciiTheme="minorHAnsi" w:eastAsia="SimSun" w:hAnsiTheme="minorHAnsi" w:cstheme="minorBidi"/>
          <w:spacing w:val="-2"/>
        </w:rPr>
        <w:t xml:space="preserve">. </w:t>
      </w:r>
      <w:hyperlink r:id="rId41" w:history="1">
        <w:r w:rsidRPr="00D168BE">
          <w:rPr>
            <w:rFonts w:asciiTheme="minorHAnsi" w:eastAsia="SimSun" w:hAnsiTheme="minorHAnsi" w:cstheme="minorBidi"/>
            <w:color w:val="0563C1"/>
            <w:spacing w:val="-2"/>
            <w:u w:val="single"/>
          </w:rPr>
          <w:t>Relevant Recommendations</w:t>
        </w:r>
      </w:hyperlink>
      <w:r w:rsidRPr="00D168BE">
        <w:rPr>
          <w:rFonts w:asciiTheme="minorHAnsi" w:eastAsia="SimSun" w:hAnsiTheme="minorHAnsi" w:cstheme="minorBidi"/>
          <w:spacing w:val="-2"/>
        </w:rPr>
        <w:t xml:space="preserve"> can be found under the different ITU-T Study Groups (SGs). </w:t>
      </w:r>
      <w:bookmarkEnd w:id="20"/>
    </w:p>
    <w:p w14:paraId="76B903A1" w14:textId="77777777" w:rsidR="00D168BE" w:rsidRPr="00D168BE" w:rsidRDefault="00D168BE" w:rsidP="00D168BE">
      <w:pPr>
        <w:keepNext/>
        <w:keepLines/>
        <w:tabs>
          <w:tab w:val="clear" w:pos="567"/>
          <w:tab w:val="clear" w:pos="1134"/>
          <w:tab w:val="clear" w:pos="1701"/>
          <w:tab w:val="clear" w:pos="2268"/>
          <w:tab w:val="clear" w:pos="2835"/>
        </w:tabs>
        <w:snapToGrid w:val="0"/>
        <w:jc w:val="both"/>
        <w:rPr>
          <w:rFonts w:eastAsia="SimSun"/>
          <w:b/>
          <w:bCs/>
        </w:rPr>
      </w:pPr>
      <w:r w:rsidRPr="00D168BE">
        <w:rPr>
          <w:rFonts w:asciiTheme="minorHAnsi" w:eastAsia="SimSun" w:hAnsiTheme="minorHAnsi" w:cstheme="minorBidi"/>
          <w:b/>
          <w:bCs/>
        </w:rPr>
        <w:t>2.1</w:t>
      </w:r>
      <w:r w:rsidRPr="00D168BE">
        <w:rPr>
          <w:rFonts w:eastAsia="SimSun"/>
        </w:rPr>
        <w:tab/>
      </w:r>
      <w:r w:rsidRPr="00D168BE">
        <w:rPr>
          <w:rFonts w:asciiTheme="minorHAnsi" w:eastAsia="SimSun" w:hAnsiTheme="minorHAnsi" w:cstheme="minorBidi"/>
          <w:b/>
          <w:bCs/>
          <w:spacing w:val="2"/>
        </w:rPr>
        <w:t xml:space="preserve">IMT-2020: </w:t>
      </w:r>
      <w:r w:rsidRPr="00D168BE">
        <w:rPr>
          <w:rFonts w:asciiTheme="minorHAnsi" w:eastAsia="SimSun" w:hAnsiTheme="minorHAnsi" w:cstheme="minorBidi"/>
          <w:spacing w:val="2"/>
        </w:rPr>
        <w:t xml:space="preserve">In total, 27 Recommendations were approved by ITU-T SGs 5, 9, 11, 13 and 17. </w:t>
      </w:r>
      <w:r w:rsidRPr="00D168BE">
        <w:rPr>
          <w:rFonts w:asciiTheme="minorHAnsi" w:eastAsia="SimSun" w:hAnsiTheme="minorHAnsi" w:cstheme="minorBidi"/>
        </w:rPr>
        <w:t>One Supplement was agreed by SG13, and nine draft Recommendations are under approval in SGs 13 and 17.</w:t>
      </w:r>
    </w:p>
    <w:p w14:paraId="32CD2BA1" w14:textId="5AF38B89" w:rsidR="00D168BE" w:rsidRPr="00D168BE" w:rsidRDefault="00D168BE" w:rsidP="00D168BE">
      <w:pPr>
        <w:tabs>
          <w:tab w:val="clear" w:pos="567"/>
          <w:tab w:val="clear" w:pos="1134"/>
          <w:tab w:val="clear" w:pos="1701"/>
          <w:tab w:val="clear" w:pos="2268"/>
          <w:tab w:val="clear" w:pos="2835"/>
        </w:tabs>
        <w:spacing w:after="120"/>
        <w:jc w:val="both"/>
        <w:outlineLvl w:val="1"/>
        <w:rPr>
          <w:rFonts w:asciiTheme="minorHAnsi" w:eastAsia="SimSun" w:hAnsiTheme="minorHAnsi" w:cstheme="minorBidi"/>
          <w:b/>
          <w:szCs w:val="24"/>
        </w:rPr>
      </w:pPr>
      <w:r w:rsidRPr="00D168BE">
        <w:rPr>
          <w:rFonts w:asciiTheme="minorHAnsi" w:eastAsia="SimSun" w:hAnsiTheme="minorHAnsi" w:cstheme="minorBidi"/>
          <w:b/>
          <w:bCs/>
        </w:rPr>
        <w:t>2.2</w:t>
      </w:r>
      <w:r w:rsidRPr="00D168BE">
        <w:rPr>
          <w:rFonts w:eastAsia="SimSun"/>
          <w:b/>
          <w:szCs w:val="24"/>
        </w:rPr>
        <w:tab/>
      </w:r>
      <w:r w:rsidRPr="00D168BE">
        <w:rPr>
          <w:rFonts w:asciiTheme="minorHAnsi" w:eastAsia="SimSun" w:hAnsiTheme="minorHAnsi" w:cstheme="minorBidi"/>
          <w:b/>
          <w:bCs/>
        </w:rPr>
        <w:t xml:space="preserve">Internet-of-things (IoT) and Smart Cities: </w:t>
      </w:r>
      <w:r w:rsidRPr="00D168BE">
        <w:rPr>
          <w:rFonts w:asciiTheme="minorHAnsi" w:eastAsia="SimSun" w:hAnsiTheme="minorHAnsi" w:cstheme="minorBidi"/>
        </w:rPr>
        <w:t>In total, 12 Recommendations were approved by SGs 11, 17 and 20, One Supplement and two Technical Reports were agreed by SGs 3, 17 and 20, 15 draft Recommendations are under approval in SGs 17. T</w:t>
      </w:r>
      <w:r w:rsidRPr="00D168BE">
        <w:rPr>
          <w:rFonts w:eastAsia="Calibri" w:cs="Calibri"/>
          <w:color w:val="000000" w:themeColor="text1"/>
          <w:szCs w:val="24"/>
        </w:rPr>
        <w:t>he Correspondence Group on Artificial Intelligence of Things (CG-</w:t>
      </w:r>
      <w:proofErr w:type="spellStart"/>
      <w:r w:rsidRPr="00D168BE">
        <w:rPr>
          <w:rFonts w:eastAsia="Calibri" w:cs="Calibri"/>
          <w:color w:val="000000" w:themeColor="text1"/>
          <w:szCs w:val="24"/>
        </w:rPr>
        <w:t>AIoT</w:t>
      </w:r>
      <w:proofErr w:type="spellEnd"/>
      <w:r w:rsidRPr="00D168BE">
        <w:rPr>
          <w:rFonts w:eastAsia="Calibri" w:cs="Calibri"/>
          <w:color w:val="000000" w:themeColor="text1"/>
          <w:szCs w:val="24"/>
        </w:rPr>
        <w:t>) which was created under SG20 concluded successfully its activities in September 2023.</w:t>
      </w:r>
      <w:r w:rsidRPr="00D168BE">
        <w:rPr>
          <w:rFonts w:eastAsia="Calibri" w:cs="Calibri"/>
          <w:szCs w:val="24"/>
        </w:rPr>
        <w:t xml:space="preserve"> </w:t>
      </w:r>
      <w:r w:rsidRPr="00D168BE">
        <w:rPr>
          <w:rFonts w:asciiTheme="minorHAnsi" w:eastAsia="SimSun" w:hAnsiTheme="minorHAnsi" w:cstheme="minorBidi"/>
        </w:rPr>
        <w:t xml:space="preserve">The standardization of IoT test specifications is accelerating, supported by the increasing collaboration of ITU-T and oneM2M. ITU-T SG20 continued coordination in its ITU-T JCA-IoT and SC&amp;C and is also in close collaboration with IETF, oneM2M, W3C, LoRa Alliance and </w:t>
      </w:r>
      <w:proofErr w:type="spellStart"/>
      <w:r w:rsidRPr="00D168BE">
        <w:rPr>
          <w:rFonts w:asciiTheme="minorHAnsi" w:eastAsia="SimSun" w:hAnsiTheme="minorHAnsi" w:cstheme="minorBidi"/>
        </w:rPr>
        <w:t>TMForum</w:t>
      </w:r>
      <w:proofErr w:type="spellEnd"/>
      <w:r w:rsidRPr="00D168BE">
        <w:rPr>
          <w:rFonts w:asciiTheme="minorHAnsi" w:eastAsia="SimSun" w:hAnsiTheme="minorHAnsi" w:cstheme="minorBidi"/>
        </w:rPr>
        <w:t>.</w:t>
      </w:r>
      <w:r w:rsidRPr="00D168BE">
        <w:rPr>
          <w:rFonts w:asciiTheme="minorHAnsi" w:eastAsia="SimSun" w:hAnsiTheme="minorHAnsi" w:cstheme="minorBidi"/>
          <w:b/>
        </w:rPr>
        <w:t xml:space="preserve"> </w:t>
      </w:r>
    </w:p>
    <w:p w14:paraId="040F87F3" w14:textId="77777777" w:rsidR="00D168BE" w:rsidRPr="00D168BE" w:rsidRDefault="00D168BE" w:rsidP="00D168BE">
      <w:pPr>
        <w:tabs>
          <w:tab w:val="clear" w:pos="567"/>
          <w:tab w:val="clear" w:pos="1134"/>
          <w:tab w:val="clear" w:pos="1701"/>
          <w:tab w:val="clear" w:pos="2268"/>
          <w:tab w:val="clear" w:pos="2835"/>
        </w:tabs>
        <w:spacing w:after="120"/>
        <w:jc w:val="both"/>
        <w:outlineLvl w:val="1"/>
        <w:rPr>
          <w:rFonts w:eastAsia="SimSun"/>
          <w:b/>
          <w:szCs w:val="24"/>
        </w:rPr>
      </w:pPr>
      <w:r w:rsidRPr="00D168BE">
        <w:rPr>
          <w:rFonts w:asciiTheme="minorHAnsi" w:eastAsia="SimSun" w:hAnsiTheme="minorHAnsi" w:cstheme="minorBidi"/>
          <w:b/>
          <w:szCs w:val="24"/>
        </w:rPr>
        <w:t>2.3</w:t>
      </w:r>
      <w:r w:rsidRPr="00D168BE">
        <w:rPr>
          <w:rFonts w:eastAsia="SimSun"/>
          <w:b/>
          <w:szCs w:val="24"/>
        </w:rPr>
        <w:tab/>
      </w:r>
      <w:r w:rsidRPr="00D168BE">
        <w:rPr>
          <w:rFonts w:asciiTheme="minorHAnsi" w:eastAsia="SimSun" w:hAnsiTheme="minorHAnsi" w:cstheme="minorBidi"/>
          <w:b/>
          <w:szCs w:val="24"/>
        </w:rPr>
        <w:t xml:space="preserve">IP Cable: </w:t>
      </w:r>
      <w:r w:rsidRPr="00D168BE">
        <w:rPr>
          <w:rFonts w:asciiTheme="minorHAnsi" w:eastAsia="SimSun" w:hAnsiTheme="minorHAnsi" w:cstheme="minorBidi"/>
          <w:bCs/>
          <w:szCs w:val="24"/>
        </w:rPr>
        <w:t>ITU-T SG9 approved five Recommendations.</w:t>
      </w:r>
    </w:p>
    <w:p w14:paraId="62DF1B30" w14:textId="77777777" w:rsidR="00D168BE" w:rsidRPr="00D168BE" w:rsidRDefault="00D168BE" w:rsidP="00D168BE">
      <w:pPr>
        <w:tabs>
          <w:tab w:val="clear" w:pos="567"/>
          <w:tab w:val="clear" w:pos="1134"/>
          <w:tab w:val="clear" w:pos="1701"/>
          <w:tab w:val="clear" w:pos="2268"/>
          <w:tab w:val="clear" w:pos="2835"/>
        </w:tabs>
        <w:spacing w:after="120"/>
        <w:jc w:val="both"/>
        <w:outlineLvl w:val="1"/>
        <w:rPr>
          <w:rFonts w:eastAsia="SimSun"/>
        </w:rPr>
      </w:pPr>
      <w:r w:rsidRPr="00D168BE">
        <w:rPr>
          <w:rFonts w:asciiTheme="minorHAnsi" w:eastAsia="SimSun" w:hAnsiTheme="minorHAnsi" w:cstheme="minorBidi"/>
          <w:b/>
        </w:rPr>
        <w:t>2.4</w:t>
      </w:r>
      <w:r w:rsidRPr="00D168BE">
        <w:rPr>
          <w:rFonts w:eastAsia="SimSun"/>
          <w:b/>
        </w:rPr>
        <w:tab/>
      </w:r>
      <w:r w:rsidRPr="00D168BE">
        <w:rPr>
          <w:rFonts w:asciiTheme="minorHAnsi" w:eastAsia="SimSun" w:hAnsiTheme="minorHAnsi" w:cstheme="minorBidi"/>
          <w:b/>
        </w:rPr>
        <w:t xml:space="preserve">IPTV, Content Delivery Networks (CDN) and Digital Signage: </w:t>
      </w:r>
      <w:r w:rsidRPr="00D168BE">
        <w:rPr>
          <w:rFonts w:eastAsia="SimSun"/>
        </w:rPr>
        <w:t>ITU-T SG16 approved three Recommendations.</w:t>
      </w:r>
    </w:p>
    <w:p w14:paraId="2422FD32" w14:textId="77777777" w:rsidR="00D168BE" w:rsidRPr="00D168BE" w:rsidRDefault="00D168BE" w:rsidP="00D168BE">
      <w:pPr>
        <w:tabs>
          <w:tab w:val="clear" w:pos="567"/>
          <w:tab w:val="clear" w:pos="1134"/>
          <w:tab w:val="clear" w:pos="1701"/>
          <w:tab w:val="clear" w:pos="2268"/>
          <w:tab w:val="clear" w:pos="2835"/>
        </w:tabs>
        <w:spacing w:after="120"/>
        <w:jc w:val="both"/>
        <w:outlineLvl w:val="1"/>
        <w:rPr>
          <w:rFonts w:asciiTheme="minorHAnsi" w:eastAsia="SimSun" w:hAnsiTheme="minorHAnsi" w:cstheme="minorBidi"/>
        </w:rPr>
      </w:pPr>
      <w:r w:rsidRPr="00D168BE">
        <w:rPr>
          <w:rFonts w:asciiTheme="minorHAnsi" w:eastAsia="SimSun" w:hAnsiTheme="minorHAnsi" w:cstheme="minorBidi"/>
          <w:b/>
        </w:rPr>
        <w:t>2.5</w:t>
      </w:r>
      <w:r w:rsidRPr="00D168BE">
        <w:rPr>
          <w:rFonts w:eastAsia="SimSun"/>
          <w:b/>
        </w:rPr>
        <w:tab/>
      </w:r>
      <w:r w:rsidRPr="00D168BE">
        <w:rPr>
          <w:rFonts w:asciiTheme="minorHAnsi" w:eastAsia="SimSun" w:hAnsiTheme="minorHAnsi" w:cstheme="minorBidi"/>
          <w:b/>
        </w:rPr>
        <w:t xml:space="preserve">IP performance: </w:t>
      </w:r>
      <w:r w:rsidRPr="00D168BE">
        <w:rPr>
          <w:rFonts w:asciiTheme="minorHAnsi" w:eastAsia="SimSun" w:hAnsiTheme="minorHAnsi" w:cstheme="minorBidi"/>
        </w:rPr>
        <w:t>ITU-T SG12 approved five Recommendations and agreed one Supplement.</w:t>
      </w:r>
    </w:p>
    <w:p w14:paraId="6D582B32" w14:textId="77777777" w:rsidR="00D168BE" w:rsidRPr="00D168BE" w:rsidRDefault="00D168BE" w:rsidP="00D168BE">
      <w:pPr>
        <w:tabs>
          <w:tab w:val="clear" w:pos="567"/>
          <w:tab w:val="clear" w:pos="1134"/>
          <w:tab w:val="clear" w:pos="1701"/>
          <w:tab w:val="clear" w:pos="2268"/>
          <w:tab w:val="clear" w:pos="2835"/>
        </w:tabs>
        <w:jc w:val="both"/>
        <w:outlineLvl w:val="1"/>
        <w:rPr>
          <w:rFonts w:eastAsia="SimSun"/>
          <w:b/>
        </w:rPr>
      </w:pPr>
      <w:r w:rsidRPr="00D168BE">
        <w:rPr>
          <w:rFonts w:asciiTheme="minorHAnsi" w:eastAsia="SimSun" w:hAnsiTheme="minorHAnsi" w:cstheme="minorBidi"/>
          <w:b/>
        </w:rPr>
        <w:t>2.6</w:t>
      </w:r>
      <w:r w:rsidRPr="00D168BE">
        <w:rPr>
          <w:rFonts w:eastAsia="SimSun"/>
          <w:b/>
        </w:rPr>
        <w:tab/>
      </w:r>
      <w:r w:rsidRPr="00D168BE">
        <w:rPr>
          <w:rFonts w:asciiTheme="minorHAnsi" w:eastAsia="SimSun" w:hAnsiTheme="minorHAnsi" w:cstheme="minorBidi"/>
          <w:b/>
        </w:rPr>
        <w:t xml:space="preserve">IP-based Cloud computing and Big Data: </w:t>
      </w:r>
      <w:r w:rsidRPr="00D168BE">
        <w:rPr>
          <w:rFonts w:asciiTheme="minorHAnsi" w:eastAsia="SimSun" w:hAnsiTheme="minorHAnsi" w:cstheme="minorBidi"/>
        </w:rPr>
        <w:t>ITU-T SG13 approved seven Recommendations</w:t>
      </w:r>
      <w:r w:rsidRPr="00D168BE">
        <w:rPr>
          <w:rFonts w:eastAsia="SimSun"/>
          <w:b/>
        </w:rPr>
        <w:t>;</w:t>
      </w:r>
      <w:r w:rsidRPr="00D168BE">
        <w:rPr>
          <w:rFonts w:eastAsia="SimSun"/>
        </w:rPr>
        <w:t xml:space="preserve"> SG17 approved three Recommendations.</w:t>
      </w:r>
      <w:r w:rsidRPr="00D168BE">
        <w:rPr>
          <w:rFonts w:eastAsia="Calibri" w:cs="Calibri"/>
          <w:szCs w:val="24"/>
        </w:rPr>
        <w:t xml:space="preserve"> ITU-T SG11 developed four Recommendations on computing power network and edge computing.</w:t>
      </w:r>
    </w:p>
    <w:p w14:paraId="6A7E1AAB" w14:textId="007EF106" w:rsidR="00D168BE" w:rsidRPr="00D168BE" w:rsidRDefault="00D168BE" w:rsidP="00D168BE">
      <w:pPr>
        <w:tabs>
          <w:tab w:val="clear" w:pos="567"/>
          <w:tab w:val="clear" w:pos="1134"/>
          <w:tab w:val="clear" w:pos="1701"/>
          <w:tab w:val="clear" w:pos="2268"/>
          <w:tab w:val="clear" w:pos="2835"/>
        </w:tabs>
        <w:spacing w:line="259" w:lineRule="auto"/>
        <w:jc w:val="both"/>
        <w:outlineLvl w:val="1"/>
        <w:rPr>
          <w:rFonts w:eastAsia="SimSun"/>
        </w:rPr>
      </w:pPr>
      <w:bookmarkStart w:id="21" w:name="_Hlk163199926"/>
      <w:r w:rsidRPr="00D168BE">
        <w:rPr>
          <w:rFonts w:asciiTheme="minorHAnsi" w:eastAsia="SimSun" w:hAnsiTheme="minorHAnsi" w:cstheme="minorBidi"/>
          <w:b/>
        </w:rPr>
        <w:t>2.</w:t>
      </w:r>
      <w:r w:rsidR="00160CC9">
        <w:rPr>
          <w:rFonts w:asciiTheme="minorHAnsi" w:eastAsia="SimSun" w:hAnsiTheme="minorHAnsi" w:cstheme="minorBidi"/>
          <w:b/>
        </w:rPr>
        <w:t>7</w:t>
      </w:r>
      <w:r w:rsidRPr="00D168BE">
        <w:rPr>
          <w:rFonts w:eastAsia="SimSun"/>
          <w:b/>
        </w:rPr>
        <w:tab/>
      </w:r>
      <w:r w:rsidRPr="00D168BE">
        <w:rPr>
          <w:rFonts w:asciiTheme="minorHAnsi" w:eastAsia="SimSun" w:hAnsiTheme="minorHAnsi" w:cstheme="minorBidi"/>
          <w:b/>
        </w:rPr>
        <w:t xml:space="preserve">Security: </w:t>
      </w:r>
      <w:r w:rsidRPr="00D168BE">
        <w:rPr>
          <w:rFonts w:eastAsia="SimSun"/>
        </w:rPr>
        <w:t xml:space="preserve">ITU-T SG17 approved 20+ Recommendations on countering cyberattack/spam, personal identifiable information protection, authentication, and quantum-based security technologies. A separate report on ITU’s activities related to building confidence and security in the use of ICTs, including SG17’s work, is presented as Document </w:t>
      </w:r>
      <w:hyperlink r:id="rId42" w:history="1">
        <w:r w:rsidRPr="00D168BE">
          <w:rPr>
            <w:rStyle w:val="Hyperlink"/>
            <w:rFonts w:eastAsia="SimSun"/>
          </w:rPr>
          <w:t>C2</w:t>
        </w:r>
        <w:r w:rsidRPr="00D168BE">
          <w:rPr>
            <w:rStyle w:val="Hyperlink"/>
            <w:rFonts w:asciiTheme="minorHAnsi" w:eastAsia="SimSun" w:hAnsiTheme="minorHAnsi" w:cstheme="minorBidi"/>
            <w:bCs/>
          </w:rPr>
          <w:t>4</w:t>
        </w:r>
        <w:r w:rsidRPr="00D168BE">
          <w:rPr>
            <w:rStyle w:val="Hyperlink"/>
            <w:rFonts w:eastAsia="SimSun"/>
          </w:rPr>
          <w:t>/</w:t>
        </w:r>
        <w:r w:rsidR="00FE0E43" w:rsidRPr="00FE0E43">
          <w:rPr>
            <w:rStyle w:val="Hyperlink"/>
            <w:rFonts w:eastAsia="SimSun"/>
          </w:rPr>
          <w:t>18</w:t>
        </w:r>
      </w:hyperlink>
      <w:r w:rsidRPr="00D168BE">
        <w:rPr>
          <w:rFonts w:eastAsia="SimSun"/>
        </w:rPr>
        <w:t>.</w:t>
      </w:r>
      <w:bookmarkEnd w:id="21"/>
    </w:p>
    <w:p w14:paraId="02D1F58E" w14:textId="14E029D5" w:rsidR="00D168BE" w:rsidRPr="00D168BE" w:rsidRDefault="00D168BE" w:rsidP="00D168BE">
      <w:pPr>
        <w:tabs>
          <w:tab w:val="clear" w:pos="567"/>
          <w:tab w:val="clear" w:pos="1134"/>
          <w:tab w:val="clear" w:pos="1701"/>
          <w:tab w:val="clear" w:pos="2268"/>
          <w:tab w:val="clear" w:pos="2835"/>
        </w:tabs>
        <w:spacing w:line="259" w:lineRule="auto"/>
        <w:jc w:val="both"/>
        <w:outlineLvl w:val="1"/>
        <w:rPr>
          <w:rFonts w:eastAsia="SimSun"/>
        </w:rPr>
      </w:pPr>
      <w:r w:rsidRPr="00D168BE">
        <w:rPr>
          <w:rFonts w:asciiTheme="minorHAnsi" w:eastAsia="SimSun" w:hAnsiTheme="minorHAnsi" w:cstheme="minorBidi"/>
          <w:b/>
        </w:rPr>
        <w:t>2.</w:t>
      </w:r>
      <w:r w:rsidR="00160CC9">
        <w:rPr>
          <w:rFonts w:asciiTheme="minorHAnsi" w:eastAsia="SimSun" w:hAnsiTheme="minorHAnsi" w:cstheme="minorBidi"/>
          <w:b/>
        </w:rPr>
        <w:t>8</w:t>
      </w:r>
      <w:r w:rsidRPr="00D168BE">
        <w:rPr>
          <w:rFonts w:asciiTheme="minorHAnsi" w:eastAsia="SimSun" w:hAnsiTheme="minorHAnsi" w:cstheme="minorBidi"/>
          <w:b/>
          <w:szCs w:val="24"/>
        </w:rPr>
        <w:tab/>
      </w:r>
      <w:r w:rsidRPr="00D168BE">
        <w:rPr>
          <w:rFonts w:asciiTheme="minorHAnsi" w:eastAsia="SimSun" w:hAnsiTheme="minorHAnsi" w:cstheme="minorBidi"/>
          <w:b/>
        </w:rPr>
        <w:t xml:space="preserve">ITU-T Focus Groups: </w:t>
      </w:r>
      <w:r w:rsidRPr="00D168BE">
        <w:rPr>
          <w:rFonts w:asciiTheme="minorHAnsi" w:eastAsia="SimSun" w:hAnsiTheme="minorHAnsi" w:cstheme="minorBidi"/>
        </w:rPr>
        <w:t xml:space="preserve">In total, seven ITU-T Focus Groups are active: </w:t>
      </w:r>
      <w:hyperlink r:id="rId43" w:history="1">
        <w:r w:rsidRPr="00D168BE">
          <w:rPr>
            <w:rFonts w:asciiTheme="minorHAnsi" w:eastAsia="SimSun" w:hAnsiTheme="minorHAnsi" w:cstheme="minorBidi"/>
            <w:i/>
            <w:iCs/>
            <w:color w:val="0563C1"/>
            <w:u w:val="single"/>
          </w:rPr>
          <w:t>ITU-T Focus Group on Metaverse (FG-MV)</w:t>
        </w:r>
      </w:hyperlink>
      <w:r w:rsidRPr="00D168BE">
        <w:rPr>
          <w:rFonts w:asciiTheme="minorHAnsi" w:eastAsia="SimSun" w:hAnsiTheme="minorHAnsi" w:cstheme="minorBidi"/>
        </w:rPr>
        <w:t xml:space="preserve">; </w:t>
      </w:r>
      <w:hyperlink r:id="rId44" w:history="1">
        <w:r w:rsidRPr="00D168BE">
          <w:rPr>
            <w:rFonts w:asciiTheme="minorHAnsi" w:eastAsia="SimSun" w:hAnsiTheme="minorHAnsi" w:cstheme="minorBidi"/>
            <w:i/>
            <w:iCs/>
            <w:color w:val="0563C1"/>
            <w:u w:val="single"/>
          </w:rPr>
          <w:t>ITU-T Focus Group on Testbeds Federations for IMT-2020 and beyond (FG-</w:t>
        </w:r>
        <w:proofErr w:type="spellStart"/>
        <w:r w:rsidRPr="00D168BE">
          <w:rPr>
            <w:rFonts w:asciiTheme="minorHAnsi" w:eastAsia="SimSun" w:hAnsiTheme="minorHAnsi" w:cstheme="minorBidi"/>
            <w:i/>
            <w:iCs/>
            <w:color w:val="0563C1"/>
            <w:u w:val="single"/>
          </w:rPr>
          <w:t>TBFxG</w:t>
        </w:r>
        <w:proofErr w:type="spellEnd"/>
        <w:r w:rsidRPr="00D168BE">
          <w:rPr>
            <w:rFonts w:asciiTheme="minorHAnsi" w:eastAsia="SimSun" w:hAnsiTheme="minorHAnsi" w:cstheme="minorBidi"/>
            <w:i/>
            <w:iCs/>
            <w:color w:val="0563C1"/>
            <w:u w:val="single"/>
          </w:rPr>
          <w:t>)</w:t>
        </w:r>
      </w:hyperlink>
      <w:r w:rsidRPr="00D168BE">
        <w:rPr>
          <w:rFonts w:asciiTheme="minorHAnsi" w:eastAsia="SimSun" w:hAnsiTheme="minorHAnsi" w:cstheme="minorBidi"/>
          <w:i/>
          <w:iCs/>
        </w:rPr>
        <w:t xml:space="preserve">; </w:t>
      </w:r>
      <w:hyperlink r:id="rId45" w:history="1">
        <w:r w:rsidRPr="00D168BE">
          <w:rPr>
            <w:rFonts w:asciiTheme="minorHAnsi" w:eastAsia="SimSun" w:hAnsiTheme="minorHAnsi" w:cstheme="minorBidi"/>
            <w:i/>
            <w:iCs/>
            <w:color w:val="0563C1"/>
            <w:u w:val="single"/>
          </w:rPr>
          <w:t>ITU-T Focus Group on AI for Natural Disaster Management (FG-AI4NDM)</w:t>
        </w:r>
      </w:hyperlink>
      <w:r w:rsidRPr="00D168BE">
        <w:rPr>
          <w:rFonts w:asciiTheme="minorHAnsi" w:eastAsia="SimSun" w:hAnsiTheme="minorHAnsi" w:cstheme="minorBidi"/>
        </w:rPr>
        <w:t xml:space="preserve">; </w:t>
      </w:r>
      <w:hyperlink r:id="rId46" w:history="1">
        <w:r w:rsidRPr="00D168BE">
          <w:rPr>
            <w:rFonts w:asciiTheme="minorHAnsi" w:eastAsia="SimSun" w:hAnsiTheme="minorHAnsi" w:cstheme="minorBidi"/>
            <w:i/>
            <w:iCs/>
            <w:color w:val="0563C1"/>
            <w:u w:val="single"/>
          </w:rPr>
          <w:t>ITU-T Focus Group on Autonomous Networks (FG-AN)</w:t>
        </w:r>
      </w:hyperlink>
      <w:r w:rsidRPr="00D168BE">
        <w:rPr>
          <w:rFonts w:asciiTheme="minorHAnsi" w:eastAsia="SimSun" w:hAnsiTheme="minorHAnsi" w:cstheme="minorBidi"/>
          <w:i/>
          <w:iCs/>
        </w:rPr>
        <w:t xml:space="preserve">; </w:t>
      </w:r>
      <w:hyperlink r:id="rId47" w:history="1">
        <w:r w:rsidRPr="00D168BE">
          <w:rPr>
            <w:rFonts w:asciiTheme="minorHAnsi" w:eastAsia="SimSun" w:hAnsiTheme="minorHAnsi" w:cstheme="minorBidi"/>
            <w:i/>
            <w:iCs/>
            <w:color w:val="0563C1"/>
            <w:spacing w:val="2"/>
            <w:u w:val="single"/>
            <w:bdr w:val="none" w:sz="0" w:space="0" w:color="auto" w:frame="1"/>
            <w:shd w:val="clear" w:color="auto" w:fill="FFFFFF"/>
          </w:rPr>
          <w:t>ITU-T Focus Group on Artificial Intelligence (AI) and Internet of Things (IoT) for Digital Agriculture</w:t>
        </w:r>
      </w:hyperlink>
      <w:r w:rsidRPr="00D168BE">
        <w:rPr>
          <w:rFonts w:asciiTheme="minorHAnsi" w:eastAsia="SimSun" w:hAnsiTheme="minorHAnsi" w:cstheme="minorBidi"/>
          <w:i/>
          <w:iCs/>
          <w:spacing w:val="2"/>
          <w:bdr w:val="none" w:sz="0" w:space="0" w:color="auto" w:frame="1"/>
          <w:shd w:val="clear" w:color="auto" w:fill="FFFFFF"/>
        </w:rPr>
        <w:t xml:space="preserve"> (FG-AI4A), </w:t>
      </w:r>
      <w:r w:rsidRPr="00D168BE">
        <w:rPr>
          <w:rFonts w:asciiTheme="minorHAnsi" w:eastAsia="SimSun" w:hAnsiTheme="minorHAnsi" w:cstheme="minorBidi"/>
          <w:i/>
          <w:iCs/>
        </w:rPr>
        <w:t xml:space="preserve">and </w:t>
      </w:r>
      <w:hyperlink r:id="rId48" w:history="1">
        <w:r w:rsidRPr="00D168BE">
          <w:rPr>
            <w:rFonts w:eastAsia="Calibri" w:cs="Calibri"/>
            <w:i/>
            <w:iCs/>
            <w:color w:val="0563C1"/>
            <w:szCs w:val="24"/>
            <w:u w:val="single"/>
          </w:rPr>
          <w:t>ITU-T Focus Group on costing models for affordable data services (FG-CD)</w:t>
        </w:r>
      </w:hyperlink>
      <w:r w:rsidRPr="00D168BE">
        <w:rPr>
          <w:rFonts w:eastAsia="Calibri" w:cs="Calibri"/>
          <w:b/>
          <w:color w:val="000000" w:themeColor="text1"/>
          <w:szCs w:val="24"/>
        </w:rPr>
        <w:t>.</w:t>
      </w:r>
    </w:p>
    <w:p w14:paraId="4BC5FD7C" w14:textId="4319EC0E" w:rsidR="00D168BE" w:rsidRPr="00D168BE" w:rsidRDefault="00D168BE" w:rsidP="00D168BE">
      <w:pPr>
        <w:tabs>
          <w:tab w:val="clear" w:pos="567"/>
          <w:tab w:val="clear" w:pos="1134"/>
          <w:tab w:val="clear" w:pos="1701"/>
          <w:tab w:val="clear" w:pos="2268"/>
          <w:tab w:val="clear" w:pos="2835"/>
        </w:tabs>
        <w:overflowPunct/>
        <w:autoSpaceDE/>
        <w:autoSpaceDN/>
        <w:adjustRightInd/>
        <w:jc w:val="both"/>
        <w:textAlignment w:val="auto"/>
        <w:rPr>
          <w:rFonts w:asciiTheme="minorHAnsi" w:eastAsia="SimSun" w:hAnsiTheme="minorHAnsi" w:cstheme="minorBidi"/>
        </w:rPr>
      </w:pPr>
      <w:r w:rsidRPr="00D168BE">
        <w:rPr>
          <w:rFonts w:asciiTheme="minorHAnsi" w:eastAsia="SimSun" w:hAnsiTheme="minorHAnsi" w:cstheme="minorBidi"/>
          <w:b/>
          <w:bCs/>
        </w:rPr>
        <w:lastRenderedPageBreak/>
        <w:t>2.</w:t>
      </w:r>
      <w:r w:rsidR="00160CC9">
        <w:rPr>
          <w:rFonts w:asciiTheme="minorHAnsi" w:eastAsia="SimSun" w:hAnsiTheme="minorHAnsi" w:cstheme="minorBidi"/>
          <w:b/>
          <w:bCs/>
        </w:rPr>
        <w:t>9</w:t>
      </w:r>
      <w:r w:rsidRPr="00D168BE">
        <w:rPr>
          <w:rFonts w:eastAsia="SimSun"/>
        </w:rPr>
        <w:tab/>
      </w:r>
      <w:r w:rsidRPr="00D168BE">
        <w:rPr>
          <w:rFonts w:asciiTheme="minorHAnsi" w:eastAsia="SimSun" w:hAnsiTheme="minorHAnsi" w:cstheme="minorBidi"/>
        </w:rPr>
        <w:t xml:space="preserve">In the reporting period, TSB has not received reports or information on concerning any incidents covered by </w:t>
      </w:r>
      <w:hyperlink r:id="rId49">
        <w:r w:rsidRPr="00D168BE">
          <w:rPr>
            <w:rFonts w:asciiTheme="minorHAnsi" w:eastAsia="SimSun" w:hAnsiTheme="minorHAnsi" w:cstheme="minorBidi"/>
            <w:color w:val="0563C1"/>
            <w:u w:val="single"/>
          </w:rPr>
          <w:t>WTSA Resolution 69</w:t>
        </w:r>
      </w:hyperlink>
      <w:r w:rsidRPr="00D168BE">
        <w:rPr>
          <w:rFonts w:asciiTheme="minorHAnsi" w:eastAsia="SimSun" w:hAnsiTheme="minorHAnsi" w:cstheme="minorBidi"/>
        </w:rPr>
        <w:t xml:space="preserve"> on </w:t>
      </w:r>
      <w:r w:rsidRPr="00D168BE">
        <w:rPr>
          <w:rFonts w:asciiTheme="minorHAnsi" w:eastAsia="SimSun" w:hAnsiTheme="minorHAnsi" w:cstheme="minorBidi"/>
          <w:i/>
          <w:iCs/>
        </w:rPr>
        <w:t>“Non-discriminatory access and use of Internet resources”</w:t>
      </w:r>
      <w:r w:rsidRPr="00D168BE">
        <w:rPr>
          <w:rFonts w:asciiTheme="minorHAnsi" w:eastAsia="SimSun" w:hAnsiTheme="minorHAnsi" w:cstheme="minorBidi"/>
        </w:rPr>
        <w:t xml:space="preserve"> (so far there have been </w:t>
      </w:r>
      <w:hyperlink r:id="rId50">
        <w:r w:rsidRPr="00D168BE">
          <w:rPr>
            <w:rFonts w:asciiTheme="minorHAnsi" w:eastAsia="SimSun" w:hAnsiTheme="minorHAnsi" w:cstheme="minorBidi"/>
            <w:color w:val="0563C1"/>
            <w:u w:val="single"/>
          </w:rPr>
          <w:t>37 incidents since 2009</w:t>
        </w:r>
      </w:hyperlink>
      <w:r w:rsidRPr="00D168BE">
        <w:rPr>
          <w:rFonts w:asciiTheme="minorHAnsi" w:eastAsia="SimSun" w:hAnsiTheme="minorHAnsi" w:cstheme="minorBidi"/>
          <w:color w:val="0563C1"/>
          <w:u w:val="single"/>
        </w:rPr>
        <w:t>)</w:t>
      </w:r>
      <w:r w:rsidRPr="00D168BE">
        <w:rPr>
          <w:rFonts w:asciiTheme="minorHAnsi" w:eastAsia="SimSun" w:hAnsiTheme="minorHAnsi" w:cstheme="minorBidi"/>
        </w:rPr>
        <w:t>.</w:t>
      </w:r>
    </w:p>
    <w:p w14:paraId="059A6109" w14:textId="0BE76561"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Bidi"/>
          <w:spacing w:val="-2"/>
        </w:rPr>
      </w:pPr>
      <w:bookmarkStart w:id="22" w:name="a353677d2-7347-4cd3-8301-15d8ee365aeb"/>
      <w:bookmarkStart w:id="23" w:name="_Hlk500492095"/>
      <w:bookmarkEnd w:id="22"/>
      <w:r w:rsidRPr="00D168BE">
        <w:rPr>
          <w:rFonts w:asciiTheme="minorHAnsi" w:eastAsia="SimSun" w:hAnsiTheme="minorHAnsi" w:cstheme="minorBidi"/>
          <w:b/>
          <w:bCs/>
          <w:spacing w:val="-2"/>
        </w:rPr>
        <w:t>2.1</w:t>
      </w:r>
      <w:r w:rsidR="00160CC9">
        <w:rPr>
          <w:rFonts w:asciiTheme="minorHAnsi" w:eastAsia="SimSun" w:hAnsiTheme="minorHAnsi" w:cstheme="minorBidi"/>
          <w:b/>
          <w:bCs/>
          <w:spacing w:val="-2"/>
        </w:rPr>
        <w:t>0</w:t>
      </w:r>
      <w:r w:rsidRPr="00D168BE">
        <w:rPr>
          <w:rFonts w:asciiTheme="minorHAnsi" w:eastAsia="SimSun" w:hAnsiTheme="minorHAnsi" w:cstheme="minorBidi"/>
          <w:spacing w:val="-2"/>
        </w:rPr>
        <w:tab/>
        <w:t>The TSB Director, Mr Seizo Onoe, was invited to and addressed the IETF #116 meeting on 29 March 2023 in Yokohama, Japan.</w:t>
      </w:r>
    </w:p>
    <w:p w14:paraId="0E89385E" w14:textId="09AFC616"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Bidi"/>
          <w:szCs w:val="24"/>
        </w:rPr>
      </w:pPr>
      <w:r w:rsidRPr="00D168BE">
        <w:rPr>
          <w:rFonts w:asciiTheme="minorHAnsi" w:eastAsia="SimSun" w:hAnsiTheme="minorHAnsi" w:cstheme="minorBidi"/>
          <w:b/>
          <w:bCs/>
          <w:szCs w:val="24"/>
        </w:rPr>
        <w:t>2.1</w:t>
      </w:r>
      <w:r w:rsidR="00160CC9">
        <w:rPr>
          <w:rFonts w:asciiTheme="minorHAnsi" w:eastAsia="SimSun" w:hAnsiTheme="minorHAnsi" w:cstheme="minorBidi"/>
          <w:b/>
          <w:bCs/>
          <w:szCs w:val="24"/>
        </w:rPr>
        <w:t>1</w:t>
      </w:r>
      <w:r w:rsidRPr="00D168BE">
        <w:rPr>
          <w:rFonts w:eastAsia="SimSun"/>
          <w:szCs w:val="24"/>
        </w:rPr>
        <w:tab/>
      </w:r>
      <w:r w:rsidRPr="00D168BE">
        <w:rPr>
          <w:rFonts w:asciiTheme="minorHAnsi" w:eastAsia="SimSun" w:hAnsiTheme="minorHAnsi" w:cstheme="minorBidi"/>
          <w:szCs w:val="24"/>
        </w:rPr>
        <w:t xml:space="preserve">ITU-D SG 1 and SG 2 continue their work on IP-related issues. Q1/1 is working on </w:t>
      </w:r>
      <w:r w:rsidRPr="00D168BE">
        <w:rPr>
          <w:rFonts w:asciiTheme="minorHAnsi" w:eastAsia="SimSun" w:hAnsiTheme="minorHAnsi" w:cstheme="minorBidi"/>
          <w:i/>
          <w:iCs/>
          <w:szCs w:val="24"/>
        </w:rPr>
        <w:t>“Strategies and policies for the deployment of broadband in developing countries”</w:t>
      </w:r>
      <w:r w:rsidRPr="00D168BE">
        <w:rPr>
          <w:rFonts w:asciiTheme="minorHAnsi" w:eastAsia="SimSun" w:hAnsiTheme="minorHAnsi" w:cstheme="minorBidi"/>
          <w:szCs w:val="24"/>
        </w:rPr>
        <w:t xml:space="preserve">. </w:t>
      </w:r>
    </w:p>
    <w:bookmarkEnd w:id="23"/>
    <w:p w14:paraId="41441410" w14:textId="68DF32F0"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Bidi"/>
        </w:rPr>
      </w:pPr>
      <w:r w:rsidRPr="00D168BE">
        <w:rPr>
          <w:rFonts w:asciiTheme="minorHAnsi" w:eastAsia="SimSun" w:hAnsiTheme="minorHAnsi" w:cstheme="minorBidi"/>
          <w:b/>
          <w:bCs/>
        </w:rPr>
        <w:t>2.1</w:t>
      </w:r>
      <w:r w:rsidR="00160CC9">
        <w:rPr>
          <w:rFonts w:asciiTheme="minorHAnsi" w:eastAsia="SimSun" w:hAnsiTheme="minorHAnsi" w:cstheme="minorBidi"/>
          <w:b/>
          <w:bCs/>
          <w:lang w:eastAsia="zh-CN"/>
        </w:rPr>
        <w:t>2</w:t>
      </w:r>
      <w:r w:rsidRPr="00D168BE">
        <w:rPr>
          <w:rFonts w:eastAsia="SimSun"/>
        </w:rPr>
        <w:tab/>
      </w:r>
      <w:r w:rsidRPr="00D168BE">
        <w:rPr>
          <w:rFonts w:asciiTheme="minorHAnsi" w:eastAsia="SimSun" w:hAnsiTheme="minorHAnsi" w:cstheme="minorBidi"/>
        </w:rPr>
        <w:t xml:space="preserve"> Projects have been implemented successfully by BDT on Internet broadband wireless connectivity to provide free or low-cost digital access for schools and hospitals, and for underserved populations in rural and remote areas in selected countries. The impact for the countries where projects have been implemented includes but is not limited to: </w:t>
      </w:r>
    </w:p>
    <w:p w14:paraId="6BC28034" w14:textId="77777777" w:rsidR="00D168BE" w:rsidRPr="00D168BE" w:rsidRDefault="00D168BE" w:rsidP="00060D2C">
      <w:pPr>
        <w:tabs>
          <w:tab w:val="clear" w:pos="567"/>
          <w:tab w:val="clear" w:pos="1134"/>
          <w:tab w:val="clear" w:pos="1701"/>
          <w:tab w:val="clear" w:pos="2268"/>
          <w:tab w:val="clear" w:pos="2835"/>
        </w:tabs>
        <w:snapToGrid w:val="0"/>
        <w:ind w:left="709" w:hanging="425"/>
        <w:jc w:val="both"/>
        <w:rPr>
          <w:rFonts w:asciiTheme="minorHAnsi" w:eastAsia="SimSun" w:hAnsiTheme="minorHAnsi" w:cstheme="minorBidi"/>
        </w:rPr>
      </w:pPr>
      <w:r w:rsidRPr="00D168BE">
        <w:rPr>
          <w:rFonts w:asciiTheme="minorHAnsi" w:eastAsia="SimSun" w:hAnsiTheme="minorHAnsi" w:cstheme="minorBidi"/>
        </w:rPr>
        <w:t xml:space="preserve">- </w:t>
      </w:r>
      <w:r w:rsidRPr="00D168BE">
        <w:rPr>
          <w:rFonts w:asciiTheme="minorHAnsi" w:eastAsia="SimSun" w:hAnsiTheme="minorHAnsi" w:cstheme="minorBidi"/>
        </w:rPr>
        <w:tab/>
      </w:r>
      <w:r w:rsidRPr="00D168BE">
        <w:rPr>
          <w:rFonts w:asciiTheme="minorHAnsi" w:eastAsia="SimSun" w:hAnsiTheme="minorHAnsi" w:cstheme="minorBidi"/>
          <w:spacing w:val="-2"/>
        </w:rPr>
        <w:t>Burundi: 10 cities connected in 2.5 GHz frequency band, 15 engineers trained for operations and maintenance, and 437 schools, hospitals and Government agencies connected.</w:t>
      </w:r>
    </w:p>
    <w:p w14:paraId="1FBD354B" w14:textId="77777777" w:rsidR="00D168BE" w:rsidRPr="00D168BE" w:rsidRDefault="00D168BE" w:rsidP="00060D2C">
      <w:pPr>
        <w:tabs>
          <w:tab w:val="clear" w:pos="567"/>
          <w:tab w:val="clear" w:pos="1134"/>
          <w:tab w:val="clear" w:pos="1701"/>
          <w:tab w:val="clear" w:pos="2268"/>
          <w:tab w:val="clear" w:pos="2835"/>
        </w:tabs>
        <w:snapToGrid w:val="0"/>
        <w:ind w:left="709" w:hanging="425"/>
        <w:jc w:val="both"/>
        <w:rPr>
          <w:rFonts w:asciiTheme="minorHAnsi" w:eastAsia="SimSun" w:hAnsiTheme="minorHAnsi" w:cstheme="minorBidi"/>
        </w:rPr>
      </w:pPr>
      <w:r w:rsidRPr="00D168BE">
        <w:rPr>
          <w:rFonts w:asciiTheme="minorHAnsi" w:eastAsia="SimSun" w:hAnsiTheme="minorHAnsi" w:cstheme="minorBidi"/>
        </w:rPr>
        <w:t xml:space="preserve">- </w:t>
      </w:r>
      <w:r w:rsidRPr="00D168BE">
        <w:rPr>
          <w:rFonts w:asciiTheme="minorHAnsi" w:eastAsia="SimSun" w:hAnsiTheme="minorHAnsi" w:cstheme="minorBidi"/>
        </w:rPr>
        <w:tab/>
        <w:t>Djibouti: 20 cities connected in 2.5 GHz Frequency Band, and 48 Schools, 43 Hospitals/clinics and 23 Ministries connected.</w:t>
      </w:r>
    </w:p>
    <w:p w14:paraId="38B22F06" w14:textId="77777777" w:rsidR="00D168BE" w:rsidRPr="00D168BE" w:rsidRDefault="00D168BE" w:rsidP="00060D2C">
      <w:pPr>
        <w:tabs>
          <w:tab w:val="clear" w:pos="567"/>
          <w:tab w:val="clear" w:pos="1134"/>
          <w:tab w:val="clear" w:pos="1701"/>
          <w:tab w:val="clear" w:pos="2268"/>
          <w:tab w:val="clear" w:pos="2835"/>
        </w:tabs>
        <w:snapToGrid w:val="0"/>
        <w:ind w:left="709" w:hanging="425"/>
        <w:jc w:val="both"/>
        <w:rPr>
          <w:rFonts w:asciiTheme="minorHAnsi" w:eastAsia="SimSun" w:hAnsiTheme="minorHAnsi" w:cstheme="minorBidi"/>
        </w:rPr>
      </w:pPr>
      <w:r w:rsidRPr="00D168BE">
        <w:rPr>
          <w:rFonts w:asciiTheme="minorHAnsi" w:eastAsia="SimSun" w:hAnsiTheme="minorHAnsi" w:cstheme="minorBidi"/>
        </w:rPr>
        <w:t xml:space="preserve">- </w:t>
      </w:r>
      <w:r w:rsidRPr="00D168BE">
        <w:rPr>
          <w:rFonts w:asciiTheme="minorHAnsi" w:eastAsia="SimSun" w:hAnsiTheme="minorHAnsi" w:cstheme="minorBidi"/>
        </w:rPr>
        <w:tab/>
        <w:t>Eswatini: 4G LTE Broadband Wireless Network installed in 10 sites and 15 technical training sessions completed for local experts on the RF Monitoring and Planning and Operation and Maintenance of the deployed 4G LTE Broadband Wireless Network.</w:t>
      </w:r>
    </w:p>
    <w:p w14:paraId="26C2DC89" w14:textId="45484007"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Bidi"/>
        </w:rPr>
      </w:pPr>
      <w:r w:rsidRPr="00D168BE">
        <w:rPr>
          <w:rFonts w:asciiTheme="minorHAnsi" w:eastAsia="SimSun" w:hAnsiTheme="minorHAnsi" w:cstheme="minorBidi"/>
        </w:rPr>
        <w:t xml:space="preserve">Other initiatives are also ongoing related to this subject such as GIGA and Partner2Connect. More information is available in </w:t>
      </w:r>
      <w:hyperlink r:id="rId51" w:history="1">
        <w:r w:rsidRPr="00D168BE">
          <w:rPr>
            <w:rStyle w:val="Hyperlink"/>
            <w:rFonts w:asciiTheme="minorHAnsi" w:eastAsia="SimSun" w:hAnsiTheme="minorHAnsi" w:cstheme="minorBidi"/>
          </w:rPr>
          <w:t>C24/35</w:t>
        </w:r>
      </w:hyperlink>
      <w:r w:rsidRPr="00D168BE">
        <w:rPr>
          <w:rFonts w:asciiTheme="minorHAnsi" w:eastAsia="SimSun" w:hAnsiTheme="minorHAnsi" w:cstheme="minorBidi"/>
        </w:rPr>
        <w:t>.</w:t>
      </w:r>
    </w:p>
    <w:p w14:paraId="1C934811" w14:textId="2AEEEB13"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Bidi"/>
          <w:szCs w:val="24"/>
        </w:rPr>
      </w:pPr>
      <w:r w:rsidRPr="00D168BE">
        <w:rPr>
          <w:rFonts w:asciiTheme="minorHAnsi" w:eastAsia="SimSun" w:hAnsiTheme="minorHAnsi" w:cstheme="minorBidi"/>
          <w:b/>
          <w:bCs/>
          <w:szCs w:val="24"/>
        </w:rPr>
        <w:t>2.</w:t>
      </w:r>
      <w:r w:rsidRPr="00D168BE">
        <w:rPr>
          <w:rFonts w:asciiTheme="minorHAnsi" w:eastAsia="SimSun" w:hAnsiTheme="minorHAnsi" w:cstheme="minorBidi" w:hint="eastAsia"/>
          <w:b/>
          <w:bCs/>
          <w:szCs w:val="24"/>
          <w:lang w:eastAsia="zh-CN"/>
        </w:rPr>
        <w:t>1</w:t>
      </w:r>
      <w:r w:rsidR="00160CC9">
        <w:rPr>
          <w:rFonts w:asciiTheme="minorHAnsi" w:eastAsia="SimSun" w:hAnsiTheme="minorHAnsi" w:cstheme="minorBidi"/>
          <w:b/>
          <w:bCs/>
          <w:szCs w:val="24"/>
          <w:lang w:eastAsia="zh-CN"/>
        </w:rPr>
        <w:t>3</w:t>
      </w:r>
      <w:r w:rsidRPr="00D168BE">
        <w:rPr>
          <w:rFonts w:eastAsia="SimSun"/>
          <w:szCs w:val="24"/>
        </w:rPr>
        <w:tab/>
      </w:r>
      <w:r w:rsidRPr="00D168BE">
        <w:rPr>
          <w:rFonts w:asciiTheme="minorHAnsi" w:eastAsia="SimSun" w:hAnsiTheme="minorHAnsi" w:cstheme="minorBidi"/>
          <w:szCs w:val="24"/>
        </w:rPr>
        <w:t xml:space="preserve">ITU-R approved Recommendation ITU-R M.2083-0 </w:t>
      </w:r>
      <w:r w:rsidRPr="00D168BE">
        <w:rPr>
          <w:rFonts w:asciiTheme="minorHAnsi" w:eastAsia="SimSun" w:hAnsiTheme="minorHAnsi" w:cstheme="minorBidi"/>
          <w:i/>
          <w:iCs/>
          <w:szCs w:val="24"/>
        </w:rPr>
        <w:t>“IMT Vision – Framework and overall objectives of the future development of IMT for 2020 and beyond”</w:t>
      </w:r>
      <w:r w:rsidRPr="00D168BE">
        <w:rPr>
          <w:rFonts w:asciiTheme="minorHAnsi" w:eastAsia="SimSun" w:hAnsiTheme="minorHAnsi" w:cstheme="minorBidi"/>
          <w:szCs w:val="24"/>
        </w:rPr>
        <w:t xml:space="preserve">, Resolutions ITU-R 65 </w:t>
      </w:r>
      <w:r w:rsidRPr="00D168BE">
        <w:rPr>
          <w:rFonts w:asciiTheme="minorHAnsi" w:eastAsia="SimSun" w:hAnsiTheme="minorHAnsi" w:cstheme="minorBidi"/>
          <w:i/>
          <w:iCs/>
          <w:szCs w:val="24"/>
        </w:rPr>
        <w:t>“Principles for the process of future development of IMT for 2020 and beyond”</w:t>
      </w:r>
      <w:r w:rsidRPr="00D168BE">
        <w:rPr>
          <w:rFonts w:asciiTheme="minorHAnsi" w:eastAsia="SimSun" w:hAnsiTheme="minorHAnsi" w:cstheme="minorBidi"/>
          <w:szCs w:val="24"/>
        </w:rPr>
        <w:t xml:space="preserve"> and ITU-R 66 </w:t>
      </w:r>
      <w:r w:rsidRPr="00D168BE">
        <w:rPr>
          <w:rFonts w:asciiTheme="minorHAnsi" w:eastAsia="SimSun" w:hAnsiTheme="minorHAnsi" w:cstheme="minorBidi"/>
          <w:i/>
          <w:iCs/>
          <w:szCs w:val="24"/>
        </w:rPr>
        <w:t>“Studies related to wireless systems and applications for the development of the Internet of Things”</w:t>
      </w:r>
      <w:r w:rsidRPr="00D168BE">
        <w:rPr>
          <w:rFonts w:asciiTheme="minorHAnsi" w:eastAsia="SimSun" w:hAnsiTheme="minorHAnsi" w:cstheme="minorBidi"/>
          <w:szCs w:val="24"/>
        </w:rPr>
        <w:t xml:space="preserve">, and Report ITU-R M.2440-0 </w:t>
      </w:r>
      <w:r w:rsidRPr="00D168BE">
        <w:rPr>
          <w:rFonts w:asciiTheme="minorHAnsi" w:eastAsia="SimSun" w:hAnsiTheme="minorHAnsi" w:cstheme="minorBidi"/>
          <w:i/>
          <w:iCs/>
          <w:szCs w:val="24"/>
        </w:rPr>
        <w:t>“The use of the terrestrial component of International Mobile Telecommunications for narrowband and broadband machine-type communications”</w:t>
      </w:r>
      <w:r w:rsidRPr="00D168BE">
        <w:rPr>
          <w:rFonts w:asciiTheme="minorHAnsi" w:eastAsia="SimSun" w:hAnsiTheme="minorHAnsi" w:cstheme="minorBidi"/>
          <w:szCs w:val="24"/>
        </w:rPr>
        <w:t>.</w:t>
      </w:r>
    </w:p>
    <w:p w14:paraId="594074EA" w14:textId="303C5045"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Bidi"/>
        </w:rPr>
      </w:pPr>
      <w:r w:rsidRPr="00D168BE">
        <w:rPr>
          <w:rFonts w:asciiTheme="minorHAnsi" w:eastAsia="SimSun" w:hAnsiTheme="minorHAnsi" w:cstheme="minorBidi"/>
          <w:b/>
          <w:bCs/>
        </w:rPr>
        <w:t>2.</w:t>
      </w:r>
      <w:r w:rsidRPr="00D168BE">
        <w:rPr>
          <w:rFonts w:asciiTheme="minorHAnsi" w:eastAsia="SimSun" w:hAnsiTheme="minorHAnsi" w:cstheme="minorBidi"/>
          <w:b/>
          <w:bCs/>
          <w:lang w:eastAsia="zh-CN"/>
        </w:rPr>
        <w:t>1</w:t>
      </w:r>
      <w:r w:rsidR="00160CC9">
        <w:rPr>
          <w:rFonts w:asciiTheme="minorHAnsi" w:eastAsia="SimSun" w:hAnsiTheme="minorHAnsi" w:cstheme="minorBidi"/>
          <w:b/>
          <w:bCs/>
          <w:lang w:eastAsia="zh-CN"/>
        </w:rPr>
        <w:t>4</w:t>
      </w:r>
      <w:r w:rsidRPr="00D168BE">
        <w:rPr>
          <w:rFonts w:eastAsia="SimSun"/>
          <w:szCs w:val="24"/>
        </w:rPr>
        <w:tab/>
      </w:r>
      <w:r w:rsidRPr="00D168BE">
        <w:rPr>
          <w:rFonts w:asciiTheme="minorHAnsi" w:eastAsia="SimSun" w:hAnsiTheme="minorHAnsi" w:cstheme="minorBidi"/>
        </w:rPr>
        <w:t xml:space="preserve">Several training courses were provided through the </w:t>
      </w:r>
      <w:hyperlink r:id="rId52">
        <w:r w:rsidRPr="00D168BE">
          <w:rPr>
            <w:rFonts w:asciiTheme="minorHAnsi" w:eastAsia="SimSun" w:hAnsiTheme="minorHAnsi" w:cstheme="minorBidi"/>
            <w:color w:val="0563C1"/>
            <w:u w:val="single"/>
          </w:rPr>
          <w:t>ITU Academy</w:t>
        </w:r>
      </w:hyperlink>
      <w:r w:rsidRPr="00D168BE">
        <w:rPr>
          <w:rFonts w:asciiTheme="minorHAnsi" w:eastAsia="SimSun" w:hAnsiTheme="minorHAnsi" w:cstheme="minorBidi"/>
        </w:rPr>
        <w:t xml:space="preserve"> and the </w:t>
      </w:r>
      <w:hyperlink r:id="rId53">
        <w:r w:rsidRPr="00D168BE">
          <w:rPr>
            <w:rFonts w:asciiTheme="minorHAnsi" w:eastAsia="SimSun" w:hAnsiTheme="minorHAnsi" w:cstheme="minorBidi"/>
            <w:color w:val="0563C1"/>
            <w:u w:val="single"/>
          </w:rPr>
          <w:t xml:space="preserve">ITU Academy Training </w:t>
        </w:r>
        <w:proofErr w:type="spellStart"/>
        <w:r w:rsidRPr="00D168BE">
          <w:rPr>
            <w:rFonts w:asciiTheme="minorHAnsi" w:eastAsia="SimSun" w:hAnsiTheme="minorHAnsi" w:cstheme="minorBidi"/>
            <w:color w:val="0563C1"/>
            <w:u w:val="single"/>
          </w:rPr>
          <w:t>Centers</w:t>
        </w:r>
        <w:proofErr w:type="spellEnd"/>
      </w:hyperlink>
      <w:r w:rsidRPr="00D168BE">
        <w:rPr>
          <w:rFonts w:asciiTheme="minorHAnsi" w:eastAsia="SimSun" w:hAnsiTheme="minorHAnsi" w:cstheme="minorBidi"/>
        </w:rPr>
        <w:t xml:space="preserve">, covering topics such as </w:t>
      </w:r>
      <w:r w:rsidRPr="00D168BE">
        <w:rPr>
          <w:rFonts w:asciiTheme="minorHAnsi" w:eastAsia="SimSun" w:hAnsiTheme="minorHAnsi" w:cstheme="minorBidi"/>
          <w:shd w:val="clear" w:color="auto" w:fill="FFFFFF"/>
        </w:rPr>
        <w:t>“</w:t>
      </w:r>
      <w:r w:rsidRPr="00D168BE">
        <w:rPr>
          <w:rFonts w:asciiTheme="minorHAnsi" w:eastAsia="SimSun" w:hAnsiTheme="minorHAnsi" w:cstheme="minorBidi"/>
        </w:rPr>
        <w:t xml:space="preserve"> Wireless access technologies to internet network",  "Key technologies and governance of Internet of Things, Big Data and Artificial Intelligence</w:t>
      </w:r>
      <w:r w:rsidRPr="00D168BE">
        <w:rPr>
          <w:rFonts w:asciiTheme="minorHAnsi" w:eastAsia="SimSun" w:hAnsiTheme="minorHAnsi" w:cstheme="minorBidi"/>
          <w:shd w:val="clear" w:color="auto" w:fill="FFFFFF"/>
        </w:rPr>
        <w:t>”, and “The Last Mile Internet Connectivity”</w:t>
      </w:r>
      <w:r w:rsidRPr="00D168BE">
        <w:rPr>
          <w:rFonts w:asciiTheme="minorHAnsi" w:eastAsia="SimSun" w:hAnsiTheme="minorHAnsi" w:cstheme="minorBidi"/>
        </w:rPr>
        <w:t>. A total of 794 participants took those courses, of which 306 received a certificate.</w:t>
      </w:r>
    </w:p>
    <w:p w14:paraId="18D20C74" w14:textId="77777777" w:rsidR="00D168BE" w:rsidRPr="00D168BE" w:rsidRDefault="00D168BE" w:rsidP="00060D2C">
      <w:pPr>
        <w:keepNext/>
        <w:keepLines/>
        <w:tabs>
          <w:tab w:val="clear" w:pos="567"/>
          <w:tab w:val="clear" w:pos="1134"/>
          <w:tab w:val="clear" w:pos="1701"/>
          <w:tab w:val="clear" w:pos="2268"/>
          <w:tab w:val="clear" w:pos="2835"/>
        </w:tabs>
        <w:snapToGrid w:val="0"/>
        <w:spacing w:before="360"/>
        <w:ind w:left="686" w:hanging="686"/>
        <w:jc w:val="both"/>
        <w:outlineLvl w:val="0"/>
        <w:rPr>
          <w:rFonts w:asciiTheme="minorHAnsi" w:eastAsia="SimSun" w:hAnsiTheme="minorHAnsi" w:cstheme="minorBidi"/>
          <w:b/>
          <w:szCs w:val="24"/>
        </w:rPr>
      </w:pPr>
      <w:r w:rsidRPr="00D168BE">
        <w:rPr>
          <w:rFonts w:asciiTheme="minorHAnsi" w:eastAsia="SimSun" w:hAnsiTheme="minorHAnsi" w:cstheme="minorBidi"/>
          <w:b/>
          <w:szCs w:val="24"/>
        </w:rPr>
        <w:t>3</w:t>
      </w:r>
      <w:r w:rsidRPr="00D168BE">
        <w:rPr>
          <w:rFonts w:eastAsia="SimSun"/>
          <w:b/>
          <w:szCs w:val="24"/>
        </w:rPr>
        <w:tab/>
      </w:r>
      <w:r w:rsidRPr="00D168BE">
        <w:rPr>
          <w:rFonts w:asciiTheme="minorHAnsi" w:eastAsia="SimSun" w:hAnsiTheme="minorHAnsi" w:cstheme="minorBidi"/>
          <w:b/>
          <w:szCs w:val="24"/>
        </w:rPr>
        <w:t>IPv6</w:t>
      </w:r>
    </w:p>
    <w:p w14:paraId="4D3470A4" w14:textId="77777777" w:rsidR="00D168BE" w:rsidRPr="00D168BE" w:rsidRDefault="00D168BE" w:rsidP="00D168BE">
      <w:pPr>
        <w:keepNext/>
        <w:keepLines/>
        <w:tabs>
          <w:tab w:val="clear" w:pos="567"/>
          <w:tab w:val="clear" w:pos="1134"/>
          <w:tab w:val="clear" w:pos="1701"/>
          <w:tab w:val="clear" w:pos="2268"/>
          <w:tab w:val="clear" w:pos="2835"/>
        </w:tabs>
        <w:snapToGrid w:val="0"/>
        <w:jc w:val="both"/>
        <w:rPr>
          <w:rFonts w:asciiTheme="minorHAnsi" w:eastAsia="SimSun" w:hAnsiTheme="minorHAnsi" w:cstheme="minorHAnsi"/>
          <w:szCs w:val="24"/>
        </w:rPr>
      </w:pPr>
      <w:r w:rsidRPr="00D168BE">
        <w:rPr>
          <w:rFonts w:asciiTheme="minorHAnsi" w:eastAsia="SimSun" w:hAnsiTheme="minorHAnsi" w:cstheme="minorHAnsi"/>
          <w:b/>
          <w:szCs w:val="24"/>
        </w:rPr>
        <w:t>3.1</w:t>
      </w:r>
      <w:r w:rsidRPr="00D168BE">
        <w:rPr>
          <w:rFonts w:asciiTheme="minorHAnsi" w:eastAsia="SimSun" w:hAnsiTheme="minorHAnsi" w:cstheme="minorHAnsi"/>
          <w:szCs w:val="24"/>
        </w:rPr>
        <w:tab/>
      </w:r>
      <w:r w:rsidRPr="00D168BE">
        <w:rPr>
          <w:rFonts w:asciiTheme="minorHAnsi" w:eastAsia="SimSun" w:hAnsiTheme="minorHAnsi" w:cstheme="minorHAnsi"/>
          <w:spacing w:val="-2"/>
          <w:szCs w:val="24"/>
        </w:rPr>
        <w:t xml:space="preserve">The </w:t>
      </w:r>
      <w:hyperlink r:id="rId54" w:history="1">
        <w:r w:rsidRPr="00D168BE">
          <w:rPr>
            <w:rFonts w:asciiTheme="minorHAnsi" w:eastAsia="SimSun" w:hAnsiTheme="minorHAnsi" w:cstheme="minorHAnsi"/>
            <w:color w:val="0563C1"/>
            <w:spacing w:val="-2"/>
            <w:szCs w:val="24"/>
            <w:u w:val="single"/>
          </w:rPr>
          <w:t>ITU-T IPv6 webpage</w:t>
        </w:r>
      </w:hyperlink>
      <w:r w:rsidRPr="00D168BE">
        <w:rPr>
          <w:rFonts w:asciiTheme="minorHAnsi" w:eastAsia="SimSun" w:hAnsiTheme="minorHAnsi" w:cstheme="minorHAnsi"/>
          <w:spacing w:val="-2"/>
          <w:szCs w:val="24"/>
        </w:rPr>
        <w:t xml:space="preserve"> highlights the IPv6 activities within ITU-T. </w:t>
      </w:r>
      <w:r w:rsidRPr="00D168BE">
        <w:rPr>
          <w:rFonts w:asciiTheme="minorHAnsi" w:eastAsia="SimSun" w:hAnsiTheme="minorHAnsi" w:cstheme="minorHAnsi"/>
          <w:szCs w:val="24"/>
        </w:rPr>
        <w:t>Trainings/courses are being organized on all forms of IoT connectivity, including information security and privacy.</w:t>
      </w:r>
    </w:p>
    <w:p w14:paraId="6FD22DC0" w14:textId="77777777" w:rsidR="00D168BE" w:rsidRPr="00D168BE" w:rsidRDefault="00D168BE" w:rsidP="57716A84">
      <w:pPr>
        <w:tabs>
          <w:tab w:val="clear" w:pos="567"/>
          <w:tab w:val="clear" w:pos="1134"/>
          <w:tab w:val="clear" w:pos="1701"/>
          <w:tab w:val="clear" w:pos="2268"/>
          <w:tab w:val="clear" w:pos="2835"/>
        </w:tabs>
        <w:snapToGrid w:val="0"/>
        <w:jc w:val="both"/>
        <w:rPr>
          <w:rFonts w:eastAsiaTheme="minorEastAsia" w:cs="Calibri"/>
          <w:color w:val="7F7F7F" w:themeColor="text1" w:themeTint="80"/>
          <w:lang w:eastAsia="en-GB"/>
        </w:rPr>
      </w:pPr>
      <w:r w:rsidRPr="57716A84">
        <w:rPr>
          <w:rFonts w:asciiTheme="minorHAnsi" w:eastAsia="SimSun" w:hAnsiTheme="minorHAnsi" w:cstheme="minorBidi"/>
          <w:b/>
          <w:bCs/>
        </w:rPr>
        <w:t>3.2</w:t>
      </w:r>
      <w:r>
        <w:tab/>
      </w:r>
      <w:r w:rsidRPr="57716A84">
        <w:rPr>
          <w:rFonts w:eastAsia="SimSun"/>
          <w:color w:val="000000" w:themeColor="text1"/>
        </w:rPr>
        <w:t xml:space="preserve">BDT and Telecommunications and Post Regulatory Authority- of Sudan established a regional “ITU IPv6 and IoT Expertise Center for Arab Region” hosted by TPRA-Sudan to </w:t>
      </w:r>
      <w:hyperlink r:id="rId55">
        <w:r w:rsidRPr="57716A84">
          <w:rPr>
            <w:rFonts w:eastAsia="SimSun"/>
            <w:color w:val="0563C1"/>
            <w:u w:val="single"/>
          </w:rPr>
          <w:t>provide trainings</w:t>
        </w:r>
      </w:hyperlink>
      <w:r w:rsidRPr="57716A84">
        <w:rPr>
          <w:rFonts w:eastAsia="SimSun"/>
          <w:color w:val="000000" w:themeColor="text1"/>
        </w:rPr>
        <w:t>.</w:t>
      </w:r>
    </w:p>
    <w:p w14:paraId="6D320759" w14:textId="59C869FD" w:rsidR="00D168BE" w:rsidRPr="00D168BE" w:rsidRDefault="00D168BE" w:rsidP="00D168BE">
      <w:pPr>
        <w:widowControl w:val="0"/>
        <w:tabs>
          <w:tab w:val="clear" w:pos="567"/>
          <w:tab w:val="clear" w:pos="1134"/>
          <w:tab w:val="clear" w:pos="1701"/>
          <w:tab w:val="clear" w:pos="2268"/>
          <w:tab w:val="clear" w:pos="2835"/>
        </w:tabs>
        <w:jc w:val="both"/>
        <w:rPr>
          <w:rFonts w:asciiTheme="minorHAnsi" w:eastAsia="SimSun" w:hAnsiTheme="minorHAnsi" w:cstheme="minorHAnsi"/>
          <w:color w:val="000000"/>
          <w:szCs w:val="24"/>
        </w:rPr>
      </w:pPr>
      <w:r w:rsidRPr="00D168BE">
        <w:rPr>
          <w:rFonts w:asciiTheme="minorHAnsi" w:eastAsia="SimSun" w:hAnsiTheme="minorHAnsi" w:cstheme="minorHAnsi"/>
          <w:b/>
          <w:color w:val="000000"/>
          <w:szCs w:val="24"/>
        </w:rPr>
        <w:t>3.3</w:t>
      </w:r>
      <w:r w:rsidRPr="00D168BE">
        <w:rPr>
          <w:rFonts w:asciiTheme="minorHAnsi" w:eastAsia="SimSun" w:hAnsiTheme="minorHAnsi" w:cstheme="minorHAnsi"/>
          <w:color w:val="000000"/>
          <w:szCs w:val="24"/>
        </w:rPr>
        <w:tab/>
        <w:t>BDT is also providing technical assistance on IPv6 to Montenegro. The IPv6 Laboratory is now operational at the University of Montenegro.</w:t>
      </w:r>
    </w:p>
    <w:p w14:paraId="3350D10D" w14:textId="64D3C99C" w:rsidR="00D168BE" w:rsidRPr="00D168BE" w:rsidRDefault="00D168BE" w:rsidP="57716A84">
      <w:pPr>
        <w:keepNext/>
        <w:keepLines/>
        <w:widowControl w:val="0"/>
        <w:tabs>
          <w:tab w:val="clear" w:pos="567"/>
          <w:tab w:val="clear" w:pos="1134"/>
          <w:tab w:val="clear" w:pos="1701"/>
          <w:tab w:val="clear" w:pos="2268"/>
          <w:tab w:val="clear" w:pos="2835"/>
        </w:tabs>
        <w:jc w:val="both"/>
        <w:rPr>
          <w:rFonts w:ascii="Times New Roman" w:eastAsia="SimSun" w:hAnsi="Times New Roman"/>
        </w:rPr>
      </w:pPr>
      <w:r w:rsidRPr="57716A84">
        <w:rPr>
          <w:rFonts w:asciiTheme="minorHAnsi" w:eastAsia="SimSun" w:hAnsiTheme="minorHAnsi" w:cstheme="minorBidi"/>
          <w:b/>
          <w:bCs/>
        </w:rPr>
        <w:lastRenderedPageBreak/>
        <w:t>3.4</w:t>
      </w:r>
      <w:r>
        <w:tab/>
      </w:r>
      <w:r w:rsidRPr="57716A84">
        <w:rPr>
          <w:rFonts w:asciiTheme="minorHAnsi" w:eastAsia="SimSun" w:hAnsiTheme="minorHAnsi" w:cstheme="minorBidi"/>
        </w:rPr>
        <w:t xml:space="preserve">BDT is providing assistance on </w:t>
      </w:r>
      <w:r w:rsidRPr="57716A84">
        <w:rPr>
          <w:rFonts w:eastAsia="SimSun"/>
        </w:rPr>
        <w:t xml:space="preserve">IPv6 test bed implementation in Cameroon and in </w:t>
      </w:r>
      <w:r w:rsidR="005A2083">
        <w:rPr>
          <w:rFonts w:eastAsia="SimSun"/>
        </w:rPr>
        <w:t xml:space="preserve">the Republic of </w:t>
      </w:r>
      <w:r w:rsidRPr="57716A84">
        <w:rPr>
          <w:rFonts w:eastAsia="SimSun"/>
        </w:rPr>
        <w:t xml:space="preserve">Congo. </w:t>
      </w:r>
      <w:r w:rsidRPr="57716A84">
        <w:rPr>
          <w:rFonts w:eastAsia="SimSun"/>
          <w:color w:val="000000" w:themeColor="text1"/>
        </w:rPr>
        <w:t xml:space="preserve">Technical assistance is being provided to Iraq, State of Palestine, Somalia, and Sudan for developing their national IPv6 transition strategies and the creation of national IPv6 task forces. </w:t>
      </w:r>
    </w:p>
    <w:p w14:paraId="3E70B2F8" w14:textId="77777777" w:rsidR="00D168BE" w:rsidRPr="00D168BE" w:rsidRDefault="00D168BE" w:rsidP="00D168BE">
      <w:pPr>
        <w:tabs>
          <w:tab w:val="clear" w:pos="567"/>
          <w:tab w:val="clear" w:pos="1134"/>
          <w:tab w:val="clear" w:pos="1701"/>
          <w:tab w:val="clear" w:pos="2268"/>
          <w:tab w:val="clear" w:pos="2835"/>
        </w:tabs>
        <w:overflowPunct/>
        <w:autoSpaceDE/>
        <w:autoSpaceDN/>
        <w:adjustRightInd/>
        <w:snapToGrid w:val="0"/>
        <w:jc w:val="both"/>
        <w:textAlignment w:val="auto"/>
        <w:rPr>
          <w:rFonts w:asciiTheme="minorHAnsi" w:eastAsiaTheme="minorEastAsia" w:hAnsiTheme="minorHAnsi" w:cstheme="minorBidi"/>
          <w:szCs w:val="24"/>
          <w:lang w:eastAsia="zh-CN"/>
        </w:rPr>
      </w:pPr>
      <w:r w:rsidRPr="00D168BE">
        <w:rPr>
          <w:rFonts w:asciiTheme="minorHAnsi" w:eastAsiaTheme="minorEastAsia" w:hAnsiTheme="minorHAnsi" w:cstheme="minorBidi"/>
          <w:b/>
          <w:bCs/>
          <w:szCs w:val="24"/>
          <w:lang w:eastAsia="zh-CN"/>
        </w:rPr>
        <w:t>3.5</w:t>
      </w:r>
      <w:r w:rsidRPr="00D168BE">
        <w:rPr>
          <w:rFonts w:ascii="Times New Roman" w:eastAsiaTheme="minorEastAsia" w:hAnsi="Times New Roman" w:cstheme="minorBidi"/>
          <w:sz w:val="22"/>
          <w:szCs w:val="24"/>
          <w:lang w:eastAsia="zh-CN"/>
        </w:rPr>
        <w:tab/>
      </w:r>
      <w:r w:rsidRPr="00D168BE">
        <w:rPr>
          <w:rFonts w:asciiTheme="minorHAnsi" w:eastAsiaTheme="minorEastAsia" w:hAnsiTheme="minorHAnsi" w:cstheme="minorBidi"/>
          <w:szCs w:val="24"/>
          <w:lang w:eastAsia="zh-CN"/>
        </w:rPr>
        <w:t xml:space="preserve">BDT is also focusing on a special program to train the trainers on “IPv6 Over 5G Networks”. 31 participants completed the training and 20 have been certified. </w:t>
      </w:r>
    </w:p>
    <w:p w14:paraId="048EA65E" w14:textId="77777777"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Bidi"/>
        </w:rPr>
      </w:pPr>
      <w:r w:rsidRPr="00D168BE">
        <w:rPr>
          <w:rFonts w:asciiTheme="minorHAnsi" w:eastAsia="SimSun" w:hAnsiTheme="minorHAnsi" w:cstheme="minorBidi"/>
          <w:b/>
          <w:bCs/>
        </w:rPr>
        <w:t>3.6</w:t>
      </w:r>
      <w:r w:rsidRPr="00D168BE">
        <w:rPr>
          <w:rFonts w:eastAsia="SimSun"/>
        </w:rPr>
        <w:tab/>
      </w:r>
      <w:r w:rsidRPr="00D168BE">
        <w:rPr>
          <w:rFonts w:asciiTheme="minorHAnsi" w:eastAsia="SimSun" w:hAnsiTheme="minorHAnsi" w:cstheme="minorBidi"/>
        </w:rPr>
        <w:t xml:space="preserve">The </w:t>
      </w:r>
      <w:hyperlink r:id="rId56">
        <w:r w:rsidRPr="00D168BE">
          <w:rPr>
            <w:rFonts w:asciiTheme="minorHAnsi" w:eastAsia="SimSun" w:hAnsiTheme="minorHAnsi" w:cstheme="minorBidi"/>
            <w:color w:val="0563C1"/>
            <w:u w:val="single"/>
          </w:rPr>
          <w:t>final report</w:t>
        </w:r>
      </w:hyperlink>
      <w:r w:rsidRPr="00D168BE">
        <w:rPr>
          <w:rFonts w:asciiTheme="minorHAnsi" w:eastAsia="SimSun" w:hAnsiTheme="minorHAnsi" w:cstheme="minorBidi"/>
        </w:rPr>
        <w:t xml:space="preserve"> in response to ITU-D SG 1 </w:t>
      </w:r>
      <w:hyperlink r:id="rId57">
        <w:r w:rsidRPr="00D168BE">
          <w:rPr>
            <w:rFonts w:asciiTheme="minorHAnsi" w:eastAsia="SimSun" w:hAnsiTheme="minorHAnsi" w:cstheme="minorBidi"/>
            <w:color w:val="0563C1"/>
            <w:u w:val="single"/>
          </w:rPr>
          <w:t>Question 1/1</w:t>
        </w:r>
      </w:hyperlink>
      <w:r w:rsidRPr="00D168BE">
        <w:rPr>
          <w:rFonts w:asciiTheme="minorHAnsi" w:eastAsia="SimSun" w:hAnsiTheme="minorHAnsi" w:cstheme="minorBidi"/>
        </w:rPr>
        <w:t xml:space="preserve"> is available and explores through case studies the experiences of countries in transitioning from IPv4 to IPv6. An </w:t>
      </w:r>
      <w:hyperlink r:id="rId58" w:history="1">
        <w:r w:rsidRPr="00D168BE">
          <w:rPr>
            <w:rFonts w:asciiTheme="minorHAnsi" w:eastAsia="SimSun" w:hAnsiTheme="minorHAnsi" w:cstheme="minorBidi"/>
            <w:color w:val="0563C1"/>
            <w:u w:val="single"/>
          </w:rPr>
          <w:t>essential Guide</w:t>
        </w:r>
      </w:hyperlink>
      <w:r w:rsidRPr="00D168BE">
        <w:rPr>
          <w:rFonts w:asciiTheme="minorHAnsi" w:eastAsia="SimSun" w:hAnsiTheme="minorHAnsi" w:cstheme="minorBidi"/>
        </w:rPr>
        <w:t xml:space="preserve"> is available in order to assist developing countries to implement IPv6 over 5G Networks.</w:t>
      </w:r>
    </w:p>
    <w:p w14:paraId="6F91288E" w14:textId="77777777" w:rsidR="00D168BE" w:rsidRPr="00D168BE" w:rsidRDefault="00D168BE" w:rsidP="00D168BE">
      <w:pPr>
        <w:tabs>
          <w:tab w:val="clear" w:pos="567"/>
          <w:tab w:val="clear" w:pos="1134"/>
          <w:tab w:val="clear" w:pos="1701"/>
          <w:tab w:val="clear" w:pos="2268"/>
          <w:tab w:val="clear" w:pos="2835"/>
        </w:tabs>
        <w:snapToGrid w:val="0"/>
        <w:spacing w:before="360"/>
        <w:ind w:left="686" w:hanging="686"/>
        <w:jc w:val="both"/>
        <w:outlineLvl w:val="0"/>
        <w:rPr>
          <w:rFonts w:asciiTheme="minorHAnsi" w:eastAsia="SimSun" w:hAnsiTheme="minorHAnsi" w:cstheme="minorBidi"/>
          <w:b/>
          <w:sz w:val="26"/>
          <w:szCs w:val="26"/>
        </w:rPr>
      </w:pPr>
      <w:r w:rsidRPr="00D168BE">
        <w:rPr>
          <w:rFonts w:asciiTheme="minorHAnsi" w:eastAsia="SimSun" w:hAnsiTheme="minorHAnsi" w:cstheme="minorBidi"/>
          <w:b/>
          <w:sz w:val="26"/>
          <w:szCs w:val="26"/>
        </w:rPr>
        <w:t>4</w:t>
      </w:r>
      <w:r w:rsidRPr="00D168BE">
        <w:rPr>
          <w:rFonts w:eastAsia="SimSun"/>
          <w:b/>
          <w:sz w:val="26"/>
          <w:szCs w:val="26"/>
        </w:rPr>
        <w:tab/>
      </w:r>
      <w:r w:rsidRPr="00D168BE">
        <w:rPr>
          <w:rFonts w:asciiTheme="minorHAnsi" w:eastAsia="SimSun" w:hAnsiTheme="minorHAnsi" w:cstheme="minorBidi"/>
          <w:b/>
          <w:sz w:val="26"/>
          <w:szCs w:val="26"/>
        </w:rPr>
        <w:t>Internet-related public policy issues including the management of domain names and addresses</w:t>
      </w:r>
    </w:p>
    <w:p w14:paraId="2ECDC992" w14:textId="2C7FC5B3" w:rsidR="00D168BE" w:rsidRPr="00D168BE" w:rsidRDefault="00D168BE" w:rsidP="000674EC">
      <w:pPr>
        <w:tabs>
          <w:tab w:val="clear" w:pos="567"/>
          <w:tab w:val="clear" w:pos="1134"/>
          <w:tab w:val="clear" w:pos="1701"/>
          <w:tab w:val="clear" w:pos="2268"/>
          <w:tab w:val="clear" w:pos="2835"/>
        </w:tabs>
        <w:snapToGrid w:val="0"/>
        <w:jc w:val="both"/>
        <w:rPr>
          <w:rFonts w:asciiTheme="minorHAnsi" w:eastAsia="SimSun" w:hAnsiTheme="minorHAnsi" w:cstheme="minorHAnsi"/>
          <w:sz w:val="22"/>
          <w:szCs w:val="22"/>
        </w:rPr>
      </w:pPr>
      <w:r w:rsidRPr="00D168BE">
        <w:rPr>
          <w:rFonts w:eastAsia="SimSun" w:cstheme="minorBidi"/>
          <w:b/>
          <w:bCs/>
          <w:szCs w:val="24"/>
        </w:rPr>
        <w:t>4.1</w:t>
      </w:r>
      <w:r w:rsidRPr="00D168BE">
        <w:rPr>
          <w:rFonts w:eastAsia="SimSun" w:cstheme="minorBidi"/>
          <w:szCs w:val="24"/>
        </w:rPr>
        <w:tab/>
      </w:r>
      <w:r w:rsidRPr="00D168BE">
        <w:rPr>
          <w:rFonts w:asciiTheme="minorHAnsi" w:eastAsia="SimSun" w:hAnsiTheme="minorHAnsi" w:cstheme="minorHAnsi"/>
          <w:szCs w:val="24"/>
        </w:rPr>
        <w:t xml:space="preserve">The </w:t>
      </w:r>
      <w:hyperlink r:id="rId59" w:history="1">
        <w:r w:rsidRPr="00D168BE">
          <w:rPr>
            <w:rFonts w:asciiTheme="minorHAnsi" w:eastAsia="SimSun" w:hAnsiTheme="minorHAnsi" w:cstheme="minorHAnsi"/>
            <w:color w:val="0563C1"/>
            <w:szCs w:val="24"/>
            <w:u w:val="single"/>
          </w:rPr>
          <w:t>Council Working Group on international Internet-related public policy issues (CWG-Internet)</w:t>
        </w:r>
      </w:hyperlink>
      <w:r w:rsidRPr="00D168BE">
        <w:rPr>
          <w:rFonts w:asciiTheme="minorHAnsi" w:eastAsia="SimSun" w:hAnsiTheme="minorHAnsi" w:cstheme="minorHAnsi"/>
          <w:szCs w:val="24"/>
        </w:rPr>
        <w:t xml:space="preserve"> held its eighteenth and nineteenth meeting of CWG-Internet on 18 October 2023 and 31</w:t>
      </w:r>
      <w:r w:rsidR="00FE0E43">
        <w:rPr>
          <w:rFonts w:asciiTheme="minorHAnsi" w:eastAsia="SimSun" w:hAnsiTheme="minorHAnsi" w:cstheme="minorHAnsi"/>
          <w:szCs w:val="24"/>
        </w:rPr>
        <w:t> </w:t>
      </w:r>
      <w:r w:rsidRPr="00D168BE">
        <w:rPr>
          <w:rFonts w:asciiTheme="minorHAnsi" w:eastAsia="SimSun" w:hAnsiTheme="minorHAnsi" w:cstheme="minorHAnsi"/>
          <w:szCs w:val="24"/>
        </w:rPr>
        <w:t>January-1</w:t>
      </w:r>
      <w:r w:rsidR="00FE0E43">
        <w:rPr>
          <w:rFonts w:asciiTheme="minorHAnsi" w:eastAsia="SimSun" w:hAnsiTheme="minorHAnsi" w:cstheme="minorHAnsi"/>
          <w:szCs w:val="24"/>
        </w:rPr>
        <w:t> </w:t>
      </w:r>
      <w:r w:rsidRPr="00D168BE">
        <w:rPr>
          <w:rFonts w:asciiTheme="minorHAnsi" w:eastAsia="SimSun" w:hAnsiTheme="minorHAnsi" w:cstheme="minorHAnsi"/>
          <w:szCs w:val="24"/>
        </w:rPr>
        <w:t>February</w:t>
      </w:r>
      <w:r w:rsidR="00FE0E43">
        <w:rPr>
          <w:rFonts w:asciiTheme="minorHAnsi" w:eastAsia="SimSun" w:hAnsiTheme="minorHAnsi" w:cstheme="minorHAnsi"/>
          <w:szCs w:val="24"/>
        </w:rPr>
        <w:t> </w:t>
      </w:r>
      <w:r w:rsidRPr="00D168BE">
        <w:rPr>
          <w:rFonts w:asciiTheme="minorHAnsi" w:eastAsia="SimSun" w:hAnsiTheme="minorHAnsi" w:cstheme="minorHAnsi"/>
          <w:szCs w:val="24"/>
        </w:rPr>
        <w:t xml:space="preserve">2024, respectively, at the ITU Headquarters in Geneva, Switzerland. At the nineteenth meeting, the Group agreed to launch an open consultation on </w:t>
      </w:r>
      <w:hyperlink r:id="rId60" w:history="1">
        <w:r w:rsidRPr="00D168BE">
          <w:rPr>
            <w:rFonts w:eastAsia="SimSun"/>
            <w:i/>
            <w:iCs/>
            <w:color w:val="0563C1"/>
            <w:szCs w:val="24"/>
            <w:u w:val="single"/>
          </w:rPr>
          <w:t>The developmental aspects to strengthen the Internet</w:t>
        </w:r>
      </w:hyperlink>
      <w:r w:rsidRPr="00D168BE">
        <w:rPr>
          <w:rFonts w:asciiTheme="minorHAnsi" w:eastAsia="SimSun" w:hAnsiTheme="minorHAnsi" w:cstheme="minorHAnsi"/>
          <w:szCs w:val="24"/>
        </w:rPr>
        <w:t xml:space="preserve">. The Chair’s Report to Council </w:t>
      </w:r>
      <w:r w:rsidRPr="00D168BE">
        <w:rPr>
          <w:rFonts w:asciiTheme="minorHAnsi" w:eastAsia="SimSun" w:hAnsiTheme="minorHAnsi" w:cstheme="minorHAnsi"/>
          <w:szCs w:val="24"/>
          <w:lang w:val="en-US"/>
        </w:rPr>
        <w:t xml:space="preserve">is presented in Document </w:t>
      </w:r>
      <w:hyperlink r:id="rId61" w:history="1">
        <w:r w:rsidRPr="00D168BE">
          <w:rPr>
            <w:rStyle w:val="Hyperlink"/>
            <w:rFonts w:asciiTheme="minorHAnsi" w:eastAsia="SimSun" w:hAnsiTheme="minorHAnsi" w:cstheme="minorHAnsi"/>
            <w:szCs w:val="24"/>
            <w:lang w:val="en-US"/>
          </w:rPr>
          <w:t>C24/</w:t>
        </w:r>
        <w:r w:rsidR="00E8469B" w:rsidRPr="00E8469B">
          <w:rPr>
            <w:rStyle w:val="Hyperlink"/>
            <w:rFonts w:asciiTheme="minorHAnsi" w:eastAsia="SimSun" w:hAnsiTheme="minorHAnsi" w:cstheme="minorHAnsi"/>
            <w:szCs w:val="24"/>
            <w:lang w:val="en-US"/>
          </w:rPr>
          <w:t>51</w:t>
        </w:r>
      </w:hyperlink>
      <w:r w:rsidRPr="00D168BE">
        <w:rPr>
          <w:rFonts w:asciiTheme="minorHAnsi" w:eastAsia="SimSun" w:hAnsiTheme="minorHAnsi" w:cstheme="minorHAnsi"/>
          <w:szCs w:val="24"/>
          <w:lang w:val="en-US"/>
        </w:rPr>
        <w:t>.</w:t>
      </w:r>
    </w:p>
    <w:p w14:paraId="27BAB4CA" w14:textId="77777777" w:rsidR="00D168BE" w:rsidRPr="00D168BE" w:rsidRDefault="00D168BE" w:rsidP="00D168BE">
      <w:pPr>
        <w:keepNext/>
        <w:keepLines/>
        <w:tabs>
          <w:tab w:val="clear" w:pos="567"/>
          <w:tab w:val="clear" w:pos="1134"/>
          <w:tab w:val="clear" w:pos="1701"/>
          <w:tab w:val="clear" w:pos="2268"/>
          <w:tab w:val="clear" w:pos="2835"/>
        </w:tabs>
        <w:overflowPunct/>
        <w:autoSpaceDE/>
        <w:autoSpaceDN/>
        <w:snapToGrid w:val="0"/>
        <w:jc w:val="both"/>
        <w:textAlignment w:val="auto"/>
        <w:rPr>
          <w:rFonts w:asciiTheme="minorHAnsi" w:eastAsia="SimSun" w:hAnsiTheme="minorHAnsi" w:cstheme="minorBidi"/>
          <w:szCs w:val="24"/>
          <w:lang w:eastAsia="zh-CN"/>
        </w:rPr>
      </w:pPr>
      <w:r w:rsidRPr="00D168BE">
        <w:rPr>
          <w:rFonts w:asciiTheme="minorHAnsi" w:eastAsia="SimSun" w:hAnsiTheme="minorHAnsi" w:cstheme="minorBidi"/>
          <w:b/>
          <w:bCs/>
          <w:szCs w:val="24"/>
          <w:lang w:eastAsia="zh-CN"/>
        </w:rPr>
        <w:t>4.2</w:t>
      </w:r>
      <w:r w:rsidRPr="00D168BE">
        <w:rPr>
          <w:rFonts w:asciiTheme="minorHAnsi" w:eastAsia="SimSun" w:hAnsiTheme="minorHAnsi" w:cstheme="minorBidi"/>
          <w:szCs w:val="24"/>
          <w:lang w:eastAsia="zh-CN"/>
        </w:rPr>
        <w:tab/>
        <w:t>ITU participated in the 18</w:t>
      </w:r>
      <w:r w:rsidRPr="00D168BE">
        <w:rPr>
          <w:rFonts w:asciiTheme="minorHAnsi" w:eastAsia="SimSun" w:hAnsiTheme="minorHAnsi" w:cstheme="minorBidi"/>
          <w:szCs w:val="24"/>
          <w:vertAlign w:val="superscript"/>
          <w:lang w:eastAsia="zh-CN"/>
        </w:rPr>
        <w:t>th</w:t>
      </w:r>
      <w:r w:rsidRPr="00D168BE">
        <w:rPr>
          <w:rFonts w:asciiTheme="minorHAnsi" w:eastAsia="SimSun" w:hAnsiTheme="minorHAnsi" w:cstheme="minorBidi"/>
          <w:szCs w:val="24"/>
          <w:lang w:eastAsia="zh-CN"/>
        </w:rPr>
        <w:t xml:space="preserve"> IGF meeting held in Kyoto, Japan from 8 to 12 October 2023, including the opening ceremony and high-level sessions, and organized sessions on the CWG-Internet, WSIS+20 and WSIS Forum 2024 Open Consultation, measurement frameworks and indicators, and cybersecurity. ITU will continue to participate at the highest level at the 19</w:t>
      </w:r>
      <w:r w:rsidRPr="00D168BE">
        <w:rPr>
          <w:rFonts w:asciiTheme="minorHAnsi" w:eastAsia="SimSun" w:hAnsiTheme="minorHAnsi" w:cstheme="minorBidi"/>
          <w:szCs w:val="24"/>
          <w:vertAlign w:val="superscript"/>
          <w:lang w:eastAsia="zh-CN"/>
        </w:rPr>
        <w:t>th</w:t>
      </w:r>
      <w:r w:rsidRPr="00D168BE">
        <w:rPr>
          <w:rFonts w:asciiTheme="minorHAnsi" w:eastAsia="SimSun" w:hAnsiTheme="minorHAnsi" w:cstheme="minorBidi"/>
          <w:szCs w:val="24"/>
          <w:lang w:eastAsia="zh-CN"/>
        </w:rPr>
        <w:t xml:space="preserve"> IGF meeting in Riyadh, Saudi Arabia.</w:t>
      </w:r>
    </w:p>
    <w:p w14:paraId="40B67F8D" w14:textId="77777777" w:rsidR="00D168BE" w:rsidRPr="00D168BE" w:rsidRDefault="00D168BE" w:rsidP="00D168BE">
      <w:pPr>
        <w:tabs>
          <w:tab w:val="clear" w:pos="567"/>
          <w:tab w:val="clear" w:pos="1134"/>
          <w:tab w:val="clear" w:pos="1701"/>
          <w:tab w:val="clear" w:pos="2268"/>
          <w:tab w:val="clear" w:pos="2835"/>
        </w:tabs>
        <w:overflowPunct/>
        <w:autoSpaceDE/>
        <w:autoSpaceDN/>
        <w:snapToGrid w:val="0"/>
        <w:jc w:val="both"/>
        <w:textAlignment w:val="auto"/>
        <w:rPr>
          <w:rFonts w:asciiTheme="minorHAnsi" w:eastAsia="SimSun" w:hAnsiTheme="minorHAnsi" w:cstheme="minorBidi"/>
          <w:szCs w:val="24"/>
          <w:lang w:eastAsia="zh-CN"/>
        </w:rPr>
      </w:pPr>
      <w:r w:rsidRPr="00D168BE">
        <w:rPr>
          <w:rFonts w:asciiTheme="minorHAnsi" w:eastAsia="SimSun" w:hAnsiTheme="minorHAnsi" w:cstheme="minorBidi"/>
          <w:b/>
          <w:bCs/>
          <w:szCs w:val="24"/>
          <w:lang w:eastAsia="zh-CN"/>
        </w:rPr>
        <w:t>4.3</w:t>
      </w:r>
      <w:r w:rsidRPr="00D168BE">
        <w:rPr>
          <w:rFonts w:asciiTheme="minorHAnsi" w:eastAsia="SimSun" w:hAnsiTheme="minorHAnsi" w:cstheme="minorBidi"/>
          <w:szCs w:val="24"/>
          <w:lang w:eastAsia="zh-CN"/>
        </w:rPr>
        <w:tab/>
        <w:t>ITU continues to follow the issue of protecting IGO names and acronyms in any new gTLDs, as part of the IGO coalition composed of 35 IGOs including OECD, UN, UPU, WHO, WIPO, and the World Bank.</w:t>
      </w:r>
    </w:p>
    <w:p w14:paraId="344819B8" w14:textId="77777777"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Bidi"/>
        </w:rPr>
      </w:pPr>
      <w:r w:rsidRPr="00D168BE">
        <w:rPr>
          <w:rFonts w:asciiTheme="minorHAnsi" w:eastAsia="SimSun" w:hAnsiTheme="minorHAnsi" w:cstheme="minorBidi"/>
          <w:b/>
          <w:bCs/>
        </w:rPr>
        <w:t>4.4</w:t>
      </w:r>
      <w:r w:rsidRPr="00D168BE">
        <w:rPr>
          <w:rFonts w:eastAsia="SimSun"/>
        </w:rPr>
        <w:tab/>
      </w:r>
      <w:r w:rsidRPr="00D168BE">
        <w:rPr>
          <w:rFonts w:asciiTheme="minorHAnsi" w:eastAsia="SimSun" w:hAnsiTheme="minorHAnsi" w:cstheme="minorBidi"/>
        </w:rPr>
        <w:t>In all</w:t>
      </w:r>
      <w:r w:rsidRPr="00D168BE">
        <w:rPr>
          <w:rFonts w:asciiTheme="minorHAnsi" w:eastAsia="SimSun" w:hAnsiTheme="minorHAnsi" w:cstheme="minorBidi"/>
          <w:b/>
          <w:bCs/>
        </w:rPr>
        <w:t xml:space="preserve"> </w:t>
      </w:r>
      <w:r w:rsidRPr="00D168BE">
        <w:rPr>
          <w:rFonts w:asciiTheme="minorHAnsi" w:eastAsia="SimSun" w:hAnsiTheme="minorHAnsi" w:cstheme="minorBidi"/>
        </w:rPr>
        <w:t>the activities listed in the various sections of this Report, particularly with regard to beneficiary countries on IPv6, broadband and capacity building activities, ITU aims to address the challenges faced by landlocked developing countries as per the Vienna Programme of Action.</w:t>
      </w:r>
    </w:p>
    <w:p w14:paraId="4D0F64FC" w14:textId="77777777" w:rsidR="00D168BE" w:rsidRPr="00D168BE" w:rsidRDefault="00D168BE" w:rsidP="00D168BE">
      <w:pPr>
        <w:tabs>
          <w:tab w:val="clear" w:pos="567"/>
          <w:tab w:val="clear" w:pos="1134"/>
          <w:tab w:val="clear" w:pos="1701"/>
          <w:tab w:val="clear" w:pos="2268"/>
          <w:tab w:val="clear" w:pos="2835"/>
        </w:tabs>
        <w:snapToGrid w:val="0"/>
        <w:jc w:val="both"/>
        <w:rPr>
          <w:rFonts w:asciiTheme="minorHAnsi" w:eastAsia="SimSun" w:hAnsiTheme="minorHAnsi" w:cstheme="minorHAnsi"/>
          <w:szCs w:val="24"/>
        </w:rPr>
      </w:pPr>
      <w:r w:rsidRPr="00D168BE">
        <w:rPr>
          <w:rFonts w:asciiTheme="minorHAnsi" w:eastAsia="SimSun" w:hAnsiTheme="minorHAnsi" w:cstheme="minorHAnsi"/>
          <w:b/>
          <w:bCs/>
          <w:szCs w:val="24"/>
        </w:rPr>
        <w:t>4.5</w:t>
      </w:r>
      <w:r w:rsidRPr="00D168BE">
        <w:rPr>
          <w:rFonts w:asciiTheme="minorHAnsi" w:eastAsia="SimSun" w:hAnsiTheme="minorHAnsi" w:cstheme="minorHAnsi"/>
          <w:b/>
          <w:bCs/>
          <w:szCs w:val="24"/>
        </w:rPr>
        <w:tab/>
      </w:r>
      <w:r w:rsidRPr="00D168BE">
        <w:rPr>
          <w:rFonts w:asciiTheme="minorHAnsi" w:eastAsia="SimSun" w:hAnsiTheme="minorHAnsi" w:cstheme="minorHAnsi"/>
          <w:szCs w:val="24"/>
        </w:rPr>
        <w:t>ITU continues to actively follow discussions in GAC as an observer. ITU attended ICANN78 in October, which marked the 25</w:t>
      </w:r>
      <w:r w:rsidRPr="00D168BE">
        <w:rPr>
          <w:rFonts w:asciiTheme="minorHAnsi" w:eastAsia="SimSun" w:hAnsiTheme="minorHAnsi" w:cstheme="minorHAnsi"/>
          <w:szCs w:val="24"/>
          <w:vertAlign w:val="superscript"/>
        </w:rPr>
        <w:t>th</w:t>
      </w:r>
      <w:r w:rsidRPr="00D168BE">
        <w:rPr>
          <w:rFonts w:asciiTheme="minorHAnsi" w:eastAsia="SimSun" w:hAnsiTheme="minorHAnsi" w:cstheme="minorHAnsi"/>
          <w:szCs w:val="24"/>
        </w:rPr>
        <w:t xml:space="preserve"> Annual General Meeting. The ITU Secretary-General also joined ICANN78 and met the ICANN Board. ITU will participate in ICANN79 in March 2024.</w:t>
      </w:r>
    </w:p>
    <w:p w14:paraId="62A1F9C7" w14:textId="77777777" w:rsidR="00D168BE" w:rsidRPr="00D168BE" w:rsidRDefault="00D168BE" w:rsidP="00D168BE">
      <w:pPr>
        <w:tabs>
          <w:tab w:val="clear" w:pos="567"/>
          <w:tab w:val="clear" w:pos="1134"/>
          <w:tab w:val="clear" w:pos="1701"/>
          <w:tab w:val="clear" w:pos="2268"/>
          <w:tab w:val="clear" w:pos="2835"/>
        </w:tabs>
        <w:snapToGrid w:val="0"/>
        <w:spacing w:before="360"/>
        <w:ind w:left="686" w:hanging="686"/>
        <w:jc w:val="both"/>
        <w:outlineLvl w:val="0"/>
        <w:rPr>
          <w:rFonts w:asciiTheme="minorHAnsi" w:eastAsia="SimSun" w:hAnsiTheme="minorHAnsi" w:cstheme="minorBidi"/>
          <w:b/>
          <w:sz w:val="26"/>
          <w:szCs w:val="26"/>
        </w:rPr>
      </w:pPr>
      <w:r w:rsidRPr="00D168BE">
        <w:rPr>
          <w:rFonts w:asciiTheme="minorHAnsi" w:eastAsia="SimSun" w:hAnsiTheme="minorHAnsi" w:cstheme="minorBidi"/>
          <w:b/>
          <w:sz w:val="26"/>
          <w:szCs w:val="26"/>
        </w:rPr>
        <w:t>5</w:t>
      </w:r>
      <w:r w:rsidRPr="00D168BE">
        <w:rPr>
          <w:rFonts w:eastAsia="SimSun"/>
          <w:b/>
          <w:sz w:val="28"/>
        </w:rPr>
        <w:tab/>
      </w:r>
      <w:r w:rsidRPr="00D168BE">
        <w:rPr>
          <w:rFonts w:asciiTheme="minorHAnsi" w:eastAsia="SimSun" w:hAnsiTheme="minorHAnsi" w:cstheme="minorBidi"/>
          <w:b/>
          <w:sz w:val="26"/>
          <w:szCs w:val="26"/>
        </w:rPr>
        <w:t>ENUM</w:t>
      </w:r>
    </w:p>
    <w:p w14:paraId="7AF82626" w14:textId="77777777" w:rsidR="00D168BE" w:rsidRPr="00D168BE" w:rsidRDefault="00160CC9" w:rsidP="00D168BE">
      <w:pPr>
        <w:tabs>
          <w:tab w:val="clear" w:pos="567"/>
          <w:tab w:val="clear" w:pos="1134"/>
          <w:tab w:val="clear" w:pos="1701"/>
          <w:tab w:val="clear" w:pos="2268"/>
          <w:tab w:val="clear" w:pos="2835"/>
        </w:tabs>
        <w:snapToGrid w:val="0"/>
        <w:jc w:val="both"/>
        <w:outlineLvl w:val="0"/>
        <w:rPr>
          <w:rFonts w:asciiTheme="minorHAnsi" w:eastAsia="SimSun" w:hAnsiTheme="minorHAnsi" w:cstheme="minorHAnsi"/>
          <w:bCs/>
          <w:szCs w:val="24"/>
        </w:rPr>
      </w:pPr>
      <w:hyperlink r:id="rId62" w:history="1">
        <w:r w:rsidR="00D168BE" w:rsidRPr="00D168BE">
          <w:rPr>
            <w:rFonts w:asciiTheme="minorHAnsi" w:eastAsia="SimSun" w:hAnsiTheme="minorHAnsi" w:cstheme="minorHAnsi"/>
            <w:bCs/>
            <w:color w:val="0563C1"/>
            <w:szCs w:val="24"/>
            <w:u w:val="single"/>
          </w:rPr>
          <w:t>Updated Information on ENUM</w:t>
        </w:r>
      </w:hyperlink>
      <w:r w:rsidR="00D168BE" w:rsidRPr="00D168BE">
        <w:rPr>
          <w:rFonts w:asciiTheme="minorHAnsi" w:eastAsia="SimSun" w:hAnsiTheme="minorHAnsi" w:cstheme="minorHAnsi"/>
          <w:bCs/>
          <w:szCs w:val="24"/>
        </w:rPr>
        <w:t xml:space="preserve"> is being maintained by ITU-T. ITU-T SG2 is continuing work on a new draft Recommendation to differentiate between ENUM and Infrastructure ENUM.</w:t>
      </w:r>
    </w:p>
    <w:p w14:paraId="1CDC7E5C" w14:textId="77777777" w:rsidR="00D168BE" w:rsidRPr="00D168BE" w:rsidRDefault="00D168BE" w:rsidP="00060D2C">
      <w:pPr>
        <w:keepNext/>
        <w:keepLines/>
        <w:tabs>
          <w:tab w:val="clear" w:pos="567"/>
          <w:tab w:val="clear" w:pos="1134"/>
          <w:tab w:val="clear" w:pos="1701"/>
          <w:tab w:val="clear" w:pos="2268"/>
          <w:tab w:val="clear" w:pos="2835"/>
        </w:tabs>
        <w:snapToGrid w:val="0"/>
        <w:spacing w:before="360"/>
        <w:ind w:left="686" w:hanging="686"/>
        <w:jc w:val="both"/>
        <w:outlineLvl w:val="0"/>
        <w:rPr>
          <w:rFonts w:asciiTheme="minorHAnsi" w:eastAsia="SimSun" w:hAnsiTheme="minorHAnsi" w:cstheme="minorHAnsi"/>
          <w:b/>
          <w:sz w:val="26"/>
          <w:szCs w:val="26"/>
        </w:rPr>
      </w:pPr>
      <w:bookmarkStart w:id="24" w:name="_Hlk133498507"/>
      <w:r w:rsidRPr="00D168BE">
        <w:rPr>
          <w:rFonts w:asciiTheme="minorHAnsi" w:eastAsia="SimSun" w:hAnsiTheme="minorHAnsi" w:cstheme="minorHAnsi"/>
          <w:b/>
          <w:sz w:val="26"/>
          <w:szCs w:val="26"/>
        </w:rPr>
        <w:lastRenderedPageBreak/>
        <w:t>6</w:t>
      </w:r>
      <w:r w:rsidRPr="00D168BE">
        <w:rPr>
          <w:rFonts w:asciiTheme="minorHAnsi" w:eastAsia="SimSun" w:hAnsiTheme="minorHAnsi" w:cstheme="minorHAnsi"/>
          <w:b/>
          <w:sz w:val="26"/>
          <w:szCs w:val="26"/>
        </w:rPr>
        <w:tab/>
        <w:t>International Internet Connectivity (IIC)/Internet Exchange Points (IXPs)</w:t>
      </w:r>
    </w:p>
    <w:p w14:paraId="51E86151" w14:textId="77777777" w:rsidR="00D168BE" w:rsidRPr="00D168BE" w:rsidRDefault="00D168BE" w:rsidP="00D168BE">
      <w:pPr>
        <w:keepNext/>
        <w:keepLines/>
        <w:tabs>
          <w:tab w:val="clear" w:pos="567"/>
          <w:tab w:val="clear" w:pos="1134"/>
          <w:tab w:val="clear" w:pos="1701"/>
          <w:tab w:val="clear" w:pos="2268"/>
          <w:tab w:val="clear" w:pos="2835"/>
        </w:tabs>
        <w:snapToGrid w:val="0"/>
        <w:spacing w:before="240"/>
        <w:jc w:val="both"/>
        <w:outlineLvl w:val="0"/>
        <w:rPr>
          <w:rFonts w:asciiTheme="minorHAnsi" w:eastAsia="SimSun" w:hAnsiTheme="minorHAnsi" w:cstheme="minorHAnsi"/>
          <w:bCs/>
          <w:szCs w:val="24"/>
        </w:rPr>
      </w:pPr>
      <w:r w:rsidRPr="00D168BE">
        <w:rPr>
          <w:rFonts w:asciiTheme="minorHAnsi" w:eastAsia="SimSun" w:hAnsiTheme="minorHAnsi" w:cstheme="minorHAnsi"/>
          <w:bCs/>
          <w:szCs w:val="24"/>
        </w:rPr>
        <w:t xml:space="preserve">BDT continues its work on providing assistance on IXP related issues. IXPs locations are available at the ICT Infrastructure interactive mapping: </w:t>
      </w:r>
      <w:hyperlink r:id="rId63" w:tgtFrame="_blank" w:tooltip="https://bbmaps.itu.int/bbmaps/" w:history="1">
        <w:r w:rsidRPr="00D168BE">
          <w:rPr>
            <w:rFonts w:asciiTheme="minorHAnsi" w:eastAsia="SimSun" w:hAnsiTheme="minorHAnsi" w:cstheme="minorHAnsi"/>
            <w:bCs/>
            <w:color w:val="0563C1"/>
            <w:szCs w:val="24"/>
            <w:u w:val="single"/>
          </w:rPr>
          <w:t>https://bbmaps.itu.int/bbmaps/</w:t>
        </w:r>
      </w:hyperlink>
      <w:bookmarkEnd w:id="24"/>
      <w:r w:rsidRPr="00D168BE">
        <w:rPr>
          <w:rFonts w:asciiTheme="minorHAnsi" w:eastAsia="SimSun" w:hAnsiTheme="minorHAnsi" w:cstheme="minorHAnsi"/>
          <w:bCs/>
          <w:szCs w:val="24"/>
        </w:rPr>
        <w:t>.</w:t>
      </w:r>
    </w:p>
    <w:p w14:paraId="5AEA4EB8" w14:textId="77777777" w:rsidR="00D168BE" w:rsidRPr="00D168BE" w:rsidRDefault="00D168BE" w:rsidP="00D168BE">
      <w:pPr>
        <w:keepNext/>
        <w:keepLines/>
        <w:tabs>
          <w:tab w:val="clear" w:pos="567"/>
          <w:tab w:val="clear" w:pos="1134"/>
          <w:tab w:val="clear" w:pos="1701"/>
          <w:tab w:val="clear" w:pos="2268"/>
          <w:tab w:val="clear" w:pos="2835"/>
        </w:tabs>
        <w:snapToGrid w:val="0"/>
        <w:spacing w:before="360"/>
        <w:jc w:val="both"/>
        <w:outlineLvl w:val="0"/>
        <w:rPr>
          <w:rFonts w:asciiTheme="minorHAnsi" w:eastAsia="SimSun" w:hAnsiTheme="minorHAnsi" w:cstheme="minorBidi"/>
          <w:b/>
          <w:sz w:val="26"/>
          <w:szCs w:val="26"/>
        </w:rPr>
      </w:pPr>
      <w:r w:rsidRPr="00D168BE">
        <w:rPr>
          <w:rFonts w:asciiTheme="minorHAnsi" w:eastAsia="SimSun" w:hAnsiTheme="minorHAnsi" w:cstheme="minorBidi"/>
          <w:b/>
          <w:sz w:val="26"/>
          <w:szCs w:val="26"/>
        </w:rPr>
        <w:t>7</w:t>
      </w:r>
      <w:r w:rsidRPr="00D168BE">
        <w:rPr>
          <w:rFonts w:eastAsia="SimSun"/>
          <w:b/>
          <w:sz w:val="26"/>
          <w:szCs w:val="26"/>
        </w:rPr>
        <w:tab/>
      </w:r>
      <w:r w:rsidRPr="00D168BE">
        <w:rPr>
          <w:rFonts w:asciiTheme="minorHAnsi" w:eastAsia="SimSun" w:hAnsiTheme="minorHAnsi" w:cstheme="minorBidi"/>
          <w:b/>
          <w:sz w:val="26"/>
          <w:szCs w:val="26"/>
        </w:rPr>
        <w:t>OTT</w:t>
      </w:r>
    </w:p>
    <w:p w14:paraId="69DAD111" w14:textId="77777777" w:rsidR="00D168BE" w:rsidRPr="00D168BE" w:rsidRDefault="00D168BE" w:rsidP="00D168BE">
      <w:pPr>
        <w:tabs>
          <w:tab w:val="clear" w:pos="567"/>
          <w:tab w:val="clear" w:pos="1134"/>
          <w:tab w:val="clear" w:pos="1701"/>
          <w:tab w:val="clear" w:pos="2268"/>
          <w:tab w:val="clear" w:pos="2835"/>
        </w:tabs>
        <w:jc w:val="both"/>
        <w:rPr>
          <w:rFonts w:asciiTheme="minorHAnsi" w:eastAsia="SimSun" w:hAnsiTheme="minorHAnsi" w:cstheme="minorHAnsi"/>
          <w:szCs w:val="24"/>
        </w:rPr>
      </w:pPr>
      <w:r w:rsidRPr="00D168BE">
        <w:rPr>
          <w:rFonts w:asciiTheme="minorHAnsi" w:eastAsia="SimSun" w:hAnsiTheme="minorHAnsi" w:cstheme="minorHAnsi"/>
          <w:b/>
          <w:szCs w:val="24"/>
        </w:rPr>
        <w:t>7.1</w:t>
      </w:r>
      <w:r w:rsidRPr="00D168BE">
        <w:rPr>
          <w:rFonts w:asciiTheme="minorHAnsi" w:eastAsia="SimSun" w:hAnsiTheme="minorHAnsi" w:cstheme="minorHAnsi"/>
          <w:szCs w:val="24"/>
        </w:rPr>
        <w:tab/>
      </w:r>
      <w:r w:rsidRPr="00D168BE">
        <w:rPr>
          <w:rFonts w:asciiTheme="minorHAnsi" w:eastAsia="SimSun" w:hAnsiTheme="minorHAnsi" w:cstheme="minorHAnsi"/>
          <w:spacing w:val="-2"/>
          <w:szCs w:val="24"/>
        </w:rPr>
        <w:t xml:space="preserve">Under </w:t>
      </w:r>
      <w:r w:rsidRPr="00D168BE">
        <w:rPr>
          <w:rFonts w:asciiTheme="minorHAnsi" w:eastAsia="SimSun" w:hAnsiTheme="minorHAnsi" w:cstheme="minorHAnsi"/>
          <w:b/>
          <w:bCs/>
          <w:spacing w:val="-2"/>
          <w:szCs w:val="24"/>
        </w:rPr>
        <w:t>ITU-D Q3/1</w:t>
      </w:r>
      <w:r w:rsidRPr="00D168BE">
        <w:rPr>
          <w:rFonts w:asciiTheme="minorHAnsi" w:eastAsia="SimSun" w:hAnsiTheme="minorHAnsi" w:cstheme="minorHAnsi"/>
          <w:spacing w:val="-2"/>
          <w:szCs w:val="24"/>
        </w:rPr>
        <w:t xml:space="preserve">, work continues on </w:t>
      </w:r>
      <w:r w:rsidRPr="00D168BE">
        <w:rPr>
          <w:rFonts w:asciiTheme="minorHAnsi" w:eastAsia="SimSun" w:hAnsiTheme="minorHAnsi" w:cstheme="minorHAnsi"/>
          <w:i/>
          <w:spacing w:val="-2"/>
          <w:szCs w:val="24"/>
        </w:rPr>
        <w:t>“Emerging technologies, including cloud computing,</w:t>
      </w:r>
      <w:r w:rsidRPr="00D168BE">
        <w:rPr>
          <w:rFonts w:asciiTheme="minorHAnsi" w:eastAsia="SimSun" w:hAnsiTheme="minorHAnsi" w:cstheme="minorHAnsi"/>
          <w:i/>
          <w:szCs w:val="24"/>
        </w:rPr>
        <w:t xml:space="preserve"> m-services and OTTs: Challenges and opportunities, economic and policy impact for developing countries”</w:t>
      </w:r>
      <w:r w:rsidRPr="00D168BE">
        <w:rPr>
          <w:rFonts w:asciiTheme="minorHAnsi" w:eastAsia="SimSun" w:hAnsiTheme="minorHAnsi" w:cstheme="minorHAnsi"/>
          <w:szCs w:val="24"/>
        </w:rPr>
        <w:t>.</w:t>
      </w:r>
      <w:r w:rsidRPr="00D168BE" w:rsidDel="00000A0F">
        <w:rPr>
          <w:rFonts w:asciiTheme="minorHAnsi" w:eastAsia="SimSun" w:hAnsiTheme="minorHAnsi" w:cstheme="minorHAnsi"/>
          <w:szCs w:val="24"/>
        </w:rPr>
        <w:t xml:space="preserve"> </w:t>
      </w:r>
    </w:p>
    <w:p w14:paraId="0A936C6B" w14:textId="417E5F1E" w:rsidR="00D168BE" w:rsidRPr="00D168BE" w:rsidRDefault="00D168BE" w:rsidP="00D168BE">
      <w:pPr>
        <w:tabs>
          <w:tab w:val="clear" w:pos="567"/>
          <w:tab w:val="clear" w:pos="1134"/>
          <w:tab w:val="clear" w:pos="1701"/>
          <w:tab w:val="clear" w:pos="2268"/>
          <w:tab w:val="clear" w:pos="2835"/>
        </w:tabs>
        <w:jc w:val="both"/>
        <w:rPr>
          <w:rFonts w:eastAsia="SimSun"/>
        </w:rPr>
      </w:pPr>
      <w:r w:rsidRPr="00D168BE">
        <w:rPr>
          <w:rFonts w:asciiTheme="minorHAnsi" w:eastAsia="SimSun" w:hAnsiTheme="minorHAnsi" w:cstheme="minorBidi"/>
          <w:b/>
          <w:bCs/>
        </w:rPr>
        <w:t>7.2</w:t>
      </w:r>
      <w:r w:rsidRPr="00D168BE">
        <w:rPr>
          <w:rFonts w:asciiTheme="minorHAnsi" w:eastAsia="SimSun" w:hAnsiTheme="minorHAnsi" w:cstheme="minorHAnsi"/>
          <w:szCs w:val="24"/>
        </w:rPr>
        <w:tab/>
      </w:r>
      <w:r w:rsidRPr="00D168BE">
        <w:rPr>
          <w:rFonts w:asciiTheme="minorHAnsi" w:eastAsia="SimSun" w:hAnsiTheme="minorHAnsi" w:cstheme="minorBidi"/>
          <w:b/>
          <w:bCs/>
          <w:spacing w:val="2"/>
        </w:rPr>
        <w:t>ITU-T SG2</w:t>
      </w:r>
      <w:r w:rsidRPr="00D168BE">
        <w:rPr>
          <w:rFonts w:asciiTheme="minorHAnsi" w:eastAsia="SimSun" w:hAnsiTheme="minorHAnsi" w:cstheme="minorBidi"/>
          <w:spacing w:val="2"/>
        </w:rPr>
        <w:t xml:space="preserve"> is progressing two work items on OTTs (</w:t>
      </w:r>
      <w:proofErr w:type="spellStart"/>
      <w:r w:rsidRPr="00D168BE">
        <w:rPr>
          <w:rFonts w:asciiTheme="minorHAnsi" w:eastAsia="SimSun" w:hAnsiTheme="minorHAnsi" w:cstheme="minorBidi"/>
          <w:spacing w:val="2"/>
        </w:rPr>
        <w:t>TR.OTTnum</w:t>
      </w:r>
      <w:proofErr w:type="spellEnd"/>
      <w:r w:rsidRPr="00D168BE">
        <w:rPr>
          <w:rFonts w:asciiTheme="minorHAnsi" w:eastAsia="SimSun" w:hAnsiTheme="minorHAnsi" w:cstheme="minorBidi"/>
          <w:spacing w:val="2"/>
        </w:rPr>
        <w:t xml:space="preserve"> </w:t>
      </w:r>
      <w:r w:rsidRPr="00D168BE">
        <w:rPr>
          <w:rFonts w:asciiTheme="minorHAnsi" w:eastAsia="SimSun" w:hAnsiTheme="minorHAnsi" w:cstheme="minorBidi"/>
          <w:i/>
          <w:iCs/>
          <w:spacing w:val="2"/>
        </w:rPr>
        <w:t>“Current use of E.164 numbers as identifiers for OTTs”</w:t>
      </w:r>
      <w:r w:rsidRPr="00D168BE">
        <w:rPr>
          <w:rFonts w:asciiTheme="minorHAnsi" w:eastAsia="SimSun" w:hAnsiTheme="minorHAnsi" w:cstheme="minorBidi"/>
          <w:spacing w:val="2"/>
        </w:rPr>
        <w:t xml:space="preserve">, </w:t>
      </w:r>
      <w:r w:rsidRPr="00D168BE">
        <w:rPr>
          <w:rFonts w:asciiTheme="minorHAnsi" w:eastAsia="SimSun" w:hAnsiTheme="minorHAnsi" w:cstheme="minorBidi"/>
        </w:rPr>
        <w:t xml:space="preserve">and draft Recommendation ITU-T E.ACP </w:t>
      </w:r>
      <w:r w:rsidRPr="00D168BE">
        <w:rPr>
          <w:rFonts w:asciiTheme="minorHAnsi" w:eastAsia="SimSun" w:hAnsiTheme="minorHAnsi" w:cstheme="minorBidi"/>
          <w:i/>
          <w:iCs/>
        </w:rPr>
        <w:t>“Alternative calling procedures”</w:t>
      </w:r>
      <w:r w:rsidRPr="00D168BE">
        <w:rPr>
          <w:rFonts w:asciiTheme="minorHAnsi" w:eastAsia="SimSun" w:hAnsiTheme="minorHAnsi" w:cstheme="minorBidi"/>
          <w:spacing w:val="2"/>
        </w:rPr>
        <w:t xml:space="preserve">) and </w:t>
      </w:r>
      <w:r w:rsidRPr="00D168BE">
        <w:rPr>
          <w:rFonts w:asciiTheme="minorHAnsi" w:eastAsia="SimSun" w:hAnsiTheme="minorHAnsi" w:cstheme="minorBidi"/>
          <w:b/>
          <w:bCs/>
        </w:rPr>
        <w:t>ITU-T SG3</w:t>
      </w:r>
      <w:r w:rsidRPr="00D168BE">
        <w:rPr>
          <w:rFonts w:asciiTheme="minorHAnsi" w:eastAsia="SimSun" w:hAnsiTheme="minorHAnsi" w:cstheme="minorBidi"/>
        </w:rPr>
        <w:t xml:space="preserve"> approved one regional </w:t>
      </w:r>
      <w:r w:rsidRPr="00D168BE">
        <w:rPr>
          <w:rFonts w:eastAsia="SimSun"/>
        </w:rPr>
        <w:t>Recommendation for Africa</w:t>
      </w:r>
      <w:r w:rsidRPr="00D168BE">
        <w:rPr>
          <w:rFonts w:eastAsia="SimSun"/>
          <w:bCs/>
          <w:szCs w:val="24"/>
        </w:rPr>
        <w:t xml:space="preserve"> </w:t>
      </w:r>
      <w:r w:rsidRPr="00D168BE">
        <w:rPr>
          <w:rFonts w:eastAsia="SimSun"/>
        </w:rPr>
        <w:t>on OTT voice bypass</w:t>
      </w:r>
      <w:r w:rsidRPr="00D168BE">
        <w:rPr>
          <w:rFonts w:eastAsia="SimSun"/>
          <w:szCs w:val="24"/>
        </w:rPr>
        <w:t xml:space="preserve"> </w:t>
      </w:r>
      <w:r w:rsidRPr="00D168BE">
        <w:rPr>
          <w:rFonts w:eastAsia="SimSun"/>
        </w:rPr>
        <w:t xml:space="preserve">and </w:t>
      </w:r>
      <w:r w:rsidRPr="00D168BE">
        <w:rPr>
          <w:rFonts w:eastAsia="Calibri" w:cs="Calibri"/>
          <w:szCs w:val="24"/>
        </w:rPr>
        <w:t>one regional Recommendation for Arab States on “</w:t>
      </w:r>
      <w:r w:rsidRPr="00D168BE">
        <w:rPr>
          <w:rFonts w:eastAsia="Calibri" w:cs="Calibri"/>
          <w:i/>
          <w:iCs/>
          <w:szCs w:val="24"/>
        </w:rPr>
        <w:t>Principles for dealing with OTTs</w:t>
      </w:r>
      <w:r w:rsidRPr="00D168BE">
        <w:rPr>
          <w:rFonts w:eastAsia="Calibri" w:cs="Calibri"/>
          <w:szCs w:val="24"/>
        </w:rPr>
        <w:t xml:space="preserve">”. ITU-T SG3 </w:t>
      </w:r>
      <w:r w:rsidRPr="00D168BE">
        <w:rPr>
          <w:rFonts w:eastAsia="SimSun"/>
        </w:rPr>
        <w:t xml:space="preserve">is also currently working on </w:t>
      </w:r>
      <w:r w:rsidRPr="00D168BE">
        <w:rPr>
          <w:rFonts w:eastAsia="Calibri" w:cs="Calibri"/>
          <w:szCs w:val="24"/>
        </w:rPr>
        <w:t>several work items on OTTS, including</w:t>
      </w:r>
      <w:r w:rsidRPr="00D168BE">
        <w:rPr>
          <w:rFonts w:eastAsia="SimSun"/>
        </w:rPr>
        <w:t xml:space="preserve"> a Technical Report</w:t>
      </w:r>
      <w:r w:rsidRPr="00D168BE">
        <w:rPr>
          <w:rFonts w:eastAsia="SimSun"/>
          <w:szCs w:val="24"/>
        </w:rPr>
        <w:t xml:space="preserve"> </w:t>
      </w:r>
      <w:r w:rsidRPr="00D168BE">
        <w:rPr>
          <w:rFonts w:asciiTheme="minorHAnsi" w:eastAsia="SimSun" w:hAnsiTheme="minorHAnsi" w:cstheme="minorBidi"/>
        </w:rPr>
        <w:t>to study the economic and policy aspects of OTTs</w:t>
      </w:r>
      <w:r w:rsidRPr="00D168BE">
        <w:rPr>
          <w:rFonts w:eastAsia="SimSun"/>
          <w:szCs w:val="24"/>
        </w:rPr>
        <w:t xml:space="preserve">. </w:t>
      </w:r>
      <w:r w:rsidRPr="00D168BE">
        <w:rPr>
          <w:rFonts w:asciiTheme="minorHAnsi" w:eastAsia="SimSun" w:hAnsiTheme="minorHAnsi" w:cstheme="minorBidi"/>
        </w:rPr>
        <w:t xml:space="preserve">An ITU workshop on </w:t>
      </w:r>
      <w:hyperlink r:id="rId64" w:history="1">
        <w:r w:rsidRPr="00D168BE">
          <w:rPr>
            <w:rFonts w:asciiTheme="minorHAnsi" w:eastAsia="SimSun" w:hAnsiTheme="minorHAnsi" w:cstheme="minorBidi"/>
            <w:color w:val="0563C1"/>
            <w:u w:val="single"/>
          </w:rPr>
          <w:t>“Economic and fiscal incentives to accelerate digital transformation of data and applications over telecommunication infrastructure”</w:t>
        </w:r>
      </w:hyperlink>
      <w:r w:rsidRPr="00D168BE">
        <w:rPr>
          <w:rFonts w:asciiTheme="minorHAnsi" w:eastAsia="SimSun" w:hAnsiTheme="minorHAnsi" w:cstheme="minorBidi"/>
        </w:rPr>
        <w:t>, was held from 3 to 4 November 2022 in Geneva.</w:t>
      </w:r>
    </w:p>
    <w:p w14:paraId="257674B4" w14:textId="14AB3088" w:rsidR="00A514A4" w:rsidRPr="00D168BE" w:rsidRDefault="00D168BE" w:rsidP="00D168BE">
      <w:pPr>
        <w:spacing w:before="840"/>
        <w:jc w:val="center"/>
        <w:rPr>
          <w:rFonts w:eastAsia="SimSun"/>
          <w:szCs w:val="24"/>
        </w:rPr>
      </w:pPr>
      <w:r w:rsidRPr="00D168BE">
        <w:rPr>
          <w:rFonts w:eastAsia="SimSun"/>
          <w:szCs w:val="24"/>
        </w:rPr>
        <w:t>______________</w:t>
      </w:r>
    </w:p>
    <w:sectPr w:rsidR="00A514A4" w:rsidRPr="00D168BE" w:rsidSect="00F90CD2">
      <w:footerReference w:type="default" r:id="rId65"/>
      <w:headerReference w:type="first" r:id="rId66"/>
      <w:footerReference w:type="first" r:id="rId6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BCD2" w14:textId="77777777" w:rsidR="00F90CD2" w:rsidRDefault="00F90CD2">
      <w:r>
        <w:separator/>
      </w:r>
    </w:p>
  </w:endnote>
  <w:endnote w:type="continuationSeparator" w:id="0">
    <w:p w14:paraId="24C0D2A4" w14:textId="77777777" w:rsidR="00F90CD2" w:rsidRDefault="00F9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C914478" w:rsidR="00EE49E8" w:rsidRDefault="00EE49E8" w:rsidP="00EE49E8">
          <w:pPr>
            <w:pStyle w:val="Header"/>
            <w:jc w:val="left"/>
            <w:rPr>
              <w:noProof/>
            </w:rPr>
          </w:pPr>
        </w:p>
      </w:tc>
      <w:tc>
        <w:tcPr>
          <w:tcW w:w="8261" w:type="dxa"/>
        </w:tcPr>
        <w:p w14:paraId="2D49E76E" w14:textId="7C48298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E8469B">
            <w:rPr>
              <w:bCs/>
            </w:rPr>
            <w:t>33</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160CC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10A0315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8469B">
            <w:rPr>
              <w:bCs/>
            </w:rPr>
            <w:t>33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3FD1" w14:textId="77777777" w:rsidR="00F90CD2" w:rsidRDefault="00F90CD2">
      <w:r>
        <w:t>____________________</w:t>
      </w:r>
    </w:p>
  </w:footnote>
  <w:footnote w:type="continuationSeparator" w:id="0">
    <w:p w14:paraId="02B01F65" w14:textId="77777777" w:rsidR="00F90CD2" w:rsidRDefault="00F90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25"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5"/>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F6BA"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0D2C"/>
    <w:rsid w:val="00063016"/>
    <w:rsid w:val="00066795"/>
    <w:rsid w:val="000674EC"/>
    <w:rsid w:val="00076AF6"/>
    <w:rsid w:val="00085CF2"/>
    <w:rsid w:val="000B1705"/>
    <w:rsid w:val="000D75B2"/>
    <w:rsid w:val="001121F5"/>
    <w:rsid w:val="001400DC"/>
    <w:rsid w:val="00140CE1"/>
    <w:rsid w:val="00160CC9"/>
    <w:rsid w:val="0017539C"/>
    <w:rsid w:val="00175AC2"/>
    <w:rsid w:val="0017609F"/>
    <w:rsid w:val="001A7D1D"/>
    <w:rsid w:val="001B51DD"/>
    <w:rsid w:val="001C628E"/>
    <w:rsid w:val="001E0F7B"/>
    <w:rsid w:val="002119FD"/>
    <w:rsid w:val="002130E0"/>
    <w:rsid w:val="0025260C"/>
    <w:rsid w:val="00264425"/>
    <w:rsid w:val="00265875"/>
    <w:rsid w:val="0027303B"/>
    <w:rsid w:val="0028109B"/>
    <w:rsid w:val="002A2188"/>
    <w:rsid w:val="002B1F58"/>
    <w:rsid w:val="002C1C7A"/>
    <w:rsid w:val="002C54E2"/>
    <w:rsid w:val="0030160F"/>
    <w:rsid w:val="00306C7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73913"/>
    <w:rsid w:val="005800BC"/>
    <w:rsid w:val="00582442"/>
    <w:rsid w:val="005A2083"/>
    <w:rsid w:val="005C0DDA"/>
    <w:rsid w:val="005F148B"/>
    <w:rsid w:val="005F3269"/>
    <w:rsid w:val="00623AE3"/>
    <w:rsid w:val="0064737F"/>
    <w:rsid w:val="006535F1"/>
    <w:rsid w:val="0065557D"/>
    <w:rsid w:val="00660D50"/>
    <w:rsid w:val="00662984"/>
    <w:rsid w:val="006716BB"/>
    <w:rsid w:val="006732CB"/>
    <w:rsid w:val="006850BE"/>
    <w:rsid w:val="006B1859"/>
    <w:rsid w:val="006B6680"/>
    <w:rsid w:val="006B6DCC"/>
    <w:rsid w:val="00702DEF"/>
    <w:rsid w:val="00706861"/>
    <w:rsid w:val="0075051B"/>
    <w:rsid w:val="00793188"/>
    <w:rsid w:val="00794D34"/>
    <w:rsid w:val="00795513"/>
    <w:rsid w:val="00813E5E"/>
    <w:rsid w:val="00823093"/>
    <w:rsid w:val="0083581B"/>
    <w:rsid w:val="00863874"/>
    <w:rsid w:val="00864AFF"/>
    <w:rsid w:val="00865925"/>
    <w:rsid w:val="008B4A6A"/>
    <w:rsid w:val="008C2D09"/>
    <w:rsid w:val="008C7E27"/>
    <w:rsid w:val="008F7448"/>
    <w:rsid w:val="0090147A"/>
    <w:rsid w:val="009173EF"/>
    <w:rsid w:val="00932906"/>
    <w:rsid w:val="0095730E"/>
    <w:rsid w:val="00961B0B"/>
    <w:rsid w:val="00962D33"/>
    <w:rsid w:val="009B38C3"/>
    <w:rsid w:val="009E17BD"/>
    <w:rsid w:val="009E485A"/>
    <w:rsid w:val="00A04CEC"/>
    <w:rsid w:val="00A27F92"/>
    <w:rsid w:val="00A32257"/>
    <w:rsid w:val="00A36D20"/>
    <w:rsid w:val="00A514A4"/>
    <w:rsid w:val="00A55622"/>
    <w:rsid w:val="00A83502"/>
    <w:rsid w:val="00AA37EB"/>
    <w:rsid w:val="00AD15B3"/>
    <w:rsid w:val="00AD3606"/>
    <w:rsid w:val="00AD4A3D"/>
    <w:rsid w:val="00AF6E49"/>
    <w:rsid w:val="00B04A67"/>
    <w:rsid w:val="00B0583C"/>
    <w:rsid w:val="00B40A81"/>
    <w:rsid w:val="00B438AA"/>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168BE"/>
    <w:rsid w:val="00D22C42"/>
    <w:rsid w:val="00D444F3"/>
    <w:rsid w:val="00D65041"/>
    <w:rsid w:val="00D92611"/>
    <w:rsid w:val="00DB1936"/>
    <w:rsid w:val="00DB384B"/>
    <w:rsid w:val="00DF0189"/>
    <w:rsid w:val="00E06FD5"/>
    <w:rsid w:val="00E10E80"/>
    <w:rsid w:val="00E124F0"/>
    <w:rsid w:val="00E227F3"/>
    <w:rsid w:val="00E23618"/>
    <w:rsid w:val="00E34845"/>
    <w:rsid w:val="00E545C6"/>
    <w:rsid w:val="00E60F04"/>
    <w:rsid w:val="00E65B24"/>
    <w:rsid w:val="00E8469B"/>
    <w:rsid w:val="00E854E4"/>
    <w:rsid w:val="00E86DBF"/>
    <w:rsid w:val="00E87274"/>
    <w:rsid w:val="00E87A7E"/>
    <w:rsid w:val="00EB0D6F"/>
    <w:rsid w:val="00EB2232"/>
    <w:rsid w:val="00EC5337"/>
    <w:rsid w:val="00EE49E8"/>
    <w:rsid w:val="00F16BAB"/>
    <w:rsid w:val="00F2150A"/>
    <w:rsid w:val="00F231D8"/>
    <w:rsid w:val="00F331AD"/>
    <w:rsid w:val="00F44C00"/>
    <w:rsid w:val="00F45D2C"/>
    <w:rsid w:val="00F46C5F"/>
    <w:rsid w:val="00F632C0"/>
    <w:rsid w:val="00F74710"/>
    <w:rsid w:val="00F90CD2"/>
    <w:rsid w:val="00F94A63"/>
    <w:rsid w:val="00FA1C28"/>
    <w:rsid w:val="00FB1279"/>
    <w:rsid w:val="00FB6B76"/>
    <w:rsid w:val="00FB7596"/>
    <w:rsid w:val="00FE0E43"/>
    <w:rsid w:val="00FE2268"/>
    <w:rsid w:val="00FE4077"/>
    <w:rsid w:val="00FE500D"/>
    <w:rsid w:val="00FE77D2"/>
    <w:rsid w:val="37A207A2"/>
    <w:rsid w:val="3A3A3D6F"/>
    <w:rsid w:val="57716A84"/>
    <w:rsid w:val="60FF24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D168BE"/>
    <w:pPr>
      <w:framePr w:hSpace="180" w:wrap="around" w:vAnchor="page" w:hAnchor="page" w:x="1821" w:y="2317"/>
      <w:spacing w:before="36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D168BE"/>
    <w:rPr>
      <w:color w:val="605E5C"/>
      <w:shd w:val="clear" w:color="auto" w:fill="E1DFDD"/>
    </w:rPr>
  </w:style>
  <w:style w:type="character" w:styleId="CommentReference">
    <w:name w:val="annotation reference"/>
    <w:basedOn w:val="DefaultParagraphFont"/>
    <w:semiHidden/>
    <w:unhideWhenUsed/>
    <w:rsid w:val="00D168BE"/>
    <w:rPr>
      <w:sz w:val="16"/>
      <w:szCs w:val="16"/>
    </w:rPr>
  </w:style>
  <w:style w:type="paragraph" w:styleId="CommentText">
    <w:name w:val="annotation text"/>
    <w:basedOn w:val="Normal"/>
    <w:link w:val="CommentTextChar"/>
    <w:unhideWhenUsed/>
    <w:rsid w:val="00D168BE"/>
    <w:rPr>
      <w:rFonts w:eastAsia="SimSun"/>
      <w:sz w:val="20"/>
    </w:rPr>
  </w:style>
  <w:style w:type="character" w:customStyle="1" w:styleId="CommentTextChar">
    <w:name w:val="Comment Text Char"/>
    <w:basedOn w:val="DefaultParagraphFont"/>
    <w:link w:val="CommentText"/>
    <w:rsid w:val="00D168BE"/>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AA37EB"/>
    <w:rPr>
      <w:rFonts w:eastAsia="Times New Roman"/>
      <w:b/>
      <w:bCs/>
    </w:rPr>
  </w:style>
  <w:style w:type="character" w:customStyle="1" w:styleId="CommentSubjectChar">
    <w:name w:val="Comment Subject Char"/>
    <w:basedOn w:val="CommentTextChar"/>
    <w:link w:val="CommentSubject"/>
    <w:semiHidden/>
    <w:rsid w:val="00AA37EB"/>
    <w:rPr>
      <w:rFonts w:ascii="Calibri" w:eastAsia="SimSun" w:hAnsi="Calibri"/>
      <w:b/>
      <w:bCs/>
      <w:lang w:val="en-GB" w:eastAsia="en-US"/>
    </w:rPr>
  </w:style>
  <w:style w:type="character" w:styleId="Mention">
    <w:name w:val="Mention"/>
    <w:basedOn w:val="DefaultParagraphFont"/>
    <w:uiPriority w:val="99"/>
    <w:unhideWhenUsed/>
    <w:rsid w:val="00AA37EB"/>
    <w:rPr>
      <w:color w:val="2B579A"/>
      <w:shd w:val="clear" w:color="auto" w:fill="E1DFDD"/>
    </w:rPr>
  </w:style>
  <w:style w:type="paragraph" w:styleId="Revision">
    <w:name w:val="Revision"/>
    <w:hidden/>
    <w:uiPriority w:val="99"/>
    <w:semiHidden/>
    <w:rsid w:val="005A208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64-2022" TargetMode="External"/><Relationship Id="rId21" Type="http://schemas.openxmlformats.org/officeDocument/2006/relationships/hyperlink" Target="https://www.itu.int/pub/publications.aspx?lang=en&amp;parent=T-RES-T.49-2016" TargetMode="External"/><Relationship Id="rId42" Type="http://schemas.openxmlformats.org/officeDocument/2006/relationships/hyperlink" Target="https://www.itu.int/md/S24-CL-C-0018/en" TargetMode="External"/><Relationship Id="rId47" Type="http://schemas.openxmlformats.org/officeDocument/2006/relationships/hyperlink" Target="https://www.itu.int/en/ITU-T/focusgroups/ai4a/Pages/default.aspx" TargetMode="External"/><Relationship Id="rId63" Type="http://schemas.openxmlformats.org/officeDocument/2006/relationships/hyperlink" Target="https://bbmaps.itu.int/bbmap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S09-CL-C-0105" TargetMode="External"/><Relationship Id="rId29" Type="http://schemas.openxmlformats.org/officeDocument/2006/relationships/hyperlink" Target="https://www.itu.int/pub/publications.aspx?lang=en&amp;parent=T-RES-T.98-2022" TargetMode="External"/><Relationship Id="rId11" Type="http://schemas.openxmlformats.org/officeDocument/2006/relationships/hyperlink" Target="https://www.itu.int/en/council/Documents/basic-texts-2023/RES-101-E.pdf" TargetMode="External"/><Relationship Id="rId24" Type="http://schemas.openxmlformats.org/officeDocument/2006/relationships/hyperlink" Target="https://www.itu.int/pub/publications.aspx?lang=en&amp;parent=T-RES-T.58-2022" TargetMode="External"/><Relationship Id="rId32" Type="http://schemas.openxmlformats.org/officeDocument/2006/relationships/hyperlink" Target="http://www.itu.int/en/action/internet/Documents/Resolution_45_wtdc14.pdf" TargetMode="External"/><Relationship Id="rId37" Type="http://schemas.openxmlformats.org/officeDocument/2006/relationships/hyperlink" Target="https://www.itu.int/md/S20-CL-C-0033/en" TargetMode="External"/><Relationship Id="rId40" Type="http://schemas.openxmlformats.org/officeDocument/2006/relationships/hyperlink" Target="https://www.itu.int/md/S23-CL-C-0033/en" TargetMode="External"/><Relationship Id="rId45" Type="http://schemas.openxmlformats.org/officeDocument/2006/relationships/hyperlink" Target="https://www.itu.int/en/ITU-T/focusgroups/ai4ndm/Pages/default.aspx" TargetMode="External"/><Relationship Id="rId53" Type="http://schemas.openxmlformats.org/officeDocument/2006/relationships/hyperlink" Target="https://academy.itu.int/itu-d/projects-activities/centres-excellence/coe-overview" TargetMode="External"/><Relationship Id="rId58" Type="http://schemas.openxmlformats.org/officeDocument/2006/relationships/hyperlink" Target="https://www.itu.int/en/ITU-D/Study-Groups/2018-2021/Pages/Publications.aspx"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tu.int/md/S24-CL-C-0051/en" TargetMode="External"/><Relationship Id="rId19" Type="http://schemas.openxmlformats.org/officeDocument/2006/relationships/hyperlink" Target="https://www.itu.int/pub/publications.aspx?lang=en&amp;parent=T-RES-T.47-2022" TargetMode="External"/><Relationship Id="rId14" Type="http://schemas.openxmlformats.org/officeDocument/2006/relationships/hyperlink" Target="https://www.itu.int/en/council/Documents/basic-texts-2023/RES-180-E.pdf" TargetMode="External"/><Relationship Id="rId22" Type="http://schemas.openxmlformats.org/officeDocument/2006/relationships/hyperlink" Target="https://www.itu.int/pub/publications.aspx?lang=en&amp;parent=T-RES-T.50-2022" TargetMode="External"/><Relationship Id="rId27" Type="http://schemas.openxmlformats.org/officeDocument/2006/relationships/hyperlink" Target="https://www.itu.int/pub/publications.aspx?lang=en&amp;parent=T-RES-T.69-2022" TargetMode="External"/><Relationship Id="rId30" Type="http://schemas.openxmlformats.org/officeDocument/2006/relationships/hyperlink" Target="https://www.itu.int/en/ITU-D/Conferences/WTDC/WTDC17/Documents/WTDC17_FinalReport_en.pdf" TargetMode="External"/><Relationship Id="rId35" Type="http://schemas.openxmlformats.org/officeDocument/2006/relationships/hyperlink" Target="https://www.itu.int/md/S18-CL-C-0033/en" TargetMode="External"/><Relationship Id="rId43" Type="http://schemas.openxmlformats.org/officeDocument/2006/relationships/hyperlink" Target="https://www.itu.int/en/ITU-T/focusgroups/mv/Pages/default.aspx" TargetMode="External"/><Relationship Id="rId48" Type="http://schemas.openxmlformats.org/officeDocument/2006/relationships/hyperlink" Target="https://www.itu.int/en/ITU-T/focusgroups/cd/Pages/default.aspx" TargetMode="External"/><Relationship Id="rId56" Type="http://schemas.openxmlformats.org/officeDocument/2006/relationships/hyperlink" Target="https://www.itu.int/pub/D-STG-SG01.01.1-2017" TargetMode="External"/><Relationship Id="rId64" Type="http://schemas.openxmlformats.org/officeDocument/2006/relationships/hyperlink" Target="https://www.itu.int/en/ITU-T/Workshops-and-Seminars/2022/1103/Pages/default.aspx"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S24-CL-C-0035/en" TargetMode="External"/><Relationship Id="rId3" Type="http://schemas.openxmlformats.org/officeDocument/2006/relationships/customXml" Target="../customXml/item3.xml"/><Relationship Id="rId12" Type="http://schemas.openxmlformats.org/officeDocument/2006/relationships/hyperlink" Target="https://www.itu.int/en/council/Documents/basic-texts-2023/RES-102-E.pdf" TargetMode="External"/><Relationship Id="rId17" Type="http://schemas.openxmlformats.org/officeDocument/2006/relationships/hyperlink" Target="http://www.itu.int/md/S15-CL-C-0113/en" TargetMode="External"/><Relationship Id="rId25" Type="http://schemas.openxmlformats.org/officeDocument/2006/relationships/hyperlink" Target="https://www.itu.int/pub/publications.aspx?lang=en&amp;parent=T-RES-T.60-2022" TargetMode="External"/><Relationship Id="rId33" Type="http://schemas.openxmlformats.org/officeDocument/2006/relationships/hyperlink" Target="http://www.itu.int/md/S16-CL-C-0033/en" TargetMode="External"/><Relationship Id="rId38" Type="http://schemas.openxmlformats.org/officeDocument/2006/relationships/hyperlink" Target="https://www.itu.int/md/S21-CL-C-0033/en" TargetMode="External"/><Relationship Id="rId46" Type="http://schemas.openxmlformats.org/officeDocument/2006/relationships/hyperlink" Target="https://www.itu.int/en/ITU-T/focusgroups/an/Pages/default.aspx" TargetMode="External"/><Relationship Id="rId59" Type="http://schemas.openxmlformats.org/officeDocument/2006/relationships/hyperlink" Target="https://www.itu.int/en/council/cwg-internet/Pages/default.aspx" TargetMode="External"/><Relationship Id="rId67" Type="http://schemas.openxmlformats.org/officeDocument/2006/relationships/footer" Target="footer2.xml"/><Relationship Id="rId20" Type="http://schemas.openxmlformats.org/officeDocument/2006/relationships/hyperlink" Target="https://www.itu.int/pub/publications.aspx?lang=en&amp;parent=T-RES-T.48-2022" TargetMode="External"/><Relationship Id="rId41" Type="http://schemas.openxmlformats.org/officeDocument/2006/relationships/hyperlink" Target="https://www.itu.int/ITU-T/workprog/wp_search.aspx?isn_sp=8265&amp;isn_status=-1,8,1,3,7,2&amp;adf=2023-03-01&amp;adt=2024-03-25&amp;details=0&amp;field=acdefghijo" TargetMode="External"/><Relationship Id="rId54" Type="http://schemas.openxmlformats.org/officeDocument/2006/relationships/hyperlink" Target="https://www.itu.int/en/ITU-T/ipv6/Pages/default.aspx" TargetMode="External"/><Relationship Id="rId62" Type="http://schemas.openxmlformats.org/officeDocument/2006/relationships/hyperlink" Target="http://www.itu.int/ITU-T/inr/enu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206-E.pdf" TargetMode="External"/><Relationship Id="rId23" Type="http://schemas.openxmlformats.org/officeDocument/2006/relationships/hyperlink" Target="https://www.itu.int/pub/publications.aspx?lang=en&amp;parent=T-RES-T.52-2022" TargetMode="External"/><Relationship Id="rId28" Type="http://schemas.openxmlformats.org/officeDocument/2006/relationships/hyperlink" Target="https://www.itu.int/pub/publications.aspx?lang=en&amp;parent=T-RES-T.75-2022" TargetMode="External"/><Relationship Id="rId36" Type="http://schemas.openxmlformats.org/officeDocument/2006/relationships/hyperlink" Target="https://www.itu.int/md/S19-CL-C-0033/en" TargetMode="External"/><Relationship Id="rId49" Type="http://schemas.openxmlformats.org/officeDocument/2006/relationships/hyperlink" Target="https://www.itu.int/net/ITU-T/res69/Default.aspx" TargetMode="External"/><Relationship Id="rId57" Type="http://schemas.openxmlformats.org/officeDocument/2006/relationships/hyperlink" Target="https://www.itu.int/net4/ITU-D/CDS/sg/rgqlist.asp?lg=1&amp;sp=2014&amp;rgq=D14-SG01-RGQ01.1&amp;stg=1"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44" Type="http://schemas.openxmlformats.org/officeDocument/2006/relationships/hyperlink" Target="https://www.itu.int/en/ITU-T/focusgroups/tbfxg/Pages/default.aspx" TargetMode="External"/><Relationship Id="rId52" Type="http://schemas.openxmlformats.org/officeDocument/2006/relationships/hyperlink" Target="https://academy.itu.int/" TargetMode="External"/><Relationship Id="rId60" Type="http://schemas.openxmlformats.org/officeDocument/2006/relationships/hyperlink" Target="https://www.itu.int/en/council/cwg-internet/Pages/consultation-feb2024.aspx"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RES-133-E.pdf" TargetMode="External"/><Relationship Id="rId18" Type="http://schemas.openxmlformats.org/officeDocument/2006/relationships/hyperlink" Target="http://www.itu.int/md/S15-CL-C-0112/en" TargetMode="External"/><Relationship Id="rId39" Type="http://schemas.openxmlformats.org/officeDocument/2006/relationships/hyperlink" Target="https://www.itu.int/md/S22-CL-C-0033/en" TargetMode="External"/><Relationship Id="rId34" Type="http://schemas.openxmlformats.org/officeDocument/2006/relationships/hyperlink" Target="https://www.itu.int/md/S17-CL-C-0033/en" TargetMode="External"/><Relationship Id="rId50" Type="http://schemas.openxmlformats.org/officeDocument/2006/relationships/hyperlink" Target="https://www.itu.int/net/ITU-T/res69/secured/notifications.aspx" TargetMode="External"/><Relationship Id="rId55" Type="http://schemas.openxmlformats.org/officeDocument/2006/relationships/hyperlink" Target="https://www.itu.int/en/ITU-D/Regional-Presence/ArabStates/Pages/Projects/IPv6%26IoT/IPV6-IO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E89ED-4255-4B9E-85D7-5CEF19BC2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1626B-4809-4904-909A-9F98E9BEC2AF}">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6A174282-AADB-43A6-9C82-47D8E2B4D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1724</Words>
  <Characters>14168</Characters>
  <Application>Microsoft Office Word</Application>
  <DocSecurity>0</DocSecurity>
  <Lines>118</Lines>
  <Paragraphs>31</Paragraphs>
  <ScaleCrop>false</ScaleCrop>
  <HeadingPairs>
    <vt:vector size="2" baseType="variant">
      <vt:variant>
        <vt:lpstr>Title</vt:lpstr>
      </vt:variant>
      <vt:variant>
        <vt:i4>1</vt:i4>
      </vt:variant>
    </vt:vector>
  </HeadingPairs>
  <TitlesOfParts>
    <vt:vector size="1" baseType="lpstr">
      <vt:lpstr>ITU Internet activities: Resolutions 101, 102, 133, 180 and 206</vt:lpstr>
    </vt:vector>
  </TitlesOfParts>
  <Manager>General Secretariat - Pool</Manager>
  <Company>International Telecommunication Union (ITU)</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2024</dc:subject>
  <dc:creator>author</dc:creator>
  <cp:keywords>C2024, C24, Council-24</cp:keywords>
  <dc:description/>
  <cp:lastModifiedBy>Brouard, Ricarda</cp:lastModifiedBy>
  <cp:revision>3</cp:revision>
  <cp:lastPrinted>2000-07-18T13:30:00Z</cp:lastPrinted>
  <dcterms:created xsi:type="dcterms:W3CDTF">2024-04-26T15:28:00Z</dcterms:created>
  <dcterms:modified xsi:type="dcterms:W3CDTF">2024-04-26T15:29:00Z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