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5E36EF" w14:paraId="7A0D6BA6" w14:textId="77777777" w:rsidTr="00D72F49">
        <w:trPr>
          <w:cantSplit/>
          <w:trHeight w:val="23"/>
        </w:trPr>
        <w:tc>
          <w:tcPr>
            <w:tcW w:w="3969" w:type="dxa"/>
            <w:vMerge w:val="restart"/>
            <w:tcMar>
              <w:left w:w="0" w:type="dxa"/>
            </w:tcMar>
          </w:tcPr>
          <w:p w14:paraId="26F69DD8" w14:textId="3CAF3D93" w:rsidR="00D72F49" w:rsidRPr="005E36EF" w:rsidRDefault="00D72F49" w:rsidP="00D72F49">
            <w:pPr>
              <w:tabs>
                <w:tab w:val="left" w:pos="851"/>
              </w:tabs>
              <w:spacing w:before="0" w:line="240" w:lineRule="atLeast"/>
              <w:rPr>
                <w:b/>
              </w:rPr>
            </w:pPr>
            <w:r w:rsidRPr="005E36EF">
              <w:rPr>
                <w:b/>
              </w:rPr>
              <w:t>Point de l</w:t>
            </w:r>
            <w:r w:rsidR="00A8661D" w:rsidRPr="005E36EF">
              <w:rPr>
                <w:b/>
              </w:rPr>
              <w:t>'</w:t>
            </w:r>
            <w:r w:rsidRPr="005E36EF">
              <w:rPr>
                <w:b/>
              </w:rPr>
              <w:t>ordre du jour:</w:t>
            </w:r>
            <w:r w:rsidR="00EA2B37" w:rsidRPr="005E36EF">
              <w:rPr>
                <w:b/>
              </w:rPr>
              <w:t xml:space="preserve"> PL 1</w:t>
            </w:r>
          </w:p>
        </w:tc>
        <w:tc>
          <w:tcPr>
            <w:tcW w:w="5245" w:type="dxa"/>
          </w:tcPr>
          <w:p w14:paraId="5E122B21" w14:textId="5B136AEE" w:rsidR="00D72F49" w:rsidRPr="005E36EF" w:rsidRDefault="00D72F49" w:rsidP="00D72F49">
            <w:pPr>
              <w:tabs>
                <w:tab w:val="left" w:pos="851"/>
              </w:tabs>
              <w:spacing w:before="0" w:line="240" w:lineRule="atLeast"/>
              <w:jc w:val="right"/>
              <w:rPr>
                <w:b/>
              </w:rPr>
            </w:pPr>
            <w:r w:rsidRPr="005E36EF">
              <w:rPr>
                <w:b/>
              </w:rPr>
              <w:t>Document C2</w:t>
            </w:r>
            <w:r w:rsidR="0073275D" w:rsidRPr="005E36EF">
              <w:rPr>
                <w:b/>
              </w:rPr>
              <w:t>4</w:t>
            </w:r>
            <w:r w:rsidRPr="005E36EF">
              <w:rPr>
                <w:b/>
              </w:rPr>
              <w:t>/</w:t>
            </w:r>
            <w:r w:rsidR="00EA2B37" w:rsidRPr="005E36EF">
              <w:rPr>
                <w:b/>
              </w:rPr>
              <w:t>35</w:t>
            </w:r>
            <w:r w:rsidRPr="005E36EF">
              <w:rPr>
                <w:b/>
              </w:rPr>
              <w:t>-F</w:t>
            </w:r>
          </w:p>
        </w:tc>
      </w:tr>
      <w:tr w:rsidR="00D72F49" w:rsidRPr="005E36EF" w14:paraId="54EC43EA" w14:textId="77777777" w:rsidTr="00D72F49">
        <w:trPr>
          <w:cantSplit/>
        </w:trPr>
        <w:tc>
          <w:tcPr>
            <w:tcW w:w="3969" w:type="dxa"/>
            <w:vMerge/>
          </w:tcPr>
          <w:p w14:paraId="6FE7B743" w14:textId="77777777" w:rsidR="00D72F49" w:rsidRPr="005E36EF" w:rsidRDefault="00D72F49" w:rsidP="00D72F49">
            <w:pPr>
              <w:tabs>
                <w:tab w:val="left" w:pos="851"/>
              </w:tabs>
              <w:spacing w:line="240" w:lineRule="atLeast"/>
              <w:rPr>
                <w:b/>
              </w:rPr>
            </w:pPr>
          </w:p>
        </w:tc>
        <w:tc>
          <w:tcPr>
            <w:tcW w:w="5245" w:type="dxa"/>
          </w:tcPr>
          <w:p w14:paraId="276E7E33" w14:textId="54E78693" w:rsidR="00D72F49" w:rsidRPr="005E36EF" w:rsidRDefault="005D7A51" w:rsidP="00D72F49">
            <w:pPr>
              <w:tabs>
                <w:tab w:val="left" w:pos="851"/>
              </w:tabs>
              <w:spacing w:before="0"/>
              <w:jc w:val="right"/>
              <w:rPr>
                <w:b/>
              </w:rPr>
            </w:pPr>
            <w:r w:rsidRPr="005E36EF">
              <w:rPr>
                <w:b/>
              </w:rPr>
              <w:t>9 mai</w:t>
            </w:r>
            <w:r w:rsidR="00D72F49" w:rsidRPr="005E36EF">
              <w:rPr>
                <w:b/>
              </w:rPr>
              <w:t xml:space="preserve"> 202</w:t>
            </w:r>
            <w:r w:rsidR="0073275D" w:rsidRPr="005E36EF">
              <w:rPr>
                <w:b/>
              </w:rPr>
              <w:t>4</w:t>
            </w:r>
          </w:p>
        </w:tc>
      </w:tr>
      <w:tr w:rsidR="00D72F49" w:rsidRPr="005E36EF" w14:paraId="41E42038" w14:textId="77777777" w:rsidTr="00D72F49">
        <w:trPr>
          <w:cantSplit/>
          <w:trHeight w:val="23"/>
        </w:trPr>
        <w:tc>
          <w:tcPr>
            <w:tcW w:w="3969" w:type="dxa"/>
            <w:vMerge/>
          </w:tcPr>
          <w:p w14:paraId="06F65C9A" w14:textId="77777777" w:rsidR="00D72F49" w:rsidRPr="005E36EF" w:rsidRDefault="00D72F49" w:rsidP="00D72F49">
            <w:pPr>
              <w:tabs>
                <w:tab w:val="left" w:pos="851"/>
              </w:tabs>
              <w:spacing w:line="240" w:lineRule="atLeast"/>
              <w:rPr>
                <w:b/>
              </w:rPr>
            </w:pPr>
          </w:p>
        </w:tc>
        <w:tc>
          <w:tcPr>
            <w:tcW w:w="5245" w:type="dxa"/>
          </w:tcPr>
          <w:p w14:paraId="344B2556" w14:textId="77777777" w:rsidR="00D72F49" w:rsidRPr="005E36EF" w:rsidRDefault="00D72F49" w:rsidP="00D72F49">
            <w:pPr>
              <w:tabs>
                <w:tab w:val="left" w:pos="851"/>
              </w:tabs>
              <w:spacing w:before="0" w:line="240" w:lineRule="atLeast"/>
              <w:jc w:val="right"/>
              <w:rPr>
                <w:b/>
              </w:rPr>
            </w:pPr>
            <w:r w:rsidRPr="005E36EF">
              <w:rPr>
                <w:b/>
              </w:rPr>
              <w:t>Original: anglais</w:t>
            </w:r>
          </w:p>
        </w:tc>
      </w:tr>
      <w:tr w:rsidR="00D72F49" w:rsidRPr="005E36EF" w14:paraId="78CB947F" w14:textId="77777777" w:rsidTr="00D72F49">
        <w:trPr>
          <w:cantSplit/>
          <w:trHeight w:val="23"/>
        </w:trPr>
        <w:tc>
          <w:tcPr>
            <w:tcW w:w="3969" w:type="dxa"/>
          </w:tcPr>
          <w:p w14:paraId="67B4E539" w14:textId="77777777" w:rsidR="00D72F49" w:rsidRPr="005E36EF" w:rsidRDefault="00D72F49" w:rsidP="00D72F49">
            <w:pPr>
              <w:tabs>
                <w:tab w:val="left" w:pos="851"/>
              </w:tabs>
              <w:spacing w:line="240" w:lineRule="atLeast"/>
              <w:rPr>
                <w:b/>
              </w:rPr>
            </w:pPr>
          </w:p>
        </w:tc>
        <w:tc>
          <w:tcPr>
            <w:tcW w:w="5245" w:type="dxa"/>
          </w:tcPr>
          <w:p w14:paraId="21CAB697" w14:textId="77777777" w:rsidR="00D72F49" w:rsidRPr="005E36EF" w:rsidRDefault="00D72F49" w:rsidP="00D72F49">
            <w:pPr>
              <w:tabs>
                <w:tab w:val="left" w:pos="851"/>
              </w:tabs>
              <w:spacing w:before="0" w:line="240" w:lineRule="atLeast"/>
              <w:jc w:val="right"/>
              <w:rPr>
                <w:b/>
              </w:rPr>
            </w:pPr>
          </w:p>
        </w:tc>
      </w:tr>
      <w:tr w:rsidR="00D72F49" w:rsidRPr="005E36EF" w14:paraId="44D1B0E8" w14:textId="77777777" w:rsidTr="00D72F49">
        <w:trPr>
          <w:cantSplit/>
        </w:trPr>
        <w:tc>
          <w:tcPr>
            <w:tcW w:w="9214" w:type="dxa"/>
            <w:gridSpan w:val="2"/>
            <w:tcMar>
              <w:left w:w="0" w:type="dxa"/>
            </w:tcMar>
          </w:tcPr>
          <w:p w14:paraId="350CBD94" w14:textId="77777777" w:rsidR="00D72F49" w:rsidRPr="005E36EF" w:rsidRDefault="00D72F49" w:rsidP="00D72F49">
            <w:pPr>
              <w:pStyle w:val="Source"/>
              <w:jc w:val="left"/>
              <w:rPr>
                <w:sz w:val="34"/>
                <w:szCs w:val="34"/>
              </w:rPr>
            </w:pPr>
            <w:r w:rsidRPr="005E36EF">
              <w:rPr>
                <w:rFonts w:cstheme="minorHAnsi"/>
                <w:color w:val="000000"/>
                <w:sz w:val="34"/>
                <w:szCs w:val="34"/>
              </w:rPr>
              <w:t xml:space="preserve">Rapport </w:t>
            </w:r>
            <w:r w:rsidR="00E95647" w:rsidRPr="005E36EF">
              <w:rPr>
                <w:rFonts w:cstheme="minorHAnsi"/>
                <w:color w:val="000000"/>
                <w:sz w:val="34"/>
                <w:szCs w:val="34"/>
              </w:rPr>
              <w:t xml:space="preserve">de la </w:t>
            </w:r>
            <w:r w:rsidRPr="005E36EF">
              <w:rPr>
                <w:rFonts w:cstheme="minorHAnsi"/>
                <w:color w:val="000000"/>
                <w:sz w:val="34"/>
                <w:szCs w:val="34"/>
              </w:rPr>
              <w:t>Secrétaire général</w:t>
            </w:r>
            <w:r w:rsidR="00E95647" w:rsidRPr="005E36EF">
              <w:rPr>
                <w:rFonts w:cstheme="minorHAnsi"/>
                <w:color w:val="000000"/>
                <w:sz w:val="34"/>
                <w:szCs w:val="34"/>
              </w:rPr>
              <w:t>e</w:t>
            </w:r>
          </w:p>
        </w:tc>
      </w:tr>
      <w:tr w:rsidR="00D72F49" w:rsidRPr="005E36EF" w14:paraId="31994D23" w14:textId="77777777" w:rsidTr="00D72F49">
        <w:trPr>
          <w:cantSplit/>
        </w:trPr>
        <w:tc>
          <w:tcPr>
            <w:tcW w:w="9214" w:type="dxa"/>
            <w:gridSpan w:val="2"/>
            <w:tcMar>
              <w:left w:w="0" w:type="dxa"/>
            </w:tcMar>
          </w:tcPr>
          <w:p w14:paraId="3B7C7B77" w14:textId="2A6099DF" w:rsidR="00D72F49" w:rsidRPr="005E36EF" w:rsidRDefault="00EA2B37" w:rsidP="00D72F49">
            <w:pPr>
              <w:pStyle w:val="Subtitle"/>
              <w:framePr w:hSpace="0" w:wrap="auto" w:hAnchor="text" w:xAlign="left" w:yAlign="inline"/>
              <w:rPr>
                <w:lang w:val="fr-FR"/>
              </w:rPr>
            </w:pPr>
            <w:r w:rsidRPr="005E36EF">
              <w:rPr>
                <w:rFonts w:cstheme="minorHAnsi"/>
                <w:lang w:val="fr-FR"/>
              </w:rPr>
              <w:t>RAPPORT SUR LA MISE EN ŒUVRE DU PLAN STRATÉGIQUE ET LES ACTIVITÉS DE L</w:t>
            </w:r>
            <w:r w:rsidR="00A8661D" w:rsidRPr="005E36EF">
              <w:rPr>
                <w:rFonts w:cstheme="minorHAnsi"/>
                <w:lang w:val="fr-FR"/>
              </w:rPr>
              <w:t>'</w:t>
            </w:r>
            <w:r w:rsidRPr="005E36EF">
              <w:rPr>
                <w:rFonts w:cstheme="minorHAnsi"/>
                <w:lang w:val="fr-FR"/>
              </w:rPr>
              <w:t>UNION, MAI 2023</w:t>
            </w:r>
            <w:r w:rsidR="008C72A3" w:rsidRPr="005E36EF">
              <w:rPr>
                <w:rFonts w:cstheme="minorHAnsi"/>
                <w:lang w:val="fr-FR"/>
              </w:rPr>
              <w:t xml:space="preserve"> </w:t>
            </w:r>
            <w:r w:rsidRPr="005E36EF">
              <w:rPr>
                <w:rFonts w:cstheme="minorHAnsi"/>
                <w:lang w:val="fr-FR"/>
              </w:rPr>
              <w:t>–</w:t>
            </w:r>
            <w:r w:rsidR="008C72A3" w:rsidRPr="005E36EF">
              <w:rPr>
                <w:rFonts w:cstheme="minorHAnsi"/>
                <w:lang w:val="fr-FR"/>
              </w:rPr>
              <w:t xml:space="preserve"> </w:t>
            </w:r>
            <w:r w:rsidRPr="005E36EF">
              <w:rPr>
                <w:rFonts w:cstheme="minorHAnsi"/>
                <w:lang w:val="fr-FR"/>
              </w:rPr>
              <w:t>AVRIL 2024</w:t>
            </w:r>
          </w:p>
        </w:tc>
      </w:tr>
      <w:tr w:rsidR="00D72F49" w:rsidRPr="005E36EF" w14:paraId="29C2B049" w14:textId="77777777" w:rsidTr="00D72F49">
        <w:trPr>
          <w:cantSplit/>
        </w:trPr>
        <w:tc>
          <w:tcPr>
            <w:tcW w:w="9214" w:type="dxa"/>
            <w:gridSpan w:val="2"/>
            <w:tcBorders>
              <w:top w:val="single" w:sz="4" w:space="0" w:color="auto"/>
              <w:bottom w:val="single" w:sz="4" w:space="0" w:color="auto"/>
            </w:tcBorders>
            <w:tcMar>
              <w:left w:w="0" w:type="dxa"/>
            </w:tcMar>
          </w:tcPr>
          <w:p w14:paraId="61310770" w14:textId="77777777" w:rsidR="00D72F49" w:rsidRPr="005E36EF" w:rsidRDefault="00F37FE5" w:rsidP="00D72F49">
            <w:pPr>
              <w:spacing w:before="160"/>
              <w:rPr>
                <w:b/>
                <w:bCs/>
                <w:sz w:val="26"/>
                <w:szCs w:val="26"/>
              </w:rPr>
            </w:pPr>
            <w:r w:rsidRPr="005E36EF">
              <w:rPr>
                <w:b/>
                <w:bCs/>
                <w:sz w:val="26"/>
                <w:szCs w:val="26"/>
              </w:rPr>
              <w:t>Objet</w:t>
            </w:r>
          </w:p>
          <w:p w14:paraId="30F737B8" w14:textId="16BED36C" w:rsidR="00D72F49" w:rsidRPr="005E36EF" w:rsidRDefault="00EA2B37" w:rsidP="00D72F49">
            <w:r w:rsidRPr="005E36EF">
              <w:t>Rapport sur la mise en œuvre des Plans stratégiques de l</w:t>
            </w:r>
            <w:r w:rsidR="00A8661D" w:rsidRPr="005E36EF">
              <w:t>'</w:t>
            </w:r>
            <w:r w:rsidRPr="005E36EF">
              <w:t>Union pour les périodes 2019-2023 et 2024-2027, en lien avec les activités menées et les résultats obtenus entre mai 2023 et avril 2024.</w:t>
            </w:r>
          </w:p>
          <w:p w14:paraId="17215421" w14:textId="77777777" w:rsidR="00D72F49" w:rsidRPr="005E36EF" w:rsidRDefault="00D72F49" w:rsidP="00D72F49">
            <w:pPr>
              <w:spacing w:before="160"/>
              <w:rPr>
                <w:b/>
                <w:bCs/>
                <w:sz w:val="26"/>
                <w:szCs w:val="26"/>
              </w:rPr>
            </w:pPr>
            <w:r w:rsidRPr="005E36EF">
              <w:rPr>
                <w:b/>
                <w:bCs/>
                <w:sz w:val="26"/>
                <w:szCs w:val="26"/>
              </w:rPr>
              <w:t>Suite à donner par le Conseil</w:t>
            </w:r>
          </w:p>
          <w:p w14:paraId="74A537FF" w14:textId="079C8786" w:rsidR="00D72F49" w:rsidRPr="005E36EF" w:rsidRDefault="00EA2B37" w:rsidP="00D72F49">
            <w:r w:rsidRPr="005E36EF">
              <w:t xml:space="preserve">Le Conseil est invité </w:t>
            </w:r>
            <w:r w:rsidRPr="005E36EF">
              <w:rPr>
                <w:b/>
                <w:bCs/>
              </w:rPr>
              <w:t>à approuver</w:t>
            </w:r>
            <w:r w:rsidRPr="005E36EF">
              <w:t xml:space="preserve"> le présent rapport.</w:t>
            </w:r>
          </w:p>
          <w:p w14:paraId="016232D1" w14:textId="77777777" w:rsidR="00D72F49" w:rsidRPr="005E36EF" w:rsidRDefault="00D72F49" w:rsidP="00D72F49">
            <w:pPr>
              <w:spacing w:before="160"/>
              <w:rPr>
                <w:b/>
                <w:bCs/>
                <w:sz w:val="26"/>
                <w:szCs w:val="26"/>
              </w:rPr>
            </w:pPr>
            <w:r w:rsidRPr="005E36EF">
              <w:rPr>
                <w:b/>
                <w:bCs/>
                <w:sz w:val="26"/>
                <w:szCs w:val="26"/>
              </w:rPr>
              <w:t xml:space="preserve">Lien(s) pertinent(s) avec le </w:t>
            </w:r>
            <w:r w:rsidR="00F37FE5" w:rsidRPr="005E36EF">
              <w:rPr>
                <w:b/>
                <w:bCs/>
                <w:sz w:val="26"/>
                <w:szCs w:val="26"/>
              </w:rPr>
              <w:t>p</w:t>
            </w:r>
            <w:r w:rsidRPr="005E36EF">
              <w:rPr>
                <w:b/>
                <w:bCs/>
                <w:sz w:val="26"/>
                <w:szCs w:val="26"/>
              </w:rPr>
              <w:t>lan stratégique</w:t>
            </w:r>
          </w:p>
          <w:p w14:paraId="2F443519" w14:textId="09705EF1" w:rsidR="00D72F49" w:rsidRPr="005E36EF" w:rsidRDefault="00EA2B37" w:rsidP="00EA2B37">
            <w:r w:rsidRPr="005E36EF">
              <w:t>Le présent document correspond au rapport annuel au Conseil sur la mise en œuvre du Plan stratégique et les activités de l</w:t>
            </w:r>
            <w:r w:rsidR="00A8661D" w:rsidRPr="005E36EF">
              <w:t>'</w:t>
            </w:r>
            <w:r w:rsidRPr="005E36EF">
              <w:t>Union, qui réunit en un seul document le Rapport annuel sur l</w:t>
            </w:r>
            <w:r w:rsidR="00A8661D" w:rsidRPr="005E36EF">
              <w:t>'</w:t>
            </w:r>
            <w:r w:rsidRPr="005E36EF">
              <w:t>activité de l</w:t>
            </w:r>
            <w:r w:rsidR="00A8661D" w:rsidRPr="005E36EF">
              <w:t>'</w:t>
            </w:r>
            <w:r w:rsidRPr="005E36EF">
              <w:t>Union (conformément au numéro 102 de la Convention) et le Rapport sur la mise en œuvre du Plan stratégique (conformément au numéro 61 de la Convention), en</w:t>
            </w:r>
            <w:r w:rsidR="00B1328B" w:rsidRPr="005E36EF">
              <w:t> </w:t>
            </w:r>
            <w:r w:rsidRPr="005E36EF">
              <w:t>vertu de la Résolution 71 (Rév. Bucarest, 2022) de la Conférence de plénipotentiaires</w:t>
            </w:r>
            <w:r w:rsidR="00820DD7" w:rsidRPr="005E36EF">
              <w:t xml:space="preserve"> de l'UIT</w:t>
            </w:r>
            <w:r w:rsidRPr="005E36EF">
              <w:t>.</w:t>
            </w:r>
          </w:p>
          <w:p w14:paraId="69D0AC35" w14:textId="77777777" w:rsidR="00D72F49" w:rsidRPr="005E36EF" w:rsidRDefault="00D72F49" w:rsidP="00D72F49">
            <w:pPr>
              <w:spacing w:before="160"/>
              <w:rPr>
                <w:caps/>
                <w:sz w:val="22"/>
              </w:rPr>
            </w:pPr>
            <w:r w:rsidRPr="005E36EF">
              <w:rPr>
                <w:sz w:val="22"/>
              </w:rPr>
              <w:t>__________________</w:t>
            </w:r>
          </w:p>
          <w:p w14:paraId="056B50FD" w14:textId="77777777" w:rsidR="00D72F49" w:rsidRPr="005E36EF" w:rsidRDefault="00D72F49" w:rsidP="00D72F49">
            <w:pPr>
              <w:spacing w:before="160"/>
              <w:rPr>
                <w:b/>
                <w:bCs/>
                <w:sz w:val="26"/>
                <w:szCs w:val="26"/>
              </w:rPr>
            </w:pPr>
            <w:r w:rsidRPr="005E36EF">
              <w:rPr>
                <w:b/>
                <w:bCs/>
                <w:sz w:val="26"/>
                <w:szCs w:val="26"/>
              </w:rPr>
              <w:t>Références</w:t>
            </w:r>
          </w:p>
          <w:p w14:paraId="010EA453" w14:textId="7B9A50D3" w:rsidR="00D72F49" w:rsidRPr="005E36EF" w:rsidRDefault="001A6AF2" w:rsidP="00D72F49">
            <w:pPr>
              <w:spacing w:after="160"/>
              <w:rPr>
                <w:i/>
                <w:iCs/>
              </w:rPr>
            </w:pPr>
            <w:hyperlink r:id="rId8" w:history="1">
              <w:r w:rsidR="00EA2B37" w:rsidRPr="005E36EF">
                <w:rPr>
                  <w:rStyle w:val="Hyperlink"/>
                  <w:i/>
                  <w:iCs/>
                </w:rPr>
                <w:t>Résolution 71 (Rév. Bucarest, 2022)</w:t>
              </w:r>
            </w:hyperlink>
            <w:r w:rsidR="00EA2B37" w:rsidRPr="005E36EF">
              <w:rPr>
                <w:i/>
                <w:iCs/>
              </w:rPr>
              <w:t xml:space="preserve"> de la Conférence de plénipotentiaires, </w:t>
            </w:r>
            <w:hyperlink r:id="rId9" w:history="1">
              <w:r w:rsidR="00EA2B37" w:rsidRPr="005E36EF">
                <w:rPr>
                  <w:rStyle w:val="Hyperlink"/>
                  <w:i/>
                  <w:iCs/>
                </w:rPr>
                <w:t>Résolution 151 (Rév. Bucarest, 2022)</w:t>
              </w:r>
            </w:hyperlink>
            <w:r w:rsidR="00EA2B37" w:rsidRPr="005E36EF">
              <w:rPr>
                <w:i/>
                <w:iCs/>
              </w:rPr>
              <w:t xml:space="preserve"> de la Conférence de plénipotentiaires, </w:t>
            </w:r>
            <w:hyperlink r:id="rId10" w:history="1">
              <w:r w:rsidR="00EA2B37" w:rsidRPr="005E36EF">
                <w:rPr>
                  <w:rStyle w:val="Hyperlink"/>
                  <w:i/>
                  <w:iCs/>
                </w:rPr>
                <w:t>Résolution 200 (Rév. Bucarest, 2022)</w:t>
              </w:r>
            </w:hyperlink>
            <w:r w:rsidR="00EA2B37" w:rsidRPr="005E36EF">
              <w:rPr>
                <w:i/>
                <w:iCs/>
              </w:rPr>
              <w:t xml:space="preserve"> de la Conférence de plénipotentiaires et numéros </w:t>
            </w:r>
            <w:hyperlink r:id="rId11" w:history="1">
              <w:r w:rsidR="00EA2B37" w:rsidRPr="005E36EF">
                <w:rPr>
                  <w:rStyle w:val="Hyperlink"/>
                  <w:i/>
                  <w:iCs/>
                </w:rPr>
                <w:t>102</w:t>
              </w:r>
              <w:r w:rsidR="00EA2B37" w:rsidRPr="005E36EF">
                <w:rPr>
                  <w:i/>
                  <w:iCs/>
                </w:rPr>
                <w:t xml:space="preserve"> et </w:t>
              </w:r>
              <w:r w:rsidR="00EA2B37" w:rsidRPr="005E36EF">
                <w:rPr>
                  <w:rStyle w:val="Hyperlink"/>
                  <w:i/>
                  <w:iCs/>
                </w:rPr>
                <w:t>61</w:t>
              </w:r>
            </w:hyperlink>
            <w:r w:rsidR="00EA2B37" w:rsidRPr="005E36EF">
              <w:rPr>
                <w:i/>
                <w:iCs/>
              </w:rPr>
              <w:t xml:space="preserve"> de la Convention</w:t>
            </w:r>
          </w:p>
        </w:tc>
      </w:tr>
    </w:tbl>
    <w:p w14:paraId="50731980" w14:textId="77777777" w:rsidR="00A51849" w:rsidRPr="005E36EF" w:rsidRDefault="00A51849">
      <w:pPr>
        <w:tabs>
          <w:tab w:val="clear" w:pos="567"/>
          <w:tab w:val="clear" w:pos="1134"/>
          <w:tab w:val="clear" w:pos="1701"/>
          <w:tab w:val="clear" w:pos="2268"/>
          <w:tab w:val="clear" w:pos="2835"/>
        </w:tabs>
        <w:overflowPunct/>
        <w:autoSpaceDE/>
        <w:autoSpaceDN/>
        <w:adjustRightInd/>
        <w:spacing w:before="0"/>
        <w:textAlignment w:val="auto"/>
      </w:pPr>
      <w:r w:rsidRPr="005E36EF">
        <w:br w:type="page"/>
      </w:r>
    </w:p>
    <w:p w14:paraId="3556E934" w14:textId="426EF738" w:rsidR="009174CD" w:rsidRPr="005E36EF" w:rsidRDefault="009174CD" w:rsidP="009174CD">
      <w:pPr>
        <w:pStyle w:val="Headingb"/>
      </w:pPr>
      <w:bookmarkStart w:id="0" w:name="_Hlk67565195"/>
      <w:r w:rsidRPr="005E36EF">
        <w:lastRenderedPageBreak/>
        <w:t>Avant-propos</w:t>
      </w:r>
    </w:p>
    <w:bookmarkEnd w:id="0"/>
    <w:p w14:paraId="623D496E" w14:textId="4C018E6A" w:rsidR="009174CD" w:rsidRPr="005E36EF" w:rsidRDefault="009174CD" w:rsidP="005E087E">
      <w:r w:rsidRPr="005E36EF">
        <w:t>Chers membres de la famille de l</w:t>
      </w:r>
      <w:r w:rsidR="00A8661D" w:rsidRPr="005E36EF">
        <w:t>'</w:t>
      </w:r>
      <w:r w:rsidRPr="005E36EF">
        <w:t>UIT,</w:t>
      </w:r>
      <w:bookmarkStart w:id="1" w:name="_Hlk67565419"/>
    </w:p>
    <w:p w14:paraId="4DACE29A" w14:textId="65859704" w:rsidR="00BA6C40" w:rsidRPr="005E36EF" w:rsidRDefault="00BA6C40" w:rsidP="005E087E">
      <w:r w:rsidRPr="005E36EF">
        <w:t xml:space="preserve">Les technologies numériques </w:t>
      </w:r>
      <w:r w:rsidR="0035229F" w:rsidRPr="005E36EF">
        <w:t>sont devenues l'une des priorités de l'agenda mondial en 2023</w:t>
      </w:r>
      <w:r w:rsidR="005C5159" w:rsidRPr="005E36EF">
        <w:t xml:space="preserve">, </w:t>
      </w:r>
      <w:r w:rsidR="00E57F69" w:rsidRPr="005E36EF">
        <w:t>occupant</w:t>
      </w:r>
      <w:r w:rsidR="005C5159" w:rsidRPr="005E36EF">
        <w:t xml:space="preserve"> </w:t>
      </w:r>
      <w:r w:rsidR="00797C73" w:rsidRPr="005E36EF">
        <w:t>le devant de la scène</w:t>
      </w:r>
      <w:r w:rsidR="00B3740B" w:rsidRPr="005E36EF">
        <w:t xml:space="preserve"> </w:t>
      </w:r>
      <w:r w:rsidR="004D7578" w:rsidRPr="005E36EF">
        <w:t>lors</w:t>
      </w:r>
      <w:r w:rsidR="00820DD7" w:rsidRPr="005E36EF">
        <w:t xml:space="preserve"> des Sommets du G7, du G20 et du G77, ainsi que dans le cadre de processus importants des Nations Unies, comme la</w:t>
      </w:r>
      <w:r w:rsidR="00B3740B" w:rsidRPr="005E36EF">
        <w:t xml:space="preserve"> </w:t>
      </w:r>
      <w:r w:rsidR="00425B85" w:rsidRPr="005E36EF">
        <w:t>cinquième</w:t>
      </w:r>
      <w:r w:rsidR="00B3740B" w:rsidRPr="005E36EF">
        <w:t xml:space="preserve"> Conférence des Nations Unies sur les pays les moins avancés et </w:t>
      </w:r>
      <w:r w:rsidR="009D23DA" w:rsidRPr="005E36EF">
        <w:t xml:space="preserve">le Sommet de 2023 sur les </w:t>
      </w:r>
      <w:r w:rsidR="00B92A91" w:rsidRPr="005E36EF">
        <w:t>Objectifs de développement durable</w:t>
      </w:r>
      <w:r w:rsidR="009D23DA" w:rsidRPr="005E36EF">
        <w:t>, à l'occasion duquel un appel a été lancé pour accélé</w:t>
      </w:r>
      <w:r w:rsidR="00CB37EC" w:rsidRPr="005E36EF">
        <w:t>r</w:t>
      </w:r>
      <w:r w:rsidR="009D23DA" w:rsidRPr="005E36EF">
        <w:t xml:space="preserve">er les progrès </w:t>
      </w:r>
      <w:r w:rsidR="00CB37EC" w:rsidRPr="005E36EF">
        <w:t>sur la voie de la réalisation des Objectifs de développement durable</w:t>
      </w:r>
      <w:r w:rsidR="00F4778E" w:rsidRPr="005E36EF">
        <w:t xml:space="preserve"> fixés par les Nations</w:t>
      </w:r>
      <w:r w:rsidR="00597DC1" w:rsidRPr="005E36EF">
        <w:t> </w:t>
      </w:r>
      <w:r w:rsidR="00F4778E" w:rsidRPr="005E36EF">
        <w:t>Unies</w:t>
      </w:r>
      <w:r w:rsidR="00B3740B" w:rsidRPr="005E36EF">
        <w:t>.</w:t>
      </w:r>
    </w:p>
    <w:p w14:paraId="6A62AEBA" w14:textId="5BA64D20" w:rsidR="009867EB" w:rsidRPr="005E36EF" w:rsidRDefault="00CB0F78" w:rsidP="005E087E">
      <w:r w:rsidRPr="005E36EF">
        <w:t xml:space="preserve">L'Union internationale des télécommunications (UIT) est engagée à développer la connectivité numérique et à </w:t>
      </w:r>
      <w:r w:rsidR="00CB37EC" w:rsidRPr="005E36EF">
        <w:t xml:space="preserve">utiliser les technologies pour </w:t>
      </w:r>
      <w:r w:rsidRPr="005E36EF">
        <w:t xml:space="preserve">améliorer les conditions de vie et les moyens de subsistance, </w:t>
      </w:r>
      <w:r w:rsidR="002345E9" w:rsidRPr="005E36EF">
        <w:t>y compris</w:t>
      </w:r>
      <w:r w:rsidRPr="005E36EF">
        <w:t xml:space="preserve"> pour les quelque 2,6 milliards de personnes qui n'ont toujours pas accès à l'Internet.</w:t>
      </w:r>
    </w:p>
    <w:p w14:paraId="4287F6F3" w14:textId="02A50CE1" w:rsidR="005F174A" w:rsidRPr="005E36EF" w:rsidRDefault="009867EB" w:rsidP="005E087E">
      <w:r w:rsidRPr="005E36EF">
        <w:t xml:space="preserve">Les solutions numériques peuvent </w:t>
      </w:r>
      <w:r w:rsidR="005551C3" w:rsidRPr="005E36EF">
        <w:t>contribuer</w:t>
      </w:r>
      <w:r w:rsidRPr="005E36EF">
        <w:t xml:space="preserve"> à relever les défis les plus urgents </w:t>
      </w:r>
      <w:r w:rsidR="00704692" w:rsidRPr="005E36EF">
        <w:t>à l'échelle mondiale</w:t>
      </w:r>
      <w:r w:rsidRPr="005E36EF">
        <w:t xml:space="preserve"> </w:t>
      </w:r>
      <w:r w:rsidR="005551C3" w:rsidRPr="005E36EF">
        <w:t xml:space="preserve">– notamment en </w:t>
      </w:r>
      <w:r w:rsidR="00F83FA0" w:rsidRPr="005E36EF">
        <w:t xml:space="preserve">accélérant le </w:t>
      </w:r>
      <w:r w:rsidR="005766E2" w:rsidRPr="005E36EF">
        <w:t xml:space="preserve">développement durable </w:t>
      </w:r>
      <w:r w:rsidR="009E63FC" w:rsidRPr="005E36EF">
        <w:t xml:space="preserve">et </w:t>
      </w:r>
      <w:r w:rsidR="005766E2" w:rsidRPr="005E36EF">
        <w:t>inclusif</w:t>
      </w:r>
      <w:r w:rsidR="00575AFF" w:rsidRPr="005E36EF">
        <w:t xml:space="preserve">. Pour ce faire, il </w:t>
      </w:r>
      <w:r w:rsidR="00345DD0" w:rsidRPr="005E36EF">
        <w:t xml:space="preserve">nous </w:t>
      </w:r>
      <w:r w:rsidR="00575AFF" w:rsidRPr="005E36EF">
        <w:t>faudra à l'évidence tirer parti des technologies innovantes, telles que l'intelligence artificielle</w:t>
      </w:r>
      <w:r w:rsidR="00C06DE5" w:rsidRPr="005E36EF">
        <w:t xml:space="preserve"> (IA)</w:t>
      </w:r>
      <w:r w:rsidR="00575AFF" w:rsidRPr="005E36EF">
        <w:t>, dans l'intérêt de tous</w:t>
      </w:r>
      <w:r w:rsidRPr="005E36EF">
        <w:t>.</w:t>
      </w:r>
    </w:p>
    <w:p w14:paraId="2252E997" w14:textId="72B3237D" w:rsidR="009867EB" w:rsidRPr="005E36EF" w:rsidRDefault="009867EB" w:rsidP="005E087E">
      <w:r w:rsidRPr="005E36EF">
        <w:t xml:space="preserve">Malgré des risques réels et des craintes </w:t>
      </w:r>
      <w:r w:rsidR="00D60A7F" w:rsidRPr="005E36EF">
        <w:t>de plus en plus vives</w:t>
      </w:r>
      <w:r w:rsidRPr="005E36EF">
        <w:t>, la transformation numérique offre une lueur d'espoir pour un avenir meilleur.</w:t>
      </w:r>
    </w:p>
    <w:p w14:paraId="0C824A73" w14:textId="00BA9A16" w:rsidR="001417CA" w:rsidRPr="005E36EF" w:rsidRDefault="00FF0453" w:rsidP="005E087E">
      <w:r w:rsidRPr="005E36EF">
        <w:t>Aux quatre coins du globe</w:t>
      </w:r>
      <w:r w:rsidR="00CA6D4A" w:rsidRPr="005E36EF">
        <w:t>,</w:t>
      </w:r>
      <w:r w:rsidR="001417CA" w:rsidRPr="005E36EF">
        <w:t xml:space="preserve"> les progrès du numérique sont indéniables, que ce soit dans la sphère technique ou politique. Pourtant, la fracture numérique </w:t>
      </w:r>
      <w:r w:rsidR="00E17BD4" w:rsidRPr="005E36EF">
        <w:t>subsiste</w:t>
      </w:r>
      <w:r w:rsidR="00ED0B12" w:rsidRPr="005E36EF">
        <w:t xml:space="preserve"> à l'échelle mondiale</w:t>
      </w:r>
      <w:r w:rsidR="001417CA" w:rsidRPr="005E36EF">
        <w:t>, l'accès</w:t>
      </w:r>
      <w:r w:rsidR="00D153FE" w:rsidRPr="005E36EF">
        <w:t xml:space="preserve"> aux technologies</w:t>
      </w:r>
      <w:r w:rsidR="001417CA" w:rsidRPr="005E36EF">
        <w:t xml:space="preserve"> et l</w:t>
      </w:r>
      <w:r w:rsidR="00D153FE" w:rsidRPr="005E36EF">
        <w:t xml:space="preserve">eur </w:t>
      </w:r>
      <w:r w:rsidR="001417CA" w:rsidRPr="005E36EF">
        <w:t>utilisation variant considérablement selon la région, le sexe, l'âge, le revenu et d'autres variables socio-économiques.</w:t>
      </w:r>
    </w:p>
    <w:p w14:paraId="11B5E27C" w14:textId="1D5A9213" w:rsidR="00CB5ED3" w:rsidRPr="005E36EF" w:rsidRDefault="00CB5ED3" w:rsidP="005E087E">
      <w:r w:rsidRPr="005E36EF">
        <w:t xml:space="preserve">Outre les personnes qui ne sont pas </w:t>
      </w:r>
      <w:r w:rsidR="00345DD0" w:rsidRPr="005E36EF">
        <w:t xml:space="preserve">encore </w:t>
      </w:r>
      <w:r w:rsidRPr="005E36EF">
        <w:t xml:space="preserve">connectées, des milliards d'autres </w:t>
      </w:r>
      <w:r w:rsidR="005C1E4A" w:rsidRPr="005E36EF">
        <w:t xml:space="preserve">se trouvent du mauvais côté de la fracture, </w:t>
      </w:r>
      <w:r w:rsidR="00466992" w:rsidRPr="005E36EF">
        <w:t>en raison d'une</w:t>
      </w:r>
      <w:r w:rsidR="005C1E4A" w:rsidRPr="005E36EF">
        <w:t xml:space="preserve"> mauvaise connexion Internet, de compétences insuffisantes, </w:t>
      </w:r>
      <w:r w:rsidR="00784111" w:rsidRPr="005E36EF">
        <w:t xml:space="preserve">de </w:t>
      </w:r>
      <w:r w:rsidR="005C1E4A" w:rsidRPr="005E36EF">
        <w:t xml:space="preserve">l'absence de contenus pertinents ou de coûts d'accès hors de portée. </w:t>
      </w:r>
      <w:r w:rsidR="00A24C38" w:rsidRPr="005E36EF">
        <w:t xml:space="preserve">En particulier, les réseaux de télécommunication 5G, qui sont de plus en plus répandus dans les pays à </w:t>
      </w:r>
      <w:r w:rsidR="00284609" w:rsidRPr="005E36EF">
        <w:t>revenu élevé</w:t>
      </w:r>
      <w:r w:rsidR="00A24C38" w:rsidRPr="005E36EF">
        <w:t xml:space="preserve">, restent </w:t>
      </w:r>
      <w:r w:rsidR="00284609" w:rsidRPr="005E36EF">
        <w:t>de l'ordre de l'exception dans les pays à faible revenu.</w:t>
      </w:r>
    </w:p>
    <w:p w14:paraId="60FAD10A" w14:textId="478BCBC4" w:rsidR="005913E8" w:rsidRPr="005E36EF" w:rsidRDefault="001417CA" w:rsidP="005E087E">
      <w:r w:rsidRPr="005E36EF">
        <w:t xml:space="preserve">Malheureusement, </w:t>
      </w:r>
      <w:r w:rsidR="00FE1964" w:rsidRPr="005E36EF">
        <w:t xml:space="preserve">l'année </w:t>
      </w:r>
      <w:r w:rsidRPr="005E36EF">
        <w:t xml:space="preserve">2023 a également apporté </w:t>
      </w:r>
      <w:r w:rsidR="00412411" w:rsidRPr="005E36EF">
        <w:t>son</w:t>
      </w:r>
      <w:r w:rsidR="00623670" w:rsidRPr="005E36EF">
        <w:t xml:space="preserve"> lot de</w:t>
      </w:r>
      <w:r w:rsidRPr="005E36EF">
        <w:t xml:space="preserve"> crises humanitaires et de conflits, combinés à des incertitudes économiques qui ont </w:t>
      </w:r>
      <w:r w:rsidR="001304BE" w:rsidRPr="005E36EF">
        <w:t>creusé</w:t>
      </w:r>
      <w:r w:rsidRPr="005E36EF">
        <w:t xml:space="preserve"> les inégalités </w:t>
      </w:r>
      <w:r w:rsidR="006D417F" w:rsidRPr="005E36EF">
        <w:t>dans le monde</w:t>
      </w:r>
      <w:r w:rsidRPr="005E36EF">
        <w:t xml:space="preserve">. </w:t>
      </w:r>
      <w:r w:rsidR="005913E8" w:rsidRPr="005E36EF">
        <w:t>Les changements climatiques sont devenus une réalité quotidienne</w:t>
      </w:r>
      <w:r w:rsidR="00784111" w:rsidRPr="005E36EF">
        <w:t xml:space="preserve"> – inondations, sécheresses et nouveaux records de température moyenne ne faisant qu'exacerber les défis qui se posent à l'échelle mondiale.</w:t>
      </w:r>
    </w:p>
    <w:p w14:paraId="30714B86" w14:textId="6E7ADD51" w:rsidR="005A58A7" w:rsidRPr="005E36EF" w:rsidRDefault="001417CA" w:rsidP="005E087E">
      <w:r w:rsidRPr="005E36EF">
        <w:t xml:space="preserve">Au cours </w:t>
      </w:r>
      <w:r w:rsidR="00784111" w:rsidRPr="005E36EF">
        <w:t>d'une</w:t>
      </w:r>
      <w:r w:rsidRPr="005E36EF">
        <w:t xml:space="preserve"> année difficile, l'UIT </w:t>
      </w:r>
      <w:r w:rsidR="00D871D5" w:rsidRPr="005E36EF">
        <w:t>–</w:t>
      </w:r>
      <w:r w:rsidRPr="005E36EF">
        <w:t xml:space="preserve"> dans </w:t>
      </w:r>
      <w:r w:rsidR="00D871D5" w:rsidRPr="005E36EF">
        <w:t>le</w:t>
      </w:r>
      <w:r w:rsidRPr="005E36EF">
        <w:t xml:space="preserve"> rôle</w:t>
      </w:r>
      <w:r w:rsidR="00D871D5" w:rsidRPr="005E36EF">
        <w:t xml:space="preserve"> qu'elle est appelée à jouer aujourd'hui en tant qu'</w:t>
      </w:r>
      <w:r w:rsidR="00570178" w:rsidRPr="005E36EF">
        <w:t>institution</w:t>
      </w:r>
      <w:r w:rsidRPr="005E36EF">
        <w:t xml:space="preserve"> des Nations Unies pour les technologies numériques </w:t>
      </w:r>
      <w:r w:rsidR="00D871D5" w:rsidRPr="005E36EF">
        <w:t>–</w:t>
      </w:r>
      <w:r w:rsidRPr="005E36EF">
        <w:t xml:space="preserve"> a multiplié les initiatives historiques pour </w:t>
      </w:r>
      <w:r w:rsidR="0099026C" w:rsidRPr="005E36EF">
        <w:t>tirer parti d'</w:t>
      </w:r>
      <w:r w:rsidRPr="005E36EF">
        <w:t xml:space="preserve">une connectivité </w:t>
      </w:r>
      <w:r w:rsidR="005455E7" w:rsidRPr="005E36EF">
        <w:t>efficace</w:t>
      </w:r>
      <w:r w:rsidRPr="005E36EF">
        <w:t xml:space="preserve"> </w:t>
      </w:r>
      <w:r w:rsidR="00C118A9" w:rsidRPr="005E36EF">
        <w:t>au profit de tous</w:t>
      </w:r>
      <w:r w:rsidR="00A23792" w:rsidRPr="005E36EF">
        <w:t xml:space="preserve"> les habitants de la planète</w:t>
      </w:r>
      <w:r w:rsidR="00B14E04" w:rsidRPr="005E36EF">
        <w:t>.</w:t>
      </w:r>
      <w:r w:rsidR="002B0C08" w:rsidRPr="005E36EF">
        <w:t xml:space="preserve"> Fin 2023, la Conférence mondiale des radiocommunications (CMR</w:t>
      </w:r>
      <w:r w:rsidR="00597DC1" w:rsidRPr="005E36EF">
        <w:noBreakHyphen/>
      </w:r>
      <w:r w:rsidR="002B0C08" w:rsidRPr="005E36EF">
        <w:t>23) a procédé à d'importantes mises à jour réglementaires d'envergure mondiale en matière d'attribution de fréquences radioélectriques aux services hertziens et à d'autres services</w:t>
      </w:r>
      <w:r w:rsidR="00611F9C" w:rsidRPr="005E36EF">
        <w:t>.</w:t>
      </w:r>
    </w:p>
    <w:p w14:paraId="7493544C" w14:textId="546E7914" w:rsidR="00A1690B" w:rsidRPr="005E36EF" w:rsidRDefault="00A1690B" w:rsidP="005E087E">
      <w:r w:rsidRPr="005E36EF">
        <w:t xml:space="preserve">Aujourd'hui plus que jamais, les activités de l'UIT dans les domaines de la radiocommunication, de la normalisation et du développement des télécommunications contribuent à connecter le monde de manière inclusive et durable. </w:t>
      </w:r>
      <w:r w:rsidR="003F3C16" w:rsidRPr="005E36EF">
        <w:t xml:space="preserve">Avoir la connectivité </w:t>
      </w:r>
      <w:r w:rsidR="003F3C16" w:rsidRPr="005E36EF">
        <w:lastRenderedPageBreak/>
        <w:t xml:space="preserve">pour point de mire est ce qui </w:t>
      </w:r>
      <w:r w:rsidR="002100D8" w:rsidRPr="005E36EF">
        <w:t>guide</w:t>
      </w:r>
      <w:r w:rsidR="003F3C16" w:rsidRPr="005E36EF">
        <w:t xml:space="preserve"> notre action à l'échelle mondiale, nous motive à </w:t>
      </w:r>
      <w:r w:rsidR="003C44E1" w:rsidRPr="005E36EF">
        <w:t>nouer</w:t>
      </w:r>
      <w:r w:rsidR="003F3C16" w:rsidRPr="005E36EF">
        <w:t xml:space="preserve"> des partenariats innovants et nous inspire dans notre poursuite de l'excellence institutionnelle.</w:t>
      </w:r>
    </w:p>
    <w:p w14:paraId="2D27CDA8" w14:textId="3634C1FA" w:rsidR="00462B58" w:rsidRPr="005E36EF" w:rsidRDefault="00462B58" w:rsidP="005E087E">
      <w:r w:rsidRPr="005E36EF">
        <w:t>À ce jour, l'initiative Partner2Connect, dirigée par l'UIT, a permis de recueillir plus de 46 milliards USD d'engagements pour des projets</w:t>
      </w:r>
      <w:r w:rsidR="008832B6" w:rsidRPr="005E36EF">
        <w:t xml:space="preserve"> d'envergure mondiale</w:t>
      </w:r>
      <w:r w:rsidRPr="005E36EF">
        <w:t xml:space="preserve"> en faveur d'une connectivité efficace et</w:t>
      </w:r>
      <w:r w:rsidR="00C06B99" w:rsidRPr="005E36EF">
        <w:t xml:space="preserve"> d'une transformation numérique </w:t>
      </w:r>
      <w:r w:rsidR="000D5151" w:rsidRPr="005E36EF">
        <w:t>durable</w:t>
      </w:r>
      <w:r w:rsidRPr="005E36EF">
        <w:t>. Nous n'avons de cesse de redoubler d'efforts pour atteindre le fameux "dernier kilomètre", en mobilisant l'engagement du secteur public et du secteur privé afin de mettre les avantages qu'offre le numérique à la portée des communautés les plus difficiles à connecter dans le monde.</w:t>
      </w:r>
    </w:p>
    <w:p w14:paraId="21025EE7" w14:textId="09AB8F9A" w:rsidR="00BB39EF" w:rsidRPr="005E36EF" w:rsidRDefault="001A5045" w:rsidP="005E087E">
      <w:pPr>
        <w:rPr>
          <w:rFonts w:cstheme="minorHAnsi"/>
        </w:rPr>
      </w:pPr>
      <w:r w:rsidRPr="005E36EF">
        <w:rPr>
          <w:rFonts w:cstheme="minorHAnsi"/>
        </w:rPr>
        <w:t>L'initiative Giga – initiative commune de l'UIT et de l'UNICEF visant à connecter toutes les écoles du monde à l'Internet – représente un autre projet ambitieux pour relever des défis majeurs à la faveur de partenariats mondiaux.</w:t>
      </w:r>
    </w:p>
    <w:p w14:paraId="6B1BB878" w14:textId="2364E045" w:rsidR="00C25960" w:rsidRPr="005E36EF" w:rsidRDefault="00C25960" w:rsidP="005E087E">
      <w:r w:rsidRPr="005E36EF">
        <w:t>Nous collaborons également avec nos partenaires de la famille des</w:t>
      </w:r>
      <w:r w:rsidR="00720C9C" w:rsidRPr="005E36EF">
        <w:t xml:space="preserve"> institutions</w:t>
      </w:r>
      <w:r w:rsidR="00A204C8" w:rsidRPr="005E36EF">
        <w:t xml:space="preserve"> des</w:t>
      </w:r>
      <w:r w:rsidRPr="005E36EF">
        <w:t xml:space="preserve"> Nations</w:t>
      </w:r>
      <w:r w:rsidR="00597DC1" w:rsidRPr="005E36EF">
        <w:t> </w:t>
      </w:r>
      <w:r w:rsidRPr="005E36EF">
        <w:t>Unies et d</w:t>
      </w:r>
      <w:r w:rsidR="00A204C8" w:rsidRPr="005E36EF">
        <w:t>'</w:t>
      </w:r>
      <w:r w:rsidRPr="005E36EF">
        <w:t xml:space="preserve">ailleurs </w:t>
      </w:r>
      <w:r w:rsidR="00A204C8" w:rsidRPr="005E36EF">
        <w:t>pour</w:t>
      </w:r>
      <w:r w:rsidRPr="005E36EF">
        <w:t xml:space="preserve"> faire progresser l</w:t>
      </w:r>
      <w:r w:rsidR="00AA7FF1" w:rsidRPr="005E36EF">
        <w:t>'</w:t>
      </w:r>
      <w:r w:rsidRPr="005E36EF">
        <w:t xml:space="preserve">initiative </w:t>
      </w:r>
      <w:r w:rsidR="00AA7FF1" w:rsidRPr="005E36EF">
        <w:t>"Alertes précoces pour tous"</w:t>
      </w:r>
      <w:r w:rsidRPr="005E36EF">
        <w:t xml:space="preserve"> du Secrétaire général </w:t>
      </w:r>
      <w:r w:rsidR="00AA7FF1" w:rsidRPr="005E36EF">
        <w:t>de l'Organisation des Nations Unies</w:t>
      </w:r>
      <w:r w:rsidRPr="005E36EF">
        <w:t xml:space="preserve">, ainsi </w:t>
      </w:r>
      <w:r w:rsidR="003509F6" w:rsidRPr="005E36EF">
        <w:t>que pour surveiller et</w:t>
      </w:r>
      <w:r w:rsidRPr="005E36EF">
        <w:t xml:space="preserve"> réduire les déchets </w:t>
      </w:r>
      <w:r w:rsidR="00F467D9" w:rsidRPr="005E36EF">
        <w:t>d'équipements électriques et électroniques</w:t>
      </w:r>
      <w:r w:rsidRPr="005E36EF">
        <w:t xml:space="preserve">, lutter contre les émissions de gaz à effet de serre </w:t>
      </w:r>
      <w:r w:rsidR="00611F9C" w:rsidRPr="005E36EF">
        <w:t>du</w:t>
      </w:r>
      <w:r w:rsidRPr="005E36EF">
        <w:t xml:space="preserve"> </w:t>
      </w:r>
      <w:r w:rsidR="00161CE8" w:rsidRPr="005E36EF">
        <w:t>secteur</w:t>
      </w:r>
      <w:r w:rsidRPr="005E36EF">
        <w:t xml:space="preserve"> </w:t>
      </w:r>
      <w:r w:rsidR="00326556" w:rsidRPr="005E36EF">
        <w:t xml:space="preserve">des technologies </w:t>
      </w:r>
      <w:r w:rsidRPr="005E36EF">
        <w:t>et jeter les bases d</w:t>
      </w:r>
      <w:r w:rsidR="00396876" w:rsidRPr="005E36EF">
        <w:t>'</w:t>
      </w:r>
      <w:r w:rsidRPr="005E36EF">
        <w:t>une économie numérique verte.</w:t>
      </w:r>
    </w:p>
    <w:p w14:paraId="2180B29B" w14:textId="6C8CB8E8" w:rsidR="00C25960" w:rsidRPr="005E36EF" w:rsidRDefault="00C25960" w:rsidP="005E087E">
      <w:pPr>
        <w:rPr>
          <w:rStyle w:val="normalWSISChar"/>
          <w:szCs w:val="24"/>
        </w:rPr>
      </w:pPr>
      <w:r w:rsidRPr="005E36EF">
        <w:t xml:space="preserve">Le présent rapport annuel rend compte d'une étape charnière pour l'UIT, qui marque le début d'un nouveau plan stratégique ambitieux. Notre </w:t>
      </w:r>
      <w:r w:rsidR="0012744C" w:rsidRPr="005E36EF">
        <w:t>Plan stratégique</w:t>
      </w:r>
      <w:r w:rsidRPr="005E36EF">
        <w:t xml:space="preserve"> pour la période</w:t>
      </w:r>
      <w:r w:rsidR="00597DC1" w:rsidRPr="005E36EF">
        <w:t> </w:t>
      </w:r>
      <w:r w:rsidRPr="005E36EF">
        <w:t>2024</w:t>
      </w:r>
      <w:r w:rsidRPr="005E36EF">
        <w:noBreakHyphen/>
        <w:t>2027 s'appuie sur le Plan stratégique de l'Union pour la période 2020-202</w:t>
      </w:r>
      <w:r w:rsidR="0041443F" w:rsidRPr="005E36EF">
        <w:t>3</w:t>
      </w:r>
      <w:r w:rsidRPr="005E36EF">
        <w:t xml:space="preserve"> </w:t>
      </w:r>
      <w:r w:rsidR="009F4C0F" w:rsidRPr="005E36EF">
        <w:t>et met à jour notre Programme Connect 2030 afin de mettre l'accent</w:t>
      </w:r>
      <w:r w:rsidRPr="005E36EF">
        <w:t xml:space="preserve"> sur deux grandes priorités: la connectivité universelle et la transformation numérique durable.</w:t>
      </w:r>
    </w:p>
    <w:p w14:paraId="6150A412" w14:textId="781464B8" w:rsidR="00C25960" w:rsidRPr="005E36EF" w:rsidRDefault="00234D5D" w:rsidP="005E087E">
      <w:pPr>
        <w:rPr>
          <w:szCs w:val="24"/>
        </w:rPr>
      </w:pPr>
      <w:r w:rsidRPr="005E36EF">
        <w:rPr>
          <w:szCs w:val="24"/>
        </w:rPr>
        <w:t xml:space="preserve">Notre prochaine </w:t>
      </w:r>
      <w:r w:rsidR="00C25960" w:rsidRPr="005E36EF">
        <w:rPr>
          <w:szCs w:val="24"/>
        </w:rPr>
        <w:t>Assemblée mondiale de</w:t>
      </w:r>
      <w:r w:rsidR="00A170AA" w:rsidRPr="005E36EF">
        <w:rPr>
          <w:szCs w:val="24"/>
        </w:rPr>
        <w:t xml:space="preserve"> la</w:t>
      </w:r>
      <w:r w:rsidR="00C25960" w:rsidRPr="005E36EF">
        <w:rPr>
          <w:szCs w:val="24"/>
        </w:rPr>
        <w:t xml:space="preserve"> normalisation des télécommunications (</w:t>
      </w:r>
      <w:r w:rsidR="00D46938" w:rsidRPr="005E36EF">
        <w:rPr>
          <w:rFonts w:eastAsia="Calibri" w:cs="Calibri"/>
          <w:color w:val="000000" w:themeColor="text1"/>
          <w:szCs w:val="24"/>
        </w:rPr>
        <w:t>AMNT</w:t>
      </w:r>
      <w:r w:rsidR="00B10DA4" w:rsidRPr="005E36EF">
        <w:rPr>
          <w:rFonts w:eastAsia="Calibri" w:cs="Calibri"/>
          <w:color w:val="000000" w:themeColor="text1"/>
          <w:szCs w:val="24"/>
        </w:rPr>
        <w:noBreakHyphen/>
      </w:r>
      <w:r w:rsidR="00C25960" w:rsidRPr="005E36EF">
        <w:rPr>
          <w:szCs w:val="24"/>
        </w:rPr>
        <w:t xml:space="preserve">24) </w:t>
      </w:r>
      <w:r w:rsidR="005862AD" w:rsidRPr="005E36EF">
        <w:rPr>
          <w:szCs w:val="24"/>
        </w:rPr>
        <w:t>visera à promouvoir</w:t>
      </w:r>
      <w:r w:rsidR="00C25960" w:rsidRPr="005E36EF">
        <w:rPr>
          <w:szCs w:val="24"/>
        </w:rPr>
        <w:t xml:space="preserve"> des normes inclusives conformes au développement durable et </w:t>
      </w:r>
      <w:r w:rsidR="005E29CA" w:rsidRPr="005E36EF">
        <w:rPr>
          <w:szCs w:val="24"/>
        </w:rPr>
        <w:t>à la lutte contre les changements climatiques</w:t>
      </w:r>
      <w:r w:rsidR="00C25960" w:rsidRPr="005E36EF">
        <w:rPr>
          <w:szCs w:val="24"/>
        </w:rPr>
        <w:t>. La polyvalence et la crédibilité des normes de l</w:t>
      </w:r>
      <w:r w:rsidR="00B421C1" w:rsidRPr="005E36EF">
        <w:rPr>
          <w:szCs w:val="24"/>
        </w:rPr>
        <w:t>'</w:t>
      </w:r>
      <w:r w:rsidR="00C25960" w:rsidRPr="005E36EF">
        <w:rPr>
          <w:szCs w:val="24"/>
        </w:rPr>
        <w:t>UIT sont également un atout majeur alors que le</w:t>
      </w:r>
      <w:r w:rsidR="00B37854" w:rsidRPr="005E36EF">
        <w:rPr>
          <w:szCs w:val="24"/>
        </w:rPr>
        <w:t>s travaux du</w:t>
      </w:r>
      <w:r w:rsidR="00C25960" w:rsidRPr="005E36EF">
        <w:rPr>
          <w:szCs w:val="24"/>
        </w:rPr>
        <w:t xml:space="preserve"> volet </w:t>
      </w:r>
      <w:r w:rsidR="00B421C1" w:rsidRPr="005E36EF">
        <w:rPr>
          <w:szCs w:val="24"/>
        </w:rPr>
        <w:t>"</w:t>
      </w:r>
      <w:r w:rsidR="00C25960" w:rsidRPr="005E36EF">
        <w:rPr>
          <w:szCs w:val="24"/>
        </w:rPr>
        <w:t xml:space="preserve">Action </w:t>
      </w:r>
      <w:r w:rsidR="00B421C1" w:rsidRPr="005E36EF">
        <w:rPr>
          <w:szCs w:val="24"/>
        </w:rPr>
        <w:t xml:space="preserve">du secteur du </w:t>
      </w:r>
      <w:r w:rsidR="00C25960" w:rsidRPr="005E36EF">
        <w:rPr>
          <w:szCs w:val="24"/>
        </w:rPr>
        <w:t>numérique</w:t>
      </w:r>
      <w:r w:rsidR="00B421C1" w:rsidRPr="005E36EF">
        <w:rPr>
          <w:szCs w:val="24"/>
        </w:rPr>
        <w:t xml:space="preserve"> pour l'environnement"</w:t>
      </w:r>
      <w:r w:rsidR="00C25960" w:rsidRPr="005E36EF">
        <w:rPr>
          <w:szCs w:val="24"/>
        </w:rPr>
        <w:t xml:space="preserve"> </w:t>
      </w:r>
      <w:r w:rsidR="00B37854" w:rsidRPr="005E36EF">
        <w:rPr>
          <w:szCs w:val="24"/>
        </w:rPr>
        <w:t>se poursui</w:t>
      </w:r>
      <w:r w:rsidR="00DF4498" w:rsidRPr="005E36EF">
        <w:rPr>
          <w:szCs w:val="24"/>
        </w:rPr>
        <w:t>ven</w:t>
      </w:r>
      <w:r w:rsidR="00B37854" w:rsidRPr="005E36EF">
        <w:rPr>
          <w:szCs w:val="24"/>
        </w:rPr>
        <w:t xml:space="preserve">t </w:t>
      </w:r>
      <w:r w:rsidR="00C25960" w:rsidRPr="005E36EF">
        <w:rPr>
          <w:szCs w:val="24"/>
        </w:rPr>
        <w:t>en vue de la prochaine conférence des Nations Unies sur le climat</w:t>
      </w:r>
      <w:r w:rsidR="0039525F" w:rsidRPr="005E36EF">
        <w:rPr>
          <w:szCs w:val="24"/>
        </w:rPr>
        <w:t xml:space="preserve"> (COP29)</w:t>
      </w:r>
      <w:r w:rsidR="00C25960" w:rsidRPr="005E36EF">
        <w:rPr>
          <w:szCs w:val="24"/>
        </w:rPr>
        <w:t>.</w:t>
      </w:r>
    </w:p>
    <w:p w14:paraId="6DB3367B" w14:textId="31921984" w:rsidR="00C25960" w:rsidRPr="005E36EF" w:rsidRDefault="00C25960" w:rsidP="005E087E">
      <w:pPr>
        <w:rPr>
          <w:szCs w:val="24"/>
        </w:rPr>
      </w:pPr>
      <w:r w:rsidRPr="005E36EF">
        <w:rPr>
          <w:szCs w:val="24"/>
        </w:rPr>
        <w:t>Les technologies nouvelles et émergentes – y compris les applications d</w:t>
      </w:r>
      <w:r w:rsidR="00212246" w:rsidRPr="005E36EF">
        <w:rPr>
          <w:szCs w:val="24"/>
        </w:rPr>
        <w:t>'</w:t>
      </w:r>
      <w:r w:rsidRPr="005E36EF">
        <w:rPr>
          <w:szCs w:val="24"/>
        </w:rPr>
        <w:t>IA génératives qui ont retenu l</w:t>
      </w:r>
      <w:r w:rsidR="00731FE9" w:rsidRPr="005E36EF">
        <w:rPr>
          <w:szCs w:val="24"/>
        </w:rPr>
        <w:t>'</w:t>
      </w:r>
      <w:r w:rsidRPr="005E36EF">
        <w:rPr>
          <w:szCs w:val="24"/>
        </w:rPr>
        <w:t>attention du public en 2023 – continuent de présenter une combinaison sans précédent de possibilités et de défis. Pour aller de l</w:t>
      </w:r>
      <w:r w:rsidR="00731FE9" w:rsidRPr="005E36EF">
        <w:rPr>
          <w:szCs w:val="24"/>
        </w:rPr>
        <w:t>'</w:t>
      </w:r>
      <w:r w:rsidRPr="005E36EF">
        <w:rPr>
          <w:szCs w:val="24"/>
        </w:rPr>
        <w:t>avant, l</w:t>
      </w:r>
      <w:r w:rsidR="00731FE9" w:rsidRPr="005E36EF">
        <w:rPr>
          <w:szCs w:val="24"/>
        </w:rPr>
        <w:t>'</w:t>
      </w:r>
      <w:r w:rsidRPr="005E36EF">
        <w:rPr>
          <w:szCs w:val="24"/>
        </w:rPr>
        <w:t>UIT entend</w:t>
      </w:r>
      <w:r w:rsidR="00A42D8E" w:rsidRPr="005E36EF">
        <w:rPr>
          <w:szCs w:val="24"/>
        </w:rPr>
        <w:t xml:space="preserve"> faire en sorte que</w:t>
      </w:r>
      <w:r w:rsidRPr="005E36EF">
        <w:rPr>
          <w:szCs w:val="24"/>
        </w:rPr>
        <w:t xml:space="preserve"> </w:t>
      </w:r>
      <w:r w:rsidR="00731FE9" w:rsidRPr="005E36EF">
        <w:rPr>
          <w:szCs w:val="24"/>
        </w:rPr>
        <w:t xml:space="preserve">l'IA </w:t>
      </w:r>
      <w:r w:rsidR="00A42D8E" w:rsidRPr="005E36EF">
        <w:rPr>
          <w:szCs w:val="24"/>
        </w:rPr>
        <w:t xml:space="preserve">soit utilisée </w:t>
      </w:r>
      <w:r w:rsidR="00731FE9" w:rsidRPr="005E36EF">
        <w:rPr>
          <w:szCs w:val="24"/>
        </w:rPr>
        <w:t>au service de l'humanité</w:t>
      </w:r>
      <w:r w:rsidRPr="005E36EF">
        <w:rPr>
          <w:szCs w:val="24"/>
        </w:rPr>
        <w:t>,</w:t>
      </w:r>
      <w:r w:rsidR="00731FE9" w:rsidRPr="005E36EF">
        <w:rPr>
          <w:szCs w:val="24"/>
        </w:rPr>
        <w:t xml:space="preserve"> assurer la durabilité de l'espace</w:t>
      </w:r>
      <w:r w:rsidRPr="005E36EF">
        <w:rPr>
          <w:szCs w:val="24"/>
        </w:rPr>
        <w:t xml:space="preserve"> pour les générations futures et </w:t>
      </w:r>
      <w:r w:rsidR="00C670D0" w:rsidRPr="005E36EF">
        <w:rPr>
          <w:szCs w:val="24"/>
        </w:rPr>
        <w:t>v</w:t>
      </w:r>
      <w:r w:rsidR="00E204F9" w:rsidRPr="005E36EF">
        <w:rPr>
          <w:szCs w:val="24"/>
        </w:rPr>
        <w:t>eiller à ce que</w:t>
      </w:r>
      <w:r w:rsidRPr="005E36EF">
        <w:rPr>
          <w:szCs w:val="24"/>
        </w:rPr>
        <w:t xml:space="preserve"> chacun puisse bénéficier des</w:t>
      </w:r>
      <w:r w:rsidR="00171115" w:rsidRPr="005E36EF">
        <w:rPr>
          <w:szCs w:val="24"/>
        </w:rPr>
        <w:t xml:space="preserve"> avantages qu'offrent les</w:t>
      </w:r>
      <w:r w:rsidRPr="005E36EF">
        <w:rPr>
          <w:szCs w:val="24"/>
        </w:rPr>
        <w:t xml:space="preserve"> technologies quantiques.</w:t>
      </w:r>
    </w:p>
    <w:p w14:paraId="0F3DF4C3" w14:textId="6486C8A8" w:rsidR="00C25960" w:rsidRPr="005E36EF" w:rsidRDefault="00C25960" w:rsidP="005E087E">
      <w:pPr>
        <w:rPr>
          <w:rFonts w:eastAsia="Calibri" w:cs="Calibri"/>
          <w:szCs w:val="24"/>
        </w:rPr>
      </w:pPr>
      <w:r w:rsidRPr="005E36EF">
        <w:rPr>
          <w:szCs w:val="24"/>
        </w:rPr>
        <w:t xml:space="preserve">Le prochain Sommet </w:t>
      </w:r>
      <w:r w:rsidR="00291880" w:rsidRPr="005E36EF">
        <w:rPr>
          <w:szCs w:val="24"/>
        </w:rPr>
        <w:t>de l'avenir</w:t>
      </w:r>
      <w:r w:rsidRPr="005E36EF">
        <w:rPr>
          <w:szCs w:val="24"/>
        </w:rPr>
        <w:t xml:space="preserve"> représente un moment charnière pour jeter des bases solides en vue d</w:t>
      </w:r>
      <w:r w:rsidR="00BD32E6" w:rsidRPr="005E36EF">
        <w:rPr>
          <w:szCs w:val="24"/>
        </w:rPr>
        <w:t xml:space="preserve">'assurer </w:t>
      </w:r>
      <w:r w:rsidRPr="005E36EF">
        <w:rPr>
          <w:szCs w:val="24"/>
        </w:rPr>
        <w:t xml:space="preserve">un développement numérique inclusif, résilient et durable pour les années à venir. Dans le cadre des discussions qui </w:t>
      </w:r>
      <w:r w:rsidR="00B65D2B" w:rsidRPr="005E36EF">
        <w:rPr>
          <w:szCs w:val="24"/>
        </w:rPr>
        <w:t>contribuent à définir le</w:t>
      </w:r>
      <w:r w:rsidRPr="005E36EF">
        <w:rPr>
          <w:szCs w:val="24"/>
        </w:rPr>
        <w:t xml:space="preserve"> futur Pacte numérique mondial, l</w:t>
      </w:r>
      <w:r w:rsidR="00B65D2B" w:rsidRPr="005E36EF">
        <w:rPr>
          <w:szCs w:val="24"/>
        </w:rPr>
        <w:t>'</w:t>
      </w:r>
      <w:r w:rsidRPr="005E36EF">
        <w:rPr>
          <w:szCs w:val="24"/>
        </w:rPr>
        <w:t xml:space="preserve">UIT </w:t>
      </w:r>
      <w:r w:rsidR="0070472F" w:rsidRPr="005E36EF">
        <w:rPr>
          <w:szCs w:val="24"/>
        </w:rPr>
        <w:t>n'a de cesse d'</w:t>
      </w:r>
      <w:r w:rsidR="00964936" w:rsidRPr="005E36EF">
        <w:rPr>
          <w:szCs w:val="24"/>
        </w:rPr>
        <w:t>affirmer</w:t>
      </w:r>
      <w:r w:rsidRPr="005E36EF">
        <w:rPr>
          <w:szCs w:val="24"/>
        </w:rPr>
        <w:t xml:space="preserve"> son engagement en faveur </w:t>
      </w:r>
      <w:r w:rsidR="00B65D2B" w:rsidRPr="005E36EF">
        <w:rPr>
          <w:szCs w:val="24"/>
        </w:rPr>
        <w:t>d'une</w:t>
      </w:r>
      <w:r w:rsidRPr="005E36EF">
        <w:rPr>
          <w:szCs w:val="24"/>
        </w:rPr>
        <w:t xml:space="preserve"> connectivité universelle et </w:t>
      </w:r>
      <w:r w:rsidR="00CA591D" w:rsidRPr="005E36EF">
        <w:rPr>
          <w:szCs w:val="24"/>
        </w:rPr>
        <w:t>d'une</w:t>
      </w:r>
      <w:r w:rsidRPr="005E36EF">
        <w:rPr>
          <w:szCs w:val="24"/>
        </w:rPr>
        <w:t xml:space="preserve"> transformation numérique durable.</w:t>
      </w:r>
    </w:p>
    <w:p w14:paraId="4B0C7D6E" w14:textId="77777777" w:rsidR="005E087E" w:rsidRPr="005E36EF" w:rsidRDefault="005E087E" w:rsidP="005E087E">
      <w:pPr>
        <w:rPr>
          <w:szCs w:val="24"/>
        </w:rPr>
      </w:pPr>
      <w:r w:rsidRPr="005E36EF">
        <w:rPr>
          <w:szCs w:val="24"/>
        </w:rPr>
        <w:br w:type="page"/>
      </w:r>
    </w:p>
    <w:p w14:paraId="15B0ABE3" w14:textId="3260EA62" w:rsidR="00C25960" w:rsidRPr="005E36EF" w:rsidRDefault="00C25960" w:rsidP="005E087E">
      <w:pPr>
        <w:rPr>
          <w:rFonts w:cstheme="minorHAnsi"/>
        </w:rPr>
      </w:pPr>
      <w:r w:rsidRPr="005E36EF">
        <w:rPr>
          <w:szCs w:val="24"/>
        </w:rPr>
        <w:lastRenderedPageBreak/>
        <w:t xml:space="preserve">Avec nos partenaires, nous avons beaucoup à offrir, </w:t>
      </w:r>
      <w:r w:rsidR="006341E7" w:rsidRPr="005E36EF">
        <w:rPr>
          <w:szCs w:val="24"/>
        </w:rPr>
        <w:t>de la</w:t>
      </w:r>
      <w:r w:rsidRPr="005E36EF">
        <w:rPr>
          <w:szCs w:val="24"/>
        </w:rPr>
        <w:t xml:space="preserve"> coopération en matière de normalisation sur les technologies émergentes au débat mondial sur les questions d</w:t>
      </w:r>
      <w:r w:rsidR="00FD201C" w:rsidRPr="005E36EF">
        <w:rPr>
          <w:szCs w:val="24"/>
        </w:rPr>
        <w:t>'</w:t>
      </w:r>
      <w:r w:rsidRPr="005E36EF">
        <w:rPr>
          <w:szCs w:val="24"/>
        </w:rPr>
        <w:t>IA et de gouvernance de l</w:t>
      </w:r>
      <w:r w:rsidR="00FD201C" w:rsidRPr="005E36EF">
        <w:rPr>
          <w:szCs w:val="24"/>
        </w:rPr>
        <w:t>'</w:t>
      </w:r>
      <w:r w:rsidRPr="005E36EF">
        <w:rPr>
          <w:szCs w:val="24"/>
        </w:rPr>
        <w:t xml:space="preserve">Internet. Nous attendons avec intérêt </w:t>
      </w:r>
      <w:r w:rsidR="006341E7" w:rsidRPr="005E36EF">
        <w:rPr>
          <w:szCs w:val="24"/>
        </w:rPr>
        <w:t>de soutenir encore</w:t>
      </w:r>
      <w:r w:rsidRPr="005E36EF">
        <w:rPr>
          <w:szCs w:val="24"/>
        </w:rPr>
        <w:t xml:space="preserve"> ce processus de négociation</w:t>
      </w:r>
      <w:r w:rsidR="00FD201C" w:rsidRPr="005E36EF">
        <w:rPr>
          <w:szCs w:val="24"/>
        </w:rPr>
        <w:t xml:space="preserve"> de la plus haute importance</w:t>
      </w:r>
      <w:r w:rsidR="0041443F" w:rsidRPr="005E36EF">
        <w:rPr>
          <w:szCs w:val="24"/>
        </w:rPr>
        <w:t>,</w:t>
      </w:r>
      <w:r w:rsidRPr="005E36EF">
        <w:rPr>
          <w:szCs w:val="24"/>
        </w:rPr>
        <w:t xml:space="preserve"> mené par les États </w:t>
      </w:r>
      <w:r w:rsidR="00FD201C" w:rsidRPr="005E36EF">
        <w:rPr>
          <w:szCs w:val="24"/>
        </w:rPr>
        <w:t>M</w:t>
      </w:r>
      <w:r w:rsidRPr="005E36EF">
        <w:rPr>
          <w:szCs w:val="24"/>
        </w:rPr>
        <w:t>embres.</w:t>
      </w:r>
    </w:p>
    <w:p w14:paraId="5C23E3E6" w14:textId="47DC3BB4" w:rsidR="00A1690B" w:rsidRPr="005E36EF" w:rsidRDefault="00A1690B" w:rsidP="005E087E">
      <w:r w:rsidRPr="005E36EF">
        <w:t xml:space="preserve">Alors que l'UIT se prépare pour l'avenir, je suis reconnaissante du soutien apporté par </w:t>
      </w:r>
      <w:r w:rsidR="002C0AAA" w:rsidRPr="005E36EF">
        <w:t xml:space="preserve">nos membres engagés, notre </w:t>
      </w:r>
      <w:r w:rsidRPr="005E36EF">
        <w:t>équipe de direction exceptionnelle</w:t>
      </w:r>
      <w:r w:rsidR="001B5592" w:rsidRPr="005E36EF">
        <w:t xml:space="preserve"> et un personnel </w:t>
      </w:r>
      <w:r w:rsidR="00916E23" w:rsidRPr="005E36EF">
        <w:t>dévoué</w:t>
      </w:r>
      <w:r w:rsidRPr="005E36EF">
        <w:t>.</w:t>
      </w:r>
    </w:p>
    <w:p w14:paraId="607930F4" w14:textId="295467D8" w:rsidR="00D962D9" w:rsidRPr="005E36EF" w:rsidRDefault="00A1690B" w:rsidP="005E087E">
      <w:r w:rsidRPr="005E36EF">
        <w:t xml:space="preserve">Je vous invite à découvrir ce que nous avons </w:t>
      </w:r>
      <w:r w:rsidR="00BC306E" w:rsidRPr="005E36EF">
        <w:t>accompli</w:t>
      </w:r>
      <w:r w:rsidRPr="005E36EF">
        <w:t xml:space="preserve"> </w:t>
      </w:r>
      <w:r w:rsidR="0091028B" w:rsidRPr="005E36EF">
        <w:t xml:space="preserve">ensemble </w:t>
      </w:r>
      <w:r w:rsidRPr="005E36EF">
        <w:t>en 2023.</w:t>
      </w:r>
    </w:p>
    <w:p w14:paraId="7F645FE3" w14:textId="7C11E236" w:rsidR="009174CD" w:rsidRPr="005E36EF" w:rsidRDefault="009174CD" w:rsidP="00D962D9">
      <w:pPr>
        <w:spacing w:before="840"/>
      </w:pPr>
      <w:r w:rsidRPr="005E36EF">
        <w:t>Doreen Bogdan-Martin</w:t>
      </w:r>
      <w:r w:rsidR="00D962D9" w:rsidRPr="005E36EF">
        <w:br/>
      </w:r>
      <w:r w:rsidRPr="005E36EF">
        <w:t>Secrétaire générale</w:t>
      </w:r>
      <w:r w:rsidR="00D962D9" w:rsidRPr="005E36EF">
        <w:br/>
      </w:r>
      <w:r w:rsidRPr="005E36EF">
        <w:t>Union internationale des télécommunications</w:t>
      </w:r>
      <w:bookmarkEnd w:id="1"/>
    </w:p>
    <w:p w14:paraId="6AA62205" w14:textId="23A44994" w:rsidR="009174CD" w:rsidRPr="005E36EF" w:rsidRDefault="009174CD">
      <w:pPr>
        <w:tabs>
          <w:tab w:val="clear" w:pos="567"/>
          <w:tab w:val="clear" w:pos="1134"/>
          <w:tab w:val="clear" w:pos="1701"/>
          <w:tab w:val="clear" w:pos="2268"/>
          <w:tab w:val="clear" w:pos="2835"/>
        </w:tabs>
        <w:overflowPunct/>
        <w:autoSpaceDE/>
        <w:autoSpaceDN/>
        <w:adjustRightInd/>
        <w:spacing w:before="0"/>
        <w:textAlignment w:val="auto"/>
      </w:pPr>
      <w:r w:rsidRPr="005E36EF">
        <w:br w:type="page"/>
      </w:r>
    </w:p>
    <w:p w14:paraId="70A78050" w14:textId="1EE7CC08" w:rsidR="006A11AE" w:rsidRPr="005E36EF" w:rsidRDefault="005C05AB" w:rsidP="00EF358C">
      <w:pPr>
        <w:pStyle w:val="Title1"/>
        <w:spacing w:before="0" w:after="120"/>
        <w:rPr>
          <w:sz w:val="24"/>
          <w:szCs w:val="24"/>
        </w:rPr>
      </w:pPr>
      <w:r w:rsidRPr="005E36EF">
        <w:rPr>
          <w:sz w:val="24"/>
          <w:szCs w:val="24"/>
        </w:rPr>
        <w:lastRenderedPageBreak/>
        <w:t>TABLE DES MATIÈRES</w:t>
      </w:r>
    </w:p>
    <w:p w14:paraId="46337AA6" w14:textId="132D84C9" w:rsidR="005E3C05" w:rsidRPr="005E36EF" w:rsidRDefault="007335E2" w:rsidP="005E3C05">
      <w:pPr>
        <w:pStyle w:val="TOC1"/>
        <w:rPr>
          <w:rFonts w:asciiTheme="minorHAnsi" w:eastAsiaTheme="minorEastAsia" w:hAnsiTheme="minorHAnsi" w:cstheme="minorBidi"/>
          <w:noProof/>
          <w:kern w:val="2"/>
          <w:sz w:val="22"/>
          <w:szCs w:val="22"/>
          <w:lang w:eastAsia="fr-FR"/>
          <w14:ligatures w14:val="standardContextual"/>
        </w:rPr>
      </w:pPr>
      <w:r w:rsidRPr="005E36EF">
        <w:fldChar w:fldCharType="begin"/>
      </w:r>
      <w:r w:rsidRPr="005E36EF">
        <w:instrText xml:space="preserve"> TOC \o "2-3" \h \z \t "Heading 1;1" </w:instrText>
      </w:r>
      <w:r w:rsidRPr="005E36EF">
        <w:fldChar w:fldCharType="separate"/>
      </w:r>
      <w:hyperlink w:anchor="_Toc166500726" w:history="1">
        <w:r w:rsidR="005E3C05" w:rsidRPr="005E36EF">
          <w:rPr>
            <w:rStyle w:val="Hyperlink"/>
            <w:noProof/>
          </w:rPr>
          <w:t>i</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Principaux points à retenir</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_Toc166500726 \h </w:instrText>
        </w:r>
        <w:r w:rsidR="005E3C05" w:rsidRPr="005E36EF">
          <w:rPr>
            <w:noProof/>
            <w:webHidden/>
          </w:rPr>
        </w:r>
        <w:r w:rsidR="005E3C05" w:rsidRPr="005E36EF">
          <w:rPr>
            <w:noProof/>
            <w:webHidden/>
          </w:rPr>
          <w:fldChar w:fldCharType="separate"/>
        </w:r>
        <w:r w:rsidR="005E36EF" w:rsidRPr="005E36EF">
          <w:rPr>
            <w:noProof/>
            <w:webHidden/>
          </w:rPr>
          <w:t>6</w:t>
        </w:r>
        <w:r w:rsidR="005E3C05" w:rsidRPr="005E36EF">
          <w:rPr>
            <w:noProof/>
            <w:webHidden/>
          </w:rPr>
          <w:fldChar w:fldCharType="end"/>
        </w:r>
      </w:hyperlink>
    </w:p>
    <w:p w14:paraId="3FF5173C" w14:textId="47CDEFCC" w:rsidR="005E3C05" w:rsidRPr="005E36EF" w:rsidRDefault="001A6AF2">
      <w:pPr>
        <w:pStyle w:val="TOC1"/>
        <w:rPr>
          <w:rFonts w:asciiTheme="minorHAnsi" w:eastAsiaTheme="minorEastAsia" w:hAnsiTheme="minorHAnsi" w:cstheme="minorBidi"/>
          <w:noProof/>
          <w:kern w:val="2"/>
          <w:sz w:val="22"/>
          <w:szCs w:val="22"/>
          <w:lang w:eastAsia="fr-FR"/>
          <w14:ligatures w14:val="standardContextual"/>
        </w:rPr>
      </w:pPr>
      <w:hyperlink w:anchor="_Toc166500727" w:history="1">
        <w:r w:rsidR="005E3C05" w:rsidRPr="005E36EF">
          <w:rPr>
            <w:rStyle w:val="Hyperlink"/>
            <w:noProof/>
          </w:rPr>
          <w:t>1</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Introduction</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_Toc166500727 \h </w:instrText>
        </w:r>
        <w:r w:rsidR="005E3C05" w:rsidRPr="005E36EF">
          <w:rPr>
            <w:noProof/>
            <w:webHidden/>
          </w:rPr>
        </w:r>
        <w:r w:rsidR="005E3C05" w:rsidRPr="005E36EF">
          <w:rPr>
            <w:noProof/>
            <w:webHidden/>
          </w:rPr>
          <w:fldChar w:fldCharType="separate"/>
        </w:r>
        <w:r w:rsidR="005E36EF" w:rsidRPr="005E36EF">
          <w:rPr>
            <w:noProof/>
            <w:webHidden/>
          </w:rPr>
          <w:t>10</w:t>
        </w:r>
        <w:r w:rsidR="005E3C05" w:rsidRPr="005E36EF">
          <w:rPr>
            <w:noProof/>
            <w:webHidden/>
          </w:rPr>
          <w:fldChar w:fldCharType="end"/>
        </w:r>
      </w:hyperlink>
    </w:p>
    <w:p w14:paraId="388925F9" w14:textId="2889701B" w:rsidR="005E3C05" w:rsidRPr="005E36EF" w:rsidRDefault="001A6AF2">
      <w:pPr>
        <w:pStyle w:val="TOC1"/>
        <w:rPr>
          <w:rFonts w:asciiTheme="minorHAnsi" w:eastAsiaTheme="minorEastAsia" w:hAnsiTheme="minorHAnsi" w:cstheme="minorBidi"/>
          <w:noProof/>
          <w:kern w:val="2"/>
          <w:sz w:val="22"/>
          <w:szCs w:val="22"/>
          <w:lang w:eastAsia="fr-FR"/>
          <w14:ligatures w14:val="standardContextual"/>
        </w:rPr>
      </w:pPr>
      <w:hyperlink w:anchor="_Toc166500728" w:history="1">
        <w:r w:rsidR="005E3C05" w:rsidRPr="005E36EF">
          <w:rPr>
            <w:rStyle w:val="Hyperlink"/>
            <w:noProof/>
          </w:rPr>
          <w:t>2</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Grandes conférences statutaires tenues en 2023</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_Toc166500728 \h </w:instrText>
        </w:r>
        <w:r w:rsidR="005E3C05" w:rsidRPr="005E36EF">
          <w:rPr>
            <w:noProof/>
            <w:webHidden/>
          </w:rPr>
        </w:r>
        <w:r w:rsidR="005E3C05" w:rsidRPr="005E36EF">
          <w:rPr>
            <w:noProof/>
            <w:webHidden/>
          </w:rPr>
          <w:fldChar w:fldCharType="separate"/>
        </w:r>
        <w:r w:rsidR="005E36EF" w:rsidRPr="005E36EF">
          <w:rPr>
            <w:noProof/>
            <w:webHidden/>
          </w:rPr>
          <w:t>19</w:t>
        </w:r>
        <w:r w:rsidR="005E3C05" w:rsidRPr="005E36EF">
          <w:rPr>
            <w:noProof/>
            <w:webHidden/>
          </w:rPr>
          <w:fldChar w:fldCharType="end"/>
        </w:r>
      </w:hyperlink>
    </w:p>
    <w:p w14:paraId="00829EBF" w14:textId="49118A54" w:rsidR="005E3C05" w:rsidRPr="005E36EF" w:rsidRDefault="001A6AF2" w:rsidP="005E3C05">
      <w:pPr>
        <w:pStyle w:val="TOC2"/>
        <w:ind w:left="1928"/>
        <w:rPr>
          <w:rFonts w:asciiTheme="minorHAnsi" w:eastAsiaTheme="minorEastAsia" w:hAnsiTheme="minorHAnsi" w:cstheme="minorBidi"/>
          <w:noProof/>
          <w:kern w:val="2"/>
          <w:sz w:val="22"/>
          <w:szCs w:val="22"/>
          <w:lang w:eastAsia="fr-FR"/>
          <w14:ligatures w14:val="standardContextual"/>
        </w:rPr>
      </w:pPr>
      <w:hyperlink w:anchor="_Toc166500729" w:history="1">
        <w:r w:rsidR="005E3C05" w:rsidRPr="005E36EF">
          <w:rPr>
            <w:rStyle w:val="Hyperlink"/>
            <w:noProof/>
          </w:rPr>
          <w:t>2.1</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CMR-23</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_Toc166500729 \h </w:instrText>
        </w:r>
        <w:r w:rsidR="005E3C05" w:rsidRPr="005E36EF">
          <w:rPr>
            <w:noProof/>
            <w:webHidden/>
          </w:rPr>
        </w:r>
        <w:r w:rsidR="005E3C05" w:rsidRPr="005E36EF">
          <w:rPr>
            <w:noProof/>
            <w:webHidden/>
          </w:rPr>
          <w:fldChar w:fldCharType="separate"/>
        </w:r>
        <w:r w:rsidR="005E36EF" w:rsidRPr="005E36EF">
          <w:rPr>
            <w:noProof/>
            <w:webHidden/>
          </w:rPr>
          <w:t>19</w:t>
        </w:r>
        <w:r w:rsidR="005E3C05" w:rsidRPr="005E36EF">
          <w:rPr>
            <w:noProof/>
            <w:webHidden/>
          </w:rPr>
          <w:fldChar w:fldCharType="end"/>
        </w:r>
      </w:hyperlink>
    </w:p>
    <w:p w14:paraId="2E10BE55" w14:textId="016BC110" w:rsidR="005E3C05" w:rsidRPr="005E36EF" w:rsidRDefault="001A6AF2" w:rsidP="005E3C05">
      <w:pPr>
        <w:pStyle w:val="TOC2"/>
        <w:ind w:left="1928"/>
        <w:rPr>
          <w:rFonts w:asciiTheme="minorHAnsi" w:eastAsiaTheme="minorEastAsia" w:hAnsiTheme="minorHAnsi" w:cstheme="minorBidi"/>
          <w:noProof/>
          <w:kern w:val="2"/>
          <w:sz w:val="22"/>
          <w:szCs w:val="22"/>
          <w:lang w:eastAsia="fr-FR"/>
          <w14:ligatures w14:val="standardContextual"/>
        </w:rPr>
      </w:pPr>
      <w:hyperlink w:anchor="_Toc166500730" w:history="1">
        <w:r w:rsidR="005E3C05" w:rsidRPr="005E36EF">
          <w:rPr>
            <w:rStyle w:val="Hyperlink"/>
            <w:noProof/>
          </w:rPr>
          <w:t>2.2</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AR-23</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_Toc166500730 \h </w:instrText>
        </w:r>
        <w:r w:rsidR="005E3C05" w:rsidRPr="005E36EF">
          <w:rPr>
            <w:noProof/>
            <w:webHidden/>
          </w:rPr>
        </w:r>
        <w:r w:rsidR="005E3C05" w:rsidRPr="005E36EF">
          <w:rPr>
            <w:noProof/>
            <w:webHidden/>
          </w:rPr>
          <w:fldChar w:fldCharType="separate"/>
        </w:r>
        <w:r w:rsidR="005E36EF" w:rsidRPr="005E36EF">
          <w:rPr>
            <w:noProof/>
            <w:webHidden/>
          </w:rPr>
          <w:t>22</w:t>
        </w:r>
        <w:r w:rsidR="005E3C05" w:rsidRPr="005E36EF">
          <w:rPr>
            <w:noProof/>
            <w:webHidden/>
          </w:rPr>
          <w:fldChar w:fldCharType="end"/>
        </w:r>
      </w:hyperlink>
    </w:p>
    <w:p w14:paraId="53629E84" w14:textId="56EE8BBA" w:rsidR="005E3C05" w:rsidRPr="005E36EF" w:rsidRDefault="001A6AF2">
      <w:pPr>
        <w:pStyle w:val="TOC1"/>
        <w:rPr>
          <w:rFonts w:asciiTheme="minorHAnsi" w:eastAsiaTheme="minorEastAsia" w:hAnsiTheme="minorHAnsi" w:cstheme="minorBidi"/>
          <w:noProof/>
          <w:kern w:val="2"/>
          <w:sz w:val="22"/>
          <w:szCs w:val="22"/>
          <w:lang w:eastAsia="fr-FR"/>
          <w14:ligatures w14:val="standardContextual"/>
        </w:rPr>
      </w:pPr>
      <w:hyperlink w:anchor="_Toc166500731" w:history="1">
        <w:r w:rsidR="005E3C05" w:rsidRPr="005E36EF">
          <w:rPr>
            <w:rStyle w:val="Hyperlink"/>
            <w:noProof/>
          </w:rPr>
          <w:t>3</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Portée des travaux de l'UIT: progrès accomplis en vue de la réalisation du Programme Connect 2030</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_Toc166500731 \h </w:instrText>
        </w:r>
        <w:r w:rsidR="005E3C05" w:rsidRPr="005E36EF">
          <w:rPr>
            <w:noProof/>
            <w:webHidden/>
          </w:rPr>
        </w:r>
        <w:r w:rsidR="005E3C05" w:rsidRPr="005E36EF">
          <w:rPr>
            <w:noProof/>
            <w:webHidden/>
          </w:rPr>
          <w:fldChar w:fldCharType="separate"/>
        </w:r>
        <w:r w:rsidR="005E36EF" w:rsidRPr="005E36EF">
          <w:rPr>
            <w:noProof/>
            <w:webHidden/>
          </w:rPr>
          <w:t>23</w:t>
        </w:r>
        <w:r w:rsidR="005E3C05" w:rsidRPr="005E36EF">
          <w:rPr>
            <w:noProof/>
            <w:webHidden/>
          </w:rPr>
          <w:fldChar w:fldCharType="end"/>
        </w:r>
      </w:hyperlink>
    </w:p>
    <w:p w14:paraId="096818EB" w14:textId="1AA4CF20" w:rsidR="005E3C05" w:rsidRPr="005E36EF" w:rsidRDefault="001A6AF2" w:rsidP="005E3C05">
      <w:pPr>
        <w:pStyle w:val="TOC2"/>
        <w:ind w:left="1928"/>
        <w:rPr>
          <w:rFonts w:asciiTheme="minorHAnsi" w:eastAsiaTheme="minorEastAsia" w:hAnsiTheme="minorHAnsi" w:cstheme="minorBidi"/>
          <w:noProof/>
          <w:kern w:val="2"/>
          <w:sz w:val="22"/>
          <w:szCs w:val="22"/>
          <w:lang w:eastAsia="fr-FR"/>
          <w14:ligatures w14:val="standardContextual"/>
        </w:rPr>
      </w:pPr>
      <w:hyperlink w:anchor="_Toc166500732" w:history="1">
        <w:r w:rsidR="005E3C05" w:rsidRPr="005E36EF">
          <w:rPr>
            <w:rStyle w:val="Hyperlink"/>
            <w:noProof/>
          </w:rPr>
          <w:t>3.1</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Plan stratégique de l'UIT pour la période 2020-2023: résultats</w:t>
        </w:r>
        <w:r w:rsidR="005E36EF" w:rsidRPr="005E36EF">
          <w:rPr>
            <w:rStyle w:val="Hyperlink"/>
            <w:noProof/>
          </w:rPr>
          <w:br/>
        </w:r>
        <w:r w:rsidR="005E3C05" w:rsidRPr="005E36EF">
          <w:rPr>
            <w:rStyle w:val="Hyperlink"/>
            <w:noProof/>
          </w:rPr>
          <w:t>définitifs</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_Toc166500732 \h </w:instrText>
        </w:r>
        <w:r w:rsidR="005E3C05" w:rsidRPr="005E36EF">
          <w:rPr>
            <w:noProof/>
            <w:webHidden/>
          </w:rPr>
        </w:r>
        <w:r w:rsidR="005E3C05" w:rsidRPr="005E36EF">
          <w:rPr>
            <w:noProof/>
            <w:webHidden/>
          </w:rPr>
          <w:fldChar w:fldCharType="separate"/>
        </w:r>
        <w:r w:rsidR="005E36EF" w:rsidRPr="005E36EF">
          <w:rPr>
            <w:noProof/>
            <w:webHidden/>
          </w:rPr>
          <w:t>23</w:t>
        </w:r>
        <w:r w:rsidR="005E3C05" w:rsidRPr="005E36EF">
          <w:rPr>
            <w:noProof/>
            <w:webHidden/>
          </w:rPr>
          <w:fldChar w:fldCharType="end"/>
        </w:r>
      </w:hyperlink>
    </w:p>
    <w:p w14:paraId="28E66D1D" w14:textId="11F56754" w:rsidR="005E3C05" w:rsidRPr="005E36EF" w:rsidRDefault="001A6AF2" w:rsidP="005E3C05">
      <w:pPr>
        <w:pStyle w:val="TOC2"/>
        <w:ind w:left="1928"/>
        <w:rPr>
          <w:rFonts w:asciiTheme="minorHAnsi" w:eastAsiaTheme="minorEastAsia" w:hAnsiTheme="minorHAnsi" w:cstheme="minorBidi"/>
          <w:noProof/>
          <w:kern w:val="2"/>
          <w:sz w:val="22"/>
          <w:szCs w:val="22"/>
          <w:lang w:eastAsia="fr-FR"/>
          <w14:ligatures w14:val="standardContextual"/>
        </w:rPr>
      </w:pPr>
      <w:hyperlink w:anchor="_Toc166500738" w:history="1">
        <w:r w:rsidR="005E3C05" w:rsidRPr="005E36EF">
          <w:rPr>
            <w:rStyle w:val="Hyperlink"/>
            <w:noProof/>
          </w:rPr>
          <w:t>3.2</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Analyse comparative des cibles du Plan stratégique de l'UIT pour la période 2024</w:t>
        </w:r>
        <w:r w:rsidR="005E3C05" w:rsidRPr="005E36EF">
          <w:rPr>
            <w:rStyle w:val="Hyperlink"/>
            <w:noProof/>
          </w:rPr>
          <w:noBreakHyphen/>
          <w:t>2027</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_Toc166500738 \h </w:instrText>
        </w:r>
        <w:r w:rsidR="005E3C05" w:rsidRPr="005E36EF">
          <w:rPr>
            <w:noProof/>
            <w:webHidden/>
          </w:rPr>
        </w:r>
        <w:r w:rsidR="005E3C05" w:rsidRPr="005E36EF">
          <w:rPr>
            <w:noProof/>
            <w:webHidden/>
          </w:rPr>
          <w:fldChar w:fldCharType="separate"/>
        </w:r>
        <w:r w:rsidR="005E36EF" w:rsidRPr="005E36EF">
          <w:rPr>
            <w:noProof/>
            <w:webHidden/>
          </w:rPr>
          <w:t>27</w:t>
        </w:r>
        <w:r w:rsidR="005E3C05" w:rsidRPr="005E36EF">
          <w:rPr>
            <w:noProof/>
            <w:webHidden/>
          </w:rPr>
          <w:fldChar w:fldCharType="end"/>
        </w:r>
      </w:hyperlink>
    </w:p>
    <w:p w14:paraId="2AF4C648" w14:textId="54C5FC60" w:rsidR="005E3C05" w:rsidRPr="005E36EF" w:rsidRDefault="001A6AF2" w:rsidP="005E3C05">
      <w:pPr>
        <w:pStyle w:val="TOC3"/>
        <w:ind w:left="2404"/>
        <w:rPr>
          <w:rFonts w:asciiTheme="minorHAnsi" w:eastAsiaTheme="minorEastAsia" w:hAnsiTheme="minorHAnsi" w:cstheme="minorBidi"/>
          <w:noProof/>
          <w:kern w:val="2"/>
          <w:sz w:val="22"/>
          <w:szCs w:val="22"/>
          <w:lang w:eastAsia="fr-FR"/>
          <w14:ligatures w14:val="standardContextual"/>
        </w:rPr>
      </w:pPr>
      <w:hyperlink w:anchor="_Toc166500739" w:history="1">
        <w:r w:rsidR="005E3C05" w:rsidRPr="005E36EF">
          <w:rPr>
            <w:rStyle w:val="Hyperlink"/>
            <w:noProof/>
          </w:rPr>
          <w:t>3.2.1</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Cibles stratégiques liées à la connectivité universelle</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_Toc166500739 \h </w:instrText>
        </w:r>
        <w:r w:rsidR="005E3C05" w:rsidRPr="005E36EF">
          <w:rPr>
            <w:noProof/>
            <w:webHidden/>
          </w:rPr>
        </w:r>
        <w:r w:rsidR="005E3C05" w:rsidRPr="005E36EF">
          <w:rPr>
            <w:noProof/>
            <w:webHidden/>
          </w:rPr>
          <w:fldChar w:fldCharType="separate"/>
        </w:r>
        <w:r w:rsidR="005E36EF" w:rsidRPr="005E36EF">
          <w:rPr>
            <w:noProof/>
            <w:webHidden/>
          </w:rPr>
          <w:t>28</w:t>
        </w:r>
        <w:r w:rsidR="005E3C05" w:rsidRPr="005E36EF">
          <w:rPr>
            <w:noProof/>
            <w:webHidden/>
          </w:rPr>
          <w:fldChar w:fldCharType="end"/>
        </w:r>
      </w:hyperlink>
    </w:p>
    <w:p w14:paraId="0B677C58" w14:textId="3DAD6391" w:rsidR="005E3C05" w:rsidRPr="005E36EF" w:rsidRDefault="001A6AF2" w:rsidP="005E3C05">
      <w:pPr>
        <w:pStyle w:val="TOC3"/>
        <w:ind w:left="2404"/>
        <w:rPr>
          <w:rFonts w:asciiTheme="minorHAnsi" w:eastAsiaTheme="minorEastAsia" w:hAnsiTheme="minorHAnsi" w:cstheme="minorBidi"/>
          <w:noProof/>
          <w:kern w:val="2"/>
          <w:sz w:val="22"/>
          <w:szCs w:val="22"/>
          <w:lang w:eastAsia="fr-FR"/>
          <w14:ligatures w14:val="standardContextual"/>
        </w:rPr>
      </w:pPr>
      <w:hyperlink w:anchor="_Toc166500740" w:history="1">
        <w:r w:rsidR="005E3C05" w:rsidRPr="005E36EF">
          <w:rPr>
            <w:rStyle w:val="Hyperlink"/>
            <w:noProof/>
          </w:rPr>
          <w:t>3.2.2</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Transformation numérique durable</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_Toc166500740 \h </w:instrText>
        </w:r>
        <w:r w:rsidR="005E3C05" w:rsidRPr="005E36EF">
          <w:rPr>
            <w:noProof/>
            <w:webHidden/>
          </w:rPr>
        </w:r>
        <w:r w:rsidR="005E3C05" w:rsidRPr="005E36EF">
          <w:rPr>
            <w:noProof/>
            <w:webHidden/>
          </w:rPr>
          <w:fldChar w:fldCharType="separate"/>
        </w:r>
        <w:r w:rsidR="005E36EF" w:rsidRPr="005E36EF">
          <w:rPr>
            <w:noProof/>
            <w:webHidden/>
          </w:rPr>
          <w:t>28</w:t>
        </w:r>
        <w:r w:rsidR="005E3C05" w:rsidRPr="005E36EF">
          <w:rPr>
            <w:noProof/>
            <w:webHidden/>
          </w:rPr>
          <w:fldChar w:fldCharType="end"/>
        </w:r>
      </w:hyperlink>
    </w:p>
    <w:p w14:paraId="1C19FAB0" w14:textId="63F6633A" w:rsidR="005E3C05" w:rsidRPr="005E36EF" w:rsidRDefault="001A6AF2">
      <w:pPr>
        <w:pStyle w:val="TOC1"/>
        <w:rPr>
          <w:rFonts w:asciiTheme="minorHAnsi" w:eastAsiaTheme="minorEastAsia" w:hAnsiTheme="minorHAnsi" w:cstheme="minorBidi"/>
          <w:noProof/>
          <w:kern w:val="2"/>
          <w:sz w:val="22"/>
          <w:szCs w:val="22"/>
          <w:lang w:eastAsia="fr-FR"/>
          <w14:ligatures w14:val="standardContextual"/>
        </w:rPr>
      </w:pPr>
      <w:hyperlink w:anchor="_Toc166500741" w:history="1">
        <w:r w:rsidR="005E3C05" w:rsidRPr="005E36EF">
          <w:rPr>
            <w:rStyle w:val="Hyperlink"/>
            <w:noProof/>
          </w:rPr>
          <w:t>4</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Principaux thèmes de travail de l'UIT</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_Toc166500741 \h </w:instrText>
        </w:r>
        <w:r w:rsidR="005E3C05" w:rsidRPr="005E36EF">
          <w:rPr>
            <w:noProof/>
            <w:webHidden/>
          </w:rPr>
        </w:r>
        <w:r w:rsidR="005E3C05" w:rsidRPr="005E36EF">
          <w:rPr>
            <w:noProof/>
            <w:webHidden/>
          </w:rPr>
          <w:fldChar w:fldCharType="separate"/>
        </w:r>
        <w:r w:rsidR="005E36EF" w:rsidRPr="005E36EF">
          <w:rPr>
            <w:noProof/>
            <w:webHidden/>
          </w:rPr>
          <w:t>29</w:t>
        </w:r>
        <w:r w:rsidR="005E3C05" w:rsidRPr="005E36EF">
          <w:rPr>
            <w:noProof/>
            <w:webHidden/>
          </w:rPr>
          <w:fldChar w:fldCharType="end"/>
        </w:r>
      </w:hyperlink>
    </w:p>
    <w:p w14:paraId="2BB2E6B0" w14:textId="699E648D" w:rsidR="005E3C05" w:rsidRPr="005E36EF" w:rsidRDefault="001A6AF2" w:rsidP="005E3C05">
      <w:pPr>
        <w:pStyle w:val="TOC2"/>
        <w:ind w:left="1928"/>
        <w:rPr>
          <w:rFonts w:asciiTheme="minorHAnsi" w:eastAsiaTheme="minorEastAsia" w:hAnsiTheme="minorHAnsi" w:cstheme="minorBidi"/>
          <w:noProof/>
          <w:kern w:val="2"/>
          <w:sz w:val="22"/>
          <w:szCs w:val="22"/>
          <w:lang w:eastAsia="fr-FR"/>
          <w14:ligatures w14:val="standardContextual"/>
        </w:rPr>
      </w:pPr>
      <w:hyperlink w:anchor="_Toc166500742" w:history="1">
        <w:r w:rsidR="005E3C05" w:rsidRPr="005E36EF">
          <w:rPr>
            <w:rStyle w:val="Hyperlink"/>
            <w:noProof/>
          </w:rPr>
          <w:t>4.1</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Réglementation et gestion du spectre/des orbites</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_Toc166500742 \h </w:instrText>
        </w:r>
        <w:r w:rsidR="005E3C05" w:rsidRPr="005E36EF">
          <w:rPr>
            <w:noProof/>
            <w:webHidden/>
          </w:rPr>
        </w:r>
        <w:r w:rsidR="005E3C05" w:rsidRPr="005E36EF">
          <w:rPr>
            <w:noProof/>
            <w:webHidden/>
          </w:rPr>
          <w:fldChar w:fldCharType="separate"/>
        </w:r>
        <w:r w:rsidR="005E36EF" w:rsidRPr="005E36EF">
          <w:rPr>
            <w:noProof/>
            <w:webHidden/>
          </w:rPr>
          <w:t>30</w:t>
        </w:r>
        <w:r w:rsidR="005E3C05" w:rsidRPr="005E36EF">
          <w:rPr>
            <w:noProof/>
            <w:webHidden/>
          </w:rPr>
          <w:fldChar w:fldCharType="end"/>
        </w:r>
      </w:hyperlink>
    </w:p>
    <w:p w14:paraId="0948C2FC" w14:textId="7BCB5F9E" w:rsidR="005E3C05" w:rsidRPr="005E36EF" w:rsidRDefault="001A6AF2" w:rsidP="005E3C05">
      <w:pPr>
        <w:pStyle w:val="TOC2"/>
        <w:ind w:left="1928"/>
        <w:rPr>
          <w:rFonts w:asciiTheme="minorHAnsi" w:eastAsiaTheme="minorEastAsia" w:hAnsiTheme="minorHAnsi" w:cstheme="minorBidi"/>
          <w:noProof/>
          <w:kern w:val="2"/>
          <w:sz w:val="22"/>
          <w:szCs w:val="22"/>
          <w:lang w:eastAsia="fr-FR"/>
          <w14:ligatures w14:val="standardContextual"/>
        </w:rPr>
      </w:pPr>
      <w:hyperlink w:anchor="_Toc166500743" w:history="1">
        <w:r w:rsidR="005E3C05" w:rsidRPr="005E36EF">
          <w:rPr>
            <w:rStyle w:val="Hyperlink"/>
            <w:noProof/>
          </w:rPr>
          <w:t>4.2</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Technologies émergentes: élaborer des cadres pour une</w:t>
        </w:r>
        <w:r w:rsidR="005E36EF" w:rsidRPr="005E36EF">
          <w:rPr>
            <w:rStyle w:val="Hyperlink"/>
            <w:noProof/>
          </w:rPr>
          <w:br/>
        </w:r>
        <w:r w:rsidR="005E3C05" w:rsidRPr="005E36EF">
          <w:rPr>
            <w:rStyle w:val="Hyperlink"/>
            <w:noProof/>
          </w:rPr>
          <w:t>transformation numérique durable</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_Toc166500743 \h </w:instrText>
        </w:r>
        <w:r w:rsidR="005E3C05" w:rsidRPr="005E36EF">
          <w:rPr>
            <w:noProof/>
            <w:webHidden/>
          </w:rPr>
        </w:r>
        <w:r w:rsidR="005E3C05" w:rsidRPr="005E36EF">
          <w:rPr>
            <w:noProof/>
            <w:webHidden/>
          </w:rPr>
          <w:fldChar w:fldCharType="separate"/>
        </w:r>
        <w:r w:rsidR="005E36EF" w:rsidRPr="005E36EF">
          <w:rPr>
            <w:noProof/>
            <w:webHidden/>
          </w:rPr>
          <w:t>32</w:t>
        </w:r>
        <w:r w:rsidR="005E3C05" w:rsidRPr="005E36EF">
          <w:rPr>
            <w:noProof/>
            <w:webHidden/>
          </w:rPr>
          <w:fldChar w:fldCharType="end"/>
        </w:r>
      </w:hyperlink>
    </w:p>
    <w:p w14:paraId="594AA18C" w14:textId="21C757C3" w:rsidR="005E3C05" w:rsidRPr="005E36EF" w:rsidRDefault="001A6AF2" w:rsidP="005E3C05">
      <w:pPr>
        <w:pStyle w:val="TOC2"/>
        <w:ind w:left="1928"/>
        <w:rPr>
          <w:rFonts w:asciiTheme="minorHAnsi" w:eastAsiaTheme="minorEastAsia" w:hAnsiTheme="minorHAnsi" w:cstheme="minorBidi"/>
          <w:noProof/>
          <w:kern w:val="2"/>
          <w:sz w:val="22"/>
          <w:szCs w:val="22"/>
          <w:lang w:eastAsia="fr-FR"/>
          <w14:ligatures w14:val="standardContextual"/>
        </w:rPr>
      </w:pPr>
      <w:hyperlink w:anchor="_Toc166500747" w:history="1">
        <w:r w:rsidR="005E3C05" w:rsidRPr="005E36EF">
          <w:rPr>
            <w:rStyle w:val="Hyperlink"/>
            <w:noProof/>
          </w:rPr>
          <w:t>4.3</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Climat et environnement: surveiller et réduire les émissions et les déchets d'équipements électriques et électroniques</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_Toc166500747 \h </w:instrText>
        </w:r>
        <w:r w:rsidR="005E3C05" w:rsidRPr="005E36EF">
          <w:rPr>
            <w:noProof/>
            <w:webHidden/>
          </w:rPr>
        </w:r>
        <w:r w:rsidR="005E3C05" w:rsidRPr="005E36EF">
          <w:rPr>
            <w:noProof/>
            <w:webHidden/>
          </w:rPr>
          <w:fldChar w:fldCharType="separate"/>
        </w:r>
        <w:r w:rsidR="005E36EF" w:rsidRPr="005E36EF">
          <w:rPr>
            <w:noProof/>
            <w:webHidden/>
          </w:rPr>
          <w:t>34</w:t>
        </w:r>
        <w:r w:rsidR="005E3C05" w:rsidRPr="005E36EF">
          <w:rPr>
            <w:noProof/>
            <w:webHidden/>
          </w:rPr>
          <w:fldChar w:fldCharType="end"/>
        </w:r>
      </w:hyperlink>
    </w:p>
    <w:p w14:paraId="1F24523A" w14:textId="5135E541" w:rsidR="005E3C05" w:rsidRPr="005E36EF" w:rsidRDefault="001A6AF2" w:rsidP="005E3C05">
      <w:pPr>
        <w:pStyle w:val="TOC2"/>
        <w:ind w:left="1928"/>
        <w:rPr>
          <w:rFonts w:asciiTheme="minorHAnsi" w:eastAsiaTheme="minorEastAsia" w:hAnsiTheme="minorHAnsi" w:cstheme="minorBidi"/>
          <w:noProof/>
          <w:kern w:val="2"/>
          <w:sz w:val="22"/>
          <w:szCs w:val="22"/>
          <w:lang w:eastAsia="fr-FR"/>
          <w14:ligatures w14:val="standardContextual"/>
        </w:rPr>
      </w:pPr>
      <w:hyperlink w:anchor="_Toc166500748" w:history="1">
        <w:r w:rsidR="005E3C05" w:rsidRPr="005E36EF">
          <w:rPr>
            <w:rStyle w:val="Hyperlink"/>
            <w:noProof/>
          </w:rPr>
          <w:t>4.4</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Cybersécurité: instaurer la confiance et la sécurité dans l'utilisation</w:t>
        </w:r>
        <w:r w:rsidR="005E36EF" w:rsidRPr="005E36EF">
          <w:rPr>
            <w:rStyle w:val="Hyperlink"/>
            <w:noProof/>
          </w:rPr>
          <w:br/>
        </w:r>
        <w:r w:rsidR="005E3C05" w:rsidRPr="005E36EF">
          <w:rPr>
            <w:rStyle w:val="Hyperlink"/>
            <w:noProof/>
          </w:rPr>
          <w:t>des TIC</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_Toc166500748 \h </w:instrText>
        </w:r>
        <w:r w:rsidR="005E3C05" w:rsidRPr="005E36EF">
          <w:rPr>
            <w:noProof/>
            <w:webHidden/>
          </w:rPr>
        </w:r>
        <w:r w:rsidR="005E3C05" w:rsidRPr="005E36EF">
          <w:rPr>
            <w:noProof/>
            <w:webHidden/>
          </w:rPr>
          <w:fldChar w:fldCharType="separate"/>
        </w:r>
        <w:r w:rsidR="005E36EF" w:rsidRPr="005E36EF">
          <w:rPr>
            <w:noProof/>
            <w:webHidden/>
          </w:rPr>
          <w:t>37</w:t>
        </w:r>
        <w:r w:rsidR="005E3C05" w:rsidRPr="005E36EF">
          <w:rPr>
            <w:noProof/>
            <w:webHidden/>
          </w:rPr>
          <w:fldChar w:fldCharType="end"/>
        </w:r>
      </w:hyperlink>
    </w:p>
    <w:p w14:paraId="4F7330CB" w14:textId="35C59450" w:rsidR="005E3C05" w:rsidRPr="005E36EF" w:rsidRDefault="001A6AF2" w:rsidP="005E3C05">
      <w:pPr>
        <w:pStyle w:val="TOC2"/>
        <w:ind w:left="1928"/>
        <w:rPr>
          <w:rFonts w:asciiTheme="minorHAnsi" w:eastAsiaTheme="minorEastAsia" w:hAnsiTheme="minorHAnsi" w:cstheme="minorBidi"/>
          <w:noProof/>
          <w:kern w:val="2"/>
          <w:sz w:val="22"/>
          <w:szCs w:val="22"/>
          <w:lang w:eastAsia="fr-FR"/>
          <w14:ligatures w14:val="standardContextual"/>
        </w:rPr>
      </w:pPr>
      <w:hyperlink w:anchor="_Toc166500749" w:history="1">
        <w:r w:rsidR="005E3C05" w:rsidRPr="005E36EF">
          <w:rPr>
            <w:rStyle w:val="Hyperlink"/>
            <w:noProof/>
          </w:rPr>
          <w:t>4.5</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Inclusion numérique: garantir l'égalité d'accès et d'utilisation des technologies pour tous</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_Toc166500749 \h </w:instrText>
        </w:r>
        <w:r w:rsidR="005E3C05" w:rsidRPr="005E36EF">
          <w:rPr>
            <w:noProof/>
            <w:webHidden/>
          </w:rPr>
        </w:r>
        <w:r w:rsidR="005E3C05" w:rsidRPr="005E36EF">
          <w:rPr>
            <w:noProof/>
            <w:webHidden/>
          </w:rPr>
          <w:fldChar w:fldCharType="separate"/>
        </w:r>
        <w:r w:rsidR="005E36EF" w:rsidRPr="005E36EF">
          <w:rPr>
            <w:noProof/>
            <w:webHidden/>
          </w:rPr>
          <w:t>37</w:t>
        </w:r>
        <w:r w:rsidR="005E3C05" w:rsidRPr="005E36EF">
          <w:rPr>
            <w:noProof/>
            <w:webHidden/>
          </w:rPr>
          <w:fldChar w:fldCharType="end"/>
        </w:r>
      </w:hyperlink>
    </w:p>
    <w:p w14:paraId="67967695" w14:textId="23F9F1A1" w:rsidR="005E3C05" w:rsidRPr="005E36EF" w:rsidRDefault="001A6AF2">
      <w:pPr>
        <w:pStyle w:val="TOC1"/>
        <w:rPr>
          <w:rFonts w:asciiTheme="minorHAnsi" w:eastAsiaTheme="minorEastAsia" w:hAnsiTheme="minorHAnsi" w:cstheme="minorBidi"/>
          <w:noProof/>
          <w:kern w:val="2"/>
          <w:sz w:val="22"/>
          <w:szCs w:val="22"/>
          <w:lang w:eastAsia="fr-FR"/>
          <w14:ligatures w14:val="standardContextual"/>
        </w:rPr>
      </w:pPr>
      <w:hyperlink w:anchor="_Toc166500756" w:history="1">
        <w:r w:rsidR="005E3C05" w:rsidRPr="005E36EF">
          <w:rPr>
            <w:rStyle w:val="Hyperlink"/>
            <w:noProof/>
          </w:rPr>
          <w:t>5</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Normalisation: les fondements des technologies d'aujourd'hui et de demain</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_Toc166500756 \h </w:instrText>
        </w:r>
        <w:r w:rsidR="005E3C05" w:rsidRPr="005E36EF">
          <w:rPr>
            <w:noProof/>
            <w:webHidden/>
          </w:rPr>
        </w:r>
        <w:r w:rsidR="005E3C05" w:rsidRPr="005E36EF">
          <w:rPr>
            <w:noProof/>
            <w:webHidden/>
          </w:rPr>
          <w:fldChar w:fldCharType="separate"/>
        </w:r>
        <w:r w:rsidR="005E36EF" w:rsidRPr="005E36EF">
          <w:rPr>
            <w:noProof/>
            <w:webHidden/>
          </w:rPr>
          <w:t>42</w:t>
        </w:r>
        <w:r w:rsidR="005E3C05" w:rsidRPr="005E36EF">
          <w:rPr>
            <w:noProof/>
            <w:webHidden/>
          </w:rPr>
          <w:fldChar w:fldCharType="end"/>
        </w:r>
      </w:hyperlink>
    </w:p>
    <w:p w14:paraId="12501869" w14:textId="05DBA0B7" w:rsidR="005E3C05" w:rsidRPr="005E36EF" w:rsidRDefault="001A6AF2">
      <w:pPr>
        <w:pStyle w:val="TOC1"/>
        <w:rPr>
          <w:rFonts w:asciiTheme="minorHAnsi" w:eastAsiaTheme="minorEastAsia" w:hAnsiTheme="minorHAnsi" w:cstheme="minorBidi"/>
          <w:noProof/>
          <w:kern w:val="2"/>
          <w:sz w:val="22"/>
          <w:szCs w:val="22"/>
          <w:lang w:eastAsia="fr-FR"/>
          <w14:ligatures w14:val="standardContextual"/>
        </w:rPr>
      </w:pPr>
      <w:hyperlink w:anchor="_Toc166500757" w:history="1">
        <w:r w:rsidR="005E3C05" w:rsidRPr="005E36EF">
          <w:rPr>
            <w:rStyle w:val="Hyperlink"/>
            <w:noProof/>
          </w:rPr>
          <w:t>6</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Partenariats stratégiques au service du développement durable</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_Toc166500757 \h </w:instrText>
        </w:r>
        <w:r w:rsidR="005E3C05" w:rsidRPr="005E36EF">
          <w:rPr>
            <w:noProof/>
            <w:webHidden/>
          </w:rPr>
        </w:r>
        <w:r w:rsidR="005E3C05" w:rsidRPr="005E36EF">
          <w:rPr>
            <w:noProof/>
            <w:webHidden/>
          </w:rPr>
          <w:fldChar w:fldCharType="separate"/>
        </w:r>
        <w:r w:rsidR="005E36EF" w:rsidRPr="005E36EF">
          <w:rPr>
            <w:noProof/>
            <w:webHidden/>
          </w:rPr>
          <w:t>43</w:t>
        </w:r>
        <w:r w:rsidR="005E3C05" w:rsidRPr="005E36EF">
          <w:rPr>
            <w:noProof/>
            <w:webHidden/>
          </w:rPr>
          <w:fldChar w:fldCharType="end"/>
        </w:r>
      </w:hyperlink>
    </w:p>
    <w:p w14:paraId="25C5254D" w14:textId="0ACA38DF" w:rsidR="005E3C05" w:rsidRPr="005E36EF" w:rsidRDefault="001A6AF2" w:rsidP="005E3C05">
      <w:pPr>
        <w:pStyle w:val="TOC1"/>
        <w:spacing w:before="120"/>
        <w:rPr>
          <w:rFonts w:asciiTheme="minorHAnsi" w:eastAsiaTheme="minorEastAsia" w:hAnsiTheme="minorHAnsi" w:cstheme="minorBidi"/>
          <w:noProof/>
          <w:kern w:val="2"/>
          <w:sz w:val="22"/>
          <w:szCs w:val="22"/>
          <w:lang w:eastAsia="fr-FR"/>
          <w14:ligatures w14:val="standardContextual"/>
        </w:rPr>
      </w:pPr>
      <w:hyperlink w:anchor="_Toc166500758" w:history="1">
        <w:r w:rsidR="005E3C05" w:rsidRPr="005E36EF">
          <w:rPr>
            <w:rStyle w:val="Hyperlink"/>
            <w:noProof/>
          </w:rPr>
          <w:t>7</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Connecter les personnes et les idées</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_Toc166500758 \h </w:instrText>
        </w:r>
        <w:r w:rsidR="005E3C05" w:rsidRPr="005E36EF">
          <w:rPr>
            <w:noProof/>
            <w:webHidden/>
          </w:rPr>
        </w:r>
        <w:r w:rsidR="005E3C05" w:rsidRPr="005E36EF">
          <w:rPr>
            <w:noProof/>
            <w:webHidden/>
          </w:rPr>
          <w:fldChar w:fldCharType="separate"/>
        </w:r>
        <w:r w:rsidR="005E36EF" w:rsidRPr="005E36EF">
          <w:rPr>
            <w:noProof/>
            <w:webHidden/>
          </w:rPr>
          <w:t>50</w:t>
        </w:r>
        <w:r w:rsidR="005E3C05" w:rsidRPr="005E36EF">
          <w:rPr>
            <w:noProof/>
            <w:webHidden/>
          </w:rPr>
          <w:fldChar w:fldCharType="end"/>
        </w:r>
      </w:hyperlink>
    </w:p>
    <w:p w14:paraId="1734B472" w14:textId="5F21EEB4" w:rsidR="005E3C05" w:rsidRPr="005E36EF" w:rsidRDefault="001A6AF2" w:rsidP="005E3C05">
      <w:pPr>
        <w:pStyle w:val="TOC2"/>
        <w:ind w:left="1928"/>
        <w:rPr>
          <w:rFonts w:asciiTheme="minorHAnsi" w:eastAsiaTheme="minorEastAsia" w:hAnsiTheme="minorHAnsi" w:cstheme="minorBidi"/>
          <w:noProof/>
          <w:kern w:val="2"/>
          <w:sz w:val="22"/>
          <w:szCs w:val="22"/>
          <w:lang w:eastAsia="fr-FR"/>
          <w14:ligatures w14:val="standardContextual"/>
        </w:rPr>
      </w:pPr>
      <w:hyperlink w:anchor="_Toc166500759" w:history="1">
        <w:r w:rsidR="005E3C05" w:rsidRPr="005E36EF">
          <w:rPr>
            <w:rStyle w:val="Hyperlink"/>
            <w:noProof/>
          </w:rPr>
          <w:t>7.1</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Réunions de haut niveau: Connecter les personnes et les idées</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_Toc166500759 \h </w:instrText>
        </w:r>
        <w:r w:rsidR="005E3C05" w:rsidRPr="005E36EF">
          <w:rPr>
            <w:noProof/>
            <w:webHidden/>
          </w:rPr>
        </w:r>
        <w:r w:rsidR="005E3C05" w:rsidRPr="005E36EF">
          <w:rPr>
            <w:noProof/>
            <w:webHidden/>
          </w:rPr>
          <w:fldChar w:fldCharType="separate"/>
        </w:r>
        <w:r w:rsidR="005E36EF" w:rsidRPr="005E36EF">
          <w:rPr>
            <w:noProof/>
            <w:webHidden/>
          </w:rPr>
          <w:t>50</w:t>
        </w:r>
        <w:r w:rsidR="005E3C05" w:rsidRPr="005E36EF">
          <w:rPr>
            <w:noProof/>
            <w:webHidden/>
          </w:rPr>
          <w:fldChar w:fldCharType="end"/>
        </w:r>
      </w:hyperlink>
    </w:p>
    <w:p w14:paraId="5BFB391A" w14:textId="32336E5E" w:rsidR="005E3C05" w:rsidRPr="005E36EF" w:rsidRDefault="001A6AF2" w:rsidP="005E3C05">
      <w:pPr>
        <w:pStyle w:val="TOC2"/>
        <w:ind w:left="1928"/>
        <w:rPr>
          <w:rFonts w:asciiTheme="minorHAnsi" w:eastAsiaTheme="minorEastAsia" w:hAnsiTheme="minorHAnsi" w:cstheme="minorBidi"/>
          <w:noProof/>
          <w:kern w:val="2"/>
          <w:sz w:val="22"/>
          <w:szCs w:val="22"/>
          <w:lang w:eastAsia="fr-FR"/>
          <w14:ligatures w14:val="standardContextual"/>
        </w:rPr>
      </w:pPr>
      <w:hyperlink w:anchor="_Toc166500760" w:history="1">
        <w:r w:rsidR="005E3C05" w:rsidRPr="005E36EF">
          <w:rPr>
            <w:rStyle w:val="Hyperlink"/>
            <w:noProof/>
          </w:rPr>
          <w:t>7.2</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Séminaires et ateliers: Aller plus loin</w:t>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_Toc166500760 \h </w:instrText>
        </w:r>
        <w:r w:rsidR="005E3C05" w:rsidRPr="005E36EF">
          <w:rPr>
            <w:noProof/>
            <w:webHidden/>
          </w:rPr>
        </w:r>
        <w:r w:rsidR="005E3C05" w:rsidRPr="005E36EF">
          <w:rPr>
            <w:noProof/>
            <w:webHidden/>
          </w:rPr>
          <w:fldChar w:fldCharType="separate"/>
        </w:r>
        <w:r w:rsidR="005E36EF" w:rsidRPr="005E36EF">
          <w:rPr>
            <w:noProof/>
            <w:webHidden/>
          </w:rPr>
          <w:t>50</w:t>
        </w:r>
        <w:r w:rsidR="005E3C05" w:rsidRPr="005E36EF">
          <w:rPr>
            <w:noProof/>
            <w:webHidden/>
          </w:rPr>
          <w:fldChar w:fldCharType="end"/>
        </w:r>
      </w:hyperlink>
    </w:p>
    <w:p w14:paraId="4FCA836B" w14:textId="63782158" w:rsidR="005E3C05" w:rsidRPr="005E36EF" w:rsidRDefault="001A6AF2" w:rsidP="005E3C05">
      <w:pPr>
        <w:pStyle w:val="TOC2"/>
        <w:ind w:left="1928"/>
        <w:rPr>
          <w:rFonts w:asciiTheme="minorHAnsi" w:eastAsiaTheme="minorEastAsia" w:hAnsiTheme="minorHAnsi" w:cstheme="minorBidi"/>
          <w:noProof/>
          <w:kern w:val="2"/>
          <w:sz w:val="22"/>
          <w:szCs w:val="22"/>
          <w:lang w:eastAsia="fr-FR"/>
          <w14:ligatures w14:val="standardContextual"/>
        </w:rPr>
      </w:pPr>
      <w:hyperlink w:anchor="_Toc166500761" w:history="1">
        <w:r w:rsidR="005E3C05" w:rsidRPr="005E36EF">
          <w:rPr>
            <w:rStyle w:val="Hyperlink"/>
            <w:noProof/>
          </w:rPr>
          <w:t>7.3</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Participation des établissements universitaires aux travaux de l'UIT</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_Toc166500761 \h </w:instrText>
        </w:r>
        <w:r w:rsidR="005E3C05" w:rsidRPr="005E36EF">
          <w:rPr>
            <w:noProof/>
            <w:webHidden/>
          </w:rPr>
        </w:r>
        <w:r w:rsidR="005E3C05" w:rsidRPr="005E36EF">
          <w:rPr>
            <w:noProof/>
            <w:webHidden/>
          </w:rPr>
          <w:fldChar w:fldCharType="separate"/>
        </w:r>
        <w:r w:rsidR="005E36EF" w:rsidRPr="005E36EF">
          <w:rPr>
            <w:noProof/>
            <w:webHidden/>
          </w:rPr>
          <w:t>51</w:t>
        </w:r>
        <w:r w:rsidR="005E3C05" w:rsidRPr="005E36EF">
          <w:rPr>
            <w:noProof/>
            <w:webHidden/>
          </w:rPr>
          <w:fldChar w:fldCharType="end"/>
        </w:r>
      </w:hyperlink>
    </w:p>
    <w:p w14:paraId="27208C12" w14:textId="3E5D4E8E" w:rsidR="005E3C05" w:rsidRPr="005E36EF" w:rsidRDefault="001A6AF2">
      <w:pPr>
        <w:pStyle w:val="TOC1"/>
        <w:rPr>
          <w:rFonts w:asciiTheme="minorHAnsi" w:eastAsiaTheme="minorEastAsia" w:hAnsiTheme="minorHAnsi" w:cstheme="minorBidi"/>
          <w:noProof/>
          <w:kern w:val="2"/>
          <w:sz w:val="22"/>
          <w:szCs w:val="22"/>
          <w:lang w:eastAsia="fr-FR"/>
          <w14:ligatures w14:val="standardContextual"/>
        </w:rPr>
      </w:pPr>
      <w:hyperlink w:anchor="_Toc166500762" w:history="1">
        <w:r w:rsidR="005E3C05" w:rsidRPr="005E36EF">
          <w:rPr>
            <w:rStyle w:val="Hyperlink"/>
            <w:noProof/>
          </w:rPr>
          <w:t>8</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Assistance technique</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_Toc166500762 \h </w:instrText>
        </w:r>
        <w:r w:rsidR="005E3C05" w:rsidRPr="005E36EF">
          <w:rPr>
            <w:noProof/>
            <w:webHidden/>
          </w:rPr>
        </w:r>
        <w:r w:rsidR="005E3C05" w:rsidRPr="005E36EF">
          <w:rPr>
            <w:noProof/>
            <w:webHidden/>
          </w:rPr>
          <w:fldChar w:fldCharType="separate"/>
        </w:r>
        <w:r w:rsidR="005E36EF" w:rsidRPr="005E36EF">
          <w:rPr>
            <w:noProof/>
            <w:webHidden/>
          </w:rPr>
          <w:t>52</w:t>
        </w:r>
        <w:r w:rsidR="005E3C05" w:rsidRPr="005E36EF">
          <w:rPr>
            <w:noProof/>
            <w:webHidden/>
          </w:rPr>
          <w:fldChar w:fldCharType="end"/>
        </w:r>
      </w:hyperlink>
    </w:p>
    <w:p w14:paraId="26AA4D1B" w14:textId="1283AACF" w:rsidR="005E3C05" w:rsidRPr="005E36EF" w:rsidRDefault="001A6AF2" w:rsidP="005E3C05">
      <w:pPr>
        <w:pStyle w:val="TOC1"/>
        <w:spacing w:before="120"/>
        <w:rPr>
          <w:rFonts w:asciiTheme="minorHAnsi" w:eastAsiaTheme="minorEastAsia" w:hAnsiTheme="minorHAnsi" w:cstheme="minorBidi"/>
          <w:noProof/>
          <w:kern w:val="2"/>
          <w:sz w:val="22"/>
          <w:szCs w:val="22"/>
          <w:lang w:eastAsia="fr-FR"/>
          <w14:ligatures w14:val="standardContextual"/>
        </w:rPr>
      </w:pPr>
      <w:hyperlink w:anchor="_Toc166500763" w:history="1">
        <w:r w:rsidR="005E3C05" w:rsidRPr="005E36EF">
          <w:rPr>
            <w:rStyle w:val="Hyperlink"/>
            <w:noProof/>
          </w:rPr>
          <w:t>9</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rPr>
          <w:t>Approche de l'UIT reposant sur les contributions de ses membres</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_Toc166500763 \h </w:instrText>
        </w:r>
        <w:r w:rsidR="005E3C05" w:rsidRPr="005E36EF">
          <w:rPr>
            <w:noProof/>
            <w:webHidden/>
          </w:rPr>
        </w:r>
        <w:r w:rsidR="005E3C05" w:rsidRPr="005E36EF">
          <w:rPr>
            <w:noProof/>
            <w:webHidden/>
          </w:rPr>
          <w:fldChar w:fldCharType="separate"/>
        </w:r>
        <w:r w:rsidR="005E36EF" w:rsidRPr="005E36EF">
          <w:rPr>
            <w:noProof/>
            <w:webHidden/>
          </w:rPr>
          <w:t>53</w:t>
        </w:r>
        <w:r w:rsidR="005E3C05" w:rsidRPr="005E36EF">
          <w:rPr>
            <w:noProof/>
            <w:webHidden/>
          </w:rPr>
          <w:fldChar w:fldCharType="end"/>
        </w:r>
      </w:hyperlink>
    </w:p>
    <w:p w14:paraId="6E5CD1FB" w14:textId="0BAE0B5A" w:rsidR="005E3C05" w:rsidRPr="005E36EF" w:rsidRDefault="001A6AF2" w:rsidP="005E3C05">
      <w:pPr>
        <w:pStyle w:val="TOC1"/>
        <w:spacing w:before="120"/>
        <w:rPr>
          <w:rFonts w:asciiTheme="minorHAnsi" w:eastAsiaTheme="minorEastAsia" w:hAnsiTheme="minorHAnsi" w:cstheme="minorBidi"/>
          <w:noProof/>
          <w:kern w:val="2"/>
          <w:sz w:val="22"/>
          <w:szCs w:val="22"/>
          <w:lang w:eastAsia="fr-FR"/>
          <w14:ligatures w14:val="standardContextual"/>
        </w:rPr>
      </w:pPr>
      <w:hyperlink w:anchor="_Toc166500764" w:history="1">
        <w:r w:rsidR="005E3C05" w:rsidRPr="005E36EF">
          <w:rPr>
            <w:rStyle w:val="Hyperlink"/>
            <w:noProof/>
            <w:lang w:eastAsia="fr-FR"/>
          </w:rPr>
          <w:t>10</w:t>
        </w:r>
        <w:r w:rsidR="005E3C05" w:rsidRPr="005E36EF">
          <w:rPr>
            <w:rFonts w:asciiTheme="minorHAnsi" w:eastAsiaTheme="minorEastAsia" w:hAnsiTheme="minorHAnsi" w:cstheme="minorBidi"/>
            <w:noProof/>
            <w:kern w:val="2"/>
            <w:sz w:val="22"/>
            <w:szCs w:val="22"/>
            <w:lang w:eastAsia="fr-FR"/>
            <w14:ligatures w14:val="standardContextual"/>
          </w:rPr>
          <w:tab/>
        </w:r>
        <w:r w:rsidR="005E3C05" w:rsidRPr="005E36EF">
          <w:rPr>
            <w:rStyle w:val="Hyperlink"/>
            <w:noProof/>
            <w:lang w:eastAsia="fr-FR"/>
          </w:rPr>
          <w:t>Mise en œuvre des Résolutions de la Conférence de plénipotentiaires</w:t>
        </w:r>
        <w:r w:rsidR="005E3C05" w:rsidRPr="005E36EF">
          <w:rPr>
            <w:noProof/>
            <w:webHidden/>
          </w:rPr>
          <w:tab/>
        </w:r>
        <w:r w:rsidR="005E3C05" w:rsidRPr="005E36EF">
          <w:rPr>
            <w:noProof/>
            <w:webHidden/>
          </w:rPr>
          <w:tab/>
        </w:r>
        <w:r w:rsidR="005E3C05" w:rsidRPr="005E36EF">
          <w:rPr>
            <w:noProof/>
            <w:webHidden/>
          </w:rPr>
          <w:fldChar w:fldCharType="begin"/>
        </w:r>
        <w:r w:rsidR="005E3C05" w:rsidRPr="005E36EF">
          <w:rPr>
            <w:noProof/>
            <w:webHidden/>
          </w:rPr>
          <w:instrText xml:space="preserve"> PAGEREF _Toc166500764 \h </w:instrText>
        </w:r>
        <w:r w:rsidR="005E3C05" w:rsidRPr="005E36EF">
          <w:rPr>
            <w:noProof/>
            <w:webHidden/>
          </w:rPr>
        </w:r>
        <w:r w:rsidR="005E3C05" w:rsidRPr="005E36EF">
          <w:rPr>
            <w:noProof/>
            <w:webHidden/>
          </w:rPr>
          <w:fldChar w:fldCharType="separate"/>
        </w:r>
        <w:r w:rsidR="005E36EF" w:rsidRPr="005E36EF">
          <w:rPr>
            <w:noProof/>
            <w:webHidden/>
          </w:rPr>
          <w:t>55</w:t>
        </w:r>
        <w:r w:rsidR="005E3C05" w:rsidRPr="005E36EF">
          <w:rPr>
            <w:noProof/>
            <w:webHidden/>
          </w:rPr>
          <w:fldChar w:fldCharType="end"/>
        </w:r>
      </w:hyperlink>
    </w:p>
    <w:p w14:paraId="26D7B2F9" w14:textId="79F08DD4" w:rsidR="005C05AB" w:rsidRPr="005E36EF" w:rsidRDefault="007335E2" w:rsidP="00EF358C">
      <w:pPr>
        <w:spacing w:before="0"/>
      </w:pPr>
      <w:r w:rsidRPr="005E36EF">
        <w:fldChar w:fldCharType="end"/>
      </w:r>
      <w:r w:rsidR="005C05AB" w:rsidRPr="005E36EF">
        <w:br w:type="page"/>
      </w:r>
    </w:p>
    <w:p w14:paraId="49B4A5B2" w14:textId="1EBDB4D2" w:rsidR="005C05AB" w:rsidRPr="005E36EF" w:rsidRDefault="005C05AB" w:rsidP="00455225">
      <w:pPr>
        <w:pStyle w:val="Heading1"/>
      </w:pPr>
      <w:bookmarkStart w:id="2" w:name="_Toc166500726"/>
      <w:r w:rsidRPr="005E36EF">
        <w:lastRenderedPageBreak/>
        <w:t>i</w:t>
      </w:r>
      <w:r w:rsidRPr="005E36EF">
        <w:tab/>
        <w:t>Principaux points à retenir</w:t>
      </w:r>
      <w:bookmarkEnd w:id="2"/>
    </w:p>
    <w:p w14:paraId="324585E4" w14:textId="6FE9C3AB" w:rsidR="005C05AB" w:rsidRPr="005E36EF" w:rsidRDefault="005C05AB" w:rsidP="009E1719">
      <w:pPr>
        <w:pStyle w:val="enumlev1"/>
      </w:pPr>
      <w:r w:rsidRPr="005E36EF">
        <w:t>•</w:t>
      </w:r>
      <w:r w:rsidRPr="005E36EF">
        <w:tab/>
        <w:t>L</w:t>
      </w:r>
      <w:r w:rsidR="00A8661D" w:rsidRPr="005E36EF">
        <w:t>'</w:t>
      </w:r>
      <w:r w:rsidRPr="005E36EF">
        <w:t>UIT œuvre en faveur d</w:t>
      </w:r>
      <w:r w:rsidR="00A8661D" w:rsidRPr="005E36EF">
        <w:t>'</w:t>
      </w:r>
      <w:r w:rsidRPr="005E36EF">
        <w:t>une connectivité universelle et d</w:t>
      </w:r>
      <w:r w:rsidR="00A8661D" w:rsidRPr="005E36EF">
        <w:t>'</w:t>
      </w:r>
      <w:r w:rsidRPr="005E36EF">
        <w:t>une transformation numérique durable, dans le but de connecter le dernier tiers de l</w:t>
      </w:r>
      <w:r w:rsidR="00A8661D" w:rsidRPr="005E36EF">
        <w:t>'</w:t>
      </w:r>
      <w:r w:rsidRPr="005E36EF">
        <w:t>humanité, à savoir les</w:t>
      </w:r>
      <w:r w:rsidR="00455225" w:rsidRPr="005E36EF">
        <w:t> </w:t>
      </w:r>
      <w:r w:rsidRPr="005E36EF">
        <w:t>2,6</w:t>
      </w:r>
      <w:r w:rsidR="00455225" w:rsidRPr="005E36EF">
        <w:t> </w:t>
      </w:r>
      <w:r w:rsidRPr="005E36EF">
        <w:t>milliards de personnes dans le monde qui n</w:t>
      </w:r>
      <w:r w:rsidR="00A8661D" w:rsidRPr="005E36EF">
        <w:t>'</w:t>
      </w:r>
      <w:r w:rsidRPr="005E36EF">
        <w:t>ont toujours pas accès à l</w:t>
      </w:r>
      <w:r w:rsidR="00A8661D" w:rsidRPr="005E36EF">
        <w:t>'</w:t>
      </w:r>
      <w:r w:rsidRPr="005E36EF">
        <w:t>Internet.</w:t>
      </w:r>
    </w:p>
    <w:p w14:paraId="302E48B5" w14:textId="5E9E8182" w:rsidR="005C05AB" w:rsidRPr="005E36EF" w:rsidRDefault="005C05AB" w:rsidP="009E1719">
      <w:pPr>
        <w:pStyle w:val="enumlev1"/>
      </w:pPr>
      <w:r w:rsidRPr="005E36EF">
        <w:t>•</w:t>
      </w:r>
      <w:r w:rsidRPr="005E36EF">
        <w:tab/>
        <w:t>Le Plan stratégique de l</w:t>
      </w:r>
      <w:r w:rsidR="00A8661D" w:rsidRPr="005E36EF">
        <w:t>'</w:t>
      </w:r>
      <w:r w:rsidRPr="005E36EF">
        <w:t>UIT pour la période 2024-2027 met l</w:t>
      </w:r>
      <w:r w:rsidR="00A8661D" w:rsidRPr="005E36EF">
        <w:t>'</w:t>
      </w:r>
      <w:r w:rsidRPr="005E36EF">
        <w:t>accent sur 12 cibles en matière de connectivité et de transformation.</w:t>
      </w:r>
    </w:p>
    <w:p w14:paraId="7AA8092A" w14:textId="19805ACF" w:rsidR="005C05AB" w:rsidRPr="005E36EF" w:rsidRDefault="005C05AB" w:rsidP="009E1719">
      <w:pPr>
        <w:pStyle w:val="enumlev1"/>
      </w:pPr>
      <w:r w:rsidRPr="005E36EF">
        <w:t>•</w:t>
      </w:r>
      <w:r w:rsidRPr="005E36EF">
        <w:tab/>
      </w:r>
      <w:r w:rsidR="00A3630D" w:rsidRPr="005E36EF">
        <w:t>Au mois de mars 2024, l</w:t>
      </w:r>
      <w:r w:rsidR="000842F8" w:rsidRPr="005E36EF">
        <w:t>'initiative</w:t>
      </w:r>
      <w:r w:rsidRPr="005E36EF">
        <w:t xml:space="preserve"> Partner2Connect de l</w:t>
      </w:r>
      <w:r w:rsidR="00A8661D" w:rsidRPr="005E36EF">
        <w:t>'</w:t>
      </w:r>
      <w:r w:rsidRPr="005E36EF">
        <w:t xml:space="preserve">UIT </w:t>
      </w:r>
      <w:r w:rsidR="00007EA2" w:rsidRPr="005E36EF">
        <w:t xml:space="preserve">avait </w:t>
      </w:r>
      <w:r w:rsidRPr="005E36EF">
        <w:t>mobilisé des engagements d</w:t>
      </w:r>
      <w:r w:rsidR="00A8661D" w:rsidRPr="005E36EF">
        <w:t>'</w:t>
      </w:r>
      <w:r w:rsidRPr="005E36EF">
        <w:t xml:space="preserve">un montant de plus de 46 milliards USD </w:t>
      </w:r>
      <w:r w:rsidR="006167A7" w:rsidRPr="005E36EF">
        <w:t xml:space="preserve">en faveur </w:t>
      </w:r>
      <w:r w:rsidR="00A3630D" w:rsidRPr="005E36EF">
        <w:t>des principes</w:t>
      </w:r>
      <w:r w:rsidR="006167A7" w:rsidRPr="005E36EF">
        <w:t xml:space="preserve"> </w:t>
      </w:r>
      <w:r w:rsidR="00A3630D" w:rsidRPr="005E36EF">
        <w:t>d</w:t>
      </w:r>
      <w:r w:rsidR="006167A7" w:rsidRPr="005E36EF">
        <w:t>'inclusion, de partenariat et d</w:t>
      </w:r>
      <w:r w:rsidR="00A3630D" w:rsidRPr="005E36EF">
        <w:t>e</w:t>
      </w:r>
      <w:r w:rsidR="006167A7" w:rsidRPr="005E36EF">
        <w:t xml:space="preserve"> développement </w:t>
      </w:r>
      <w:r w:rsidR="009031F6" w:rsidRPr="005E36EF">
        <w:t xml:space="preserve">du </w:t>
      </w:r>
      <w:r w:rsidR="006167A7" w:rsidRPr="005E36EF">
        <w:t>numérique axé sur la durabilité</w:t>
      </w:r>
      <w:r w:rsidR="001658D0" w:rsidRPr="005E36EF">
        <w:t xml:space="preserve">. Cette initiative, dirigée par l'UIT, vise à reconnaître la nécessité d'une collaboration multi-parties prenantes pour parvenir à une connectivité universelle et efficace ainsi qu'à une transformation numérique durable, et le rôle </w:t>
      </w:r>
      <w:r w:rsidR="00ED341F" w:rsidRPr="005E36EF">
        <w:t>que jouent directement les</w:t>
      </w:r>
      <w:r w:rsidR="001658D0" w:rsidRPr="005E36EF">
        <w:t xml:space="preserve"> pouvoirs publics, </w:t>
      </w:r>
      <w:r w:rsidR="002E11FD" w:rsidRPr="005E36EF">
        <w:t>l</w:t>
      </w:r>
      <w:r w:rsidR="001658D0" w:rsidRPr="005E36EF">
        <w:t>es décideurs et la communauté des régulateurs</w:t>
      </w:r>
      <w:r w:rsidR="009F4DC8" w:rsidRPr="005E36EF">
        <w:t xml:space="preserve"> à cet égard</w:t>
      </w:r>
      <w:r w:rsidRPr="005E36EF">
        <w:t>.</w:t>
      </w:r>
    </w:p>
    <w:p w14:paraId="1B74800E" w14:textId="6C28826B" w:rsidR="005C05AB" w:rsidRPr="005E36EF" w:rsidRDefault="005C05AB" w:rsidP="00455225">
      <w:pPr>
        <w:pStyle w:val="Headingi"/>
      </w:pPr>
      <w:r w:rsidRPr="005E36EF">
        <w:t xml:space="preserve">Situation </w:t>
      </w:r>
      <w:r w:rsidR="00876EC3" w:rsidRPr="005E36EF">
        <w:t>dans le monde</w:t>
      </w:r>
    </w:p>
    <w:p w14:paraId="5F614CDC" w14:textId="18E6D7F0" w:rsidR="005C05AB" w:rsidRPr="005E36EF" w:rsidRDefault="005C05AB" w:rsidP="009E1719">
      <w:pPr>
        <w:pStyle w:val="enumlev1"/>
      </w:pPr>
      <w:r w:rsidRPr="005E36EF">
        <w:t>•</w:t>
      </w:r>
      <w:r w:rsidRPr="005E36EF">
        <w:tab/>
        <w:t>À la fin de 2023, environ 67% de la population mondiale, soit 5,4 milliards de personnes, étaient connectées, ce qui représente une hausse de 4,7% par rapport à</w:t>
      </w:r>
      <w:r w:rsidR="00B1328B" w:rsidRPr="005E36EF">
        <w:t> </w:t>
      </w:r>
      <w:r w:rsidRPr="005E36EF">
        <w:t>2022.</w:t>
      </w:r>
    </w:p>
    <w:p w14:paraId="32CE8178" w14:textId="5D526A4E" w:rsidR="005C05AB" w:rsidRPr="005E36EF" w:rsidRDefault="005C05AB" w:rsidP="009E1719">
      <w:pPr>
        <w:pStyle w:val="enumlev1"/>
      </w:pPr>
      <w:r w:rsidRPr="005E36EF">
        <w:t>•</w:t>
      </w:r>
      <w:r w:rsidRPr="005E36EF">
        <w:tab/>
        <w:t>Malgré les progrès réalisés, seuls 27% des habitants des pays à faible revenu utilisaient l</w:t>
      </w:r>
      <w:r w:rsidR="00A8661D" w:rsidRPr="005E36EF">
        <w:t>'</w:t>
      </w:r>
      <w:r w:rsidRPr="005E36EF">
        <w:t>Internet en 2023, ce qui montre qu</w:t>
      </w:r>
      <w:r w:rsidR="00A8661D" w:rsidRPr="005E36EF">
        <w:t>'</w:t>
      </w:r>
      <w:r w:rsidRPr="005E36EF">
        <w:t>il reste des défis à relever pour réduire la fracture numérique.</w:t>
      </w:r>
    </w:p>
    <w:p w14:paraId="3749A180" w14:textId="6308E508" w:rsidR="005C05AB" w:rsidRPr="005E36EF" w:rsidRDefault="005C05AB" w:rsidP="009E1719">
      <w:pPr>
        <w:pStyle w:val="enumlev1"/>
      </w:pPr>
      <w:r w:rsidRPr="005E36EF">
        <w:t>•</w:t>
      </w:r>
      <w:r w:rsidRPr="005E36EF">
        <w:tab/>
        <w:t>En 2023, le panier des prix du large bande mobile pour les données uniquement est devenu plus accessible dans toutes les régions du monde et pour tous les groupes de revenus.</w:t>
      </w:r>
      <w:r w:rsidR="007E6889" w:rsidRPr="005E36EF">
        <w:t xml:space="preserve"> L'accessibilité économique </w:t>
      </w:r>
      <w:r w:rsidR="009576C0" w:rsidRPr="005E36EF">
        <w:t>a progressé</w:t>
      </w:r>
      <w:r w:rsidR="007E6889" w:rsidRPr="005E36EF">
        <w:t xml:space="preserve"> de 36% entre 2017 et 2023.</w:t>
      </w:r>
    </w:p>
    <w:p w14:paraId="1EC57B3A" w14:textId="78CE3C91" w:rsidR="005C05AB" w:rsidRPr="005E36EF" w:rsidRDefault="005C05AB" w:rsidP="009E1719">
      <w:pPr>
        <w:pStyle w:val="enumlev1"/>
      </w:pPr>
      <w:r w:rsidRPr="005E36EF">
        <w:t>•</w:t>
      </w:r>
      <w:r w:rsidRPr="005E36EF">
        <w:tab/>
        <w:t>À la fin de 2023, le nombre d</w:t>
      </w:r>
      <w:r w:rsidR="00A8661D" w:rsidRPr="005E36EF">
        <w:t>'</w:t>
      </w:r>
      <w:r w:rsidRPr="005E36EF">
        <w:t>hommes connectés dans le monde était supérieur de</w:t>
      </w:r>
      <w:r w:rsidR="00B1328B" w:rsidRPr="005E36EF">
        <w:t> </w:t>
      </w:r>
      <w:r w:rsidRPr="005E36EF">
        <w:t>250</w:t>
      </w:r>
      <w:r w:rsidR="00B1328B" w:rsidRPr="005E36EF">
        <w:t> </w:t>
      </w:r>
      <w:r w:rsidRPr="005E36EF">
        <w:t xml:space="preserve">millions au nombre de femmes connectées </w:t>
      </w:r>
      <w:r w:rsidR="0004638C" w:rsidRPr="005E36EF">
        <w:t>–</w:t>
      </w:r>
      <w:r w:rsidRPr="005E36EF">
        <w:t xml:space="preserve"> un écart observé tout particulièrement dans les </w:t>
      </w:r>
      <w:r w:rsidR="00A830D7" w:rsidRPr="005E36EF">
        <w:t>pays les moins avancés (</w:t>
      </w:r>
      <w:r w:rsidRPr="005E36EF">
        <w:t>PMA</w:t>
      </w:r>
      <w:r w:rsidR="00A830D7" w:rsidRPr="005E36EF">
        <w:t>)</w:t>
      </w:r>
      <w:r w:rsidRPr="005E36EF">
        <w:t xml:space="preserve"> </w:t>
      </w:r>
      <w:r w:rsidR="00455225" w:rsidRPr="005E36EF">
        <w:t>–</w:t>
      </w:r>
      <w:r w:rsidRPr="005E36EF">
        <w:t xml:space="preserve"> et le nombre de pays ayant mis en place un cadre réglementaire pour garantir l</w:t>
      </w:r>
      <w:r w:rsidR="00A8661D" w:rsidRPr="005E36EF">
        <w:t>'</w:t>
      </w:r>
      <w:r w:rsidRPr="005E36EF">
        <w:t xml:space="preserve">accessibilité des </w:t>
      </w:r>
      <w:r w:rsidR="00BE4E38" w:rsidRPr="005E36EF">
        <w:t>technologies de l'information et de la communication (</w:t>
      </w:r>
      <w:r w:rsidRPr="005E36EF">
        <w:t>TIC</w:t>
      </w:r>
      <w:r w:rsidR="00BE4E38" w:rsidRPr="005E36EF">
        <w:t>)</w:t>
      </w:r>
      <w:r w:rsidRPr="005E36EF">
        <w:t xml:space="preserve"> aux personnes handicapées avait presque doublé depuis 2020, pour passer de 61 à 117.</w:t>
      </w:r>
    </w:p>
    <w:p w14:paraId="19151DBD" w14:textId="5FC8E6D7" w:rsidR="005C05AB" w:rsidRPr="005E36EF" w:rsidRDefault="005C05AB" w:rsidP="009E1719">
      <w:pPr>
        <w:pStyle w:val="enumlev1"/>
      </w:pPr>
      <w:r w:rsidRPr="005E36EF">
        <w:t>•</w:t>
      </w:r>
      <w:r w:rsidRPr="005E36EF">
        <w:tab/>
        <w:t>Selon le rapport "</w:t>
      </w:r>
      <w:hyperlink r:id="rId12" w:history="1">
        <w:r w:rsidRPr="005E36EF">
          <w:rPr>
            <w:rStyle w:val="Hyperlink"/>
          </w:rPr>
          <w:t>Global E-Waste Monitor</w:t>
        </w:r>
      </w:hyperlink>
      <w:r w:rsidRPr="005E36EF">
        <w:t>" (</w:t>
      </w:r>
      <w:r w:rsidRPr="005E36EF">
        <w:rPr>
          <w:i/>
          <w:iCs/>
        </w:rPr>
        <w:t xml:space="preserve">Suivi des </w:t>
      </w:r>
      <w:r w:rsidR="00926F2F" w:rsidRPr="005E36EF">
        <w:rPr>
          <w:i/>
          <w:iCs/>
        </w:rPr>
        <w:t>déchets d'équipements électriques et électroniques</w:t>
      </w:r>
      <w:r w:rsidRPr="005E36EF">
        <w:rPr>
          <w:i/>
          <w:iCs/>
        </w:rPr>
        <w:t xml:space="preserve"> à l</w:t>
      </w:r>
      <w:r w:rsidR="00A8661D" w:rsidRPr="005E36EF">
        <w:rPr>
          <w:i/>
          <w:iCs/>
        </w:rPr>
        <w:t>'</w:t>
      </w:r>
      <w:r w:rsidRPr="005E36EF">
        <w:rPr>
          <w:i/>
          <w:iCs/>
        </w:rPr>
        <w:t>échelle mondiale</w:t>
      </w:r>
      <w:r w:rsidRPr="005E36EF">
        <w:t>)</w:t>
      </w:r>
      <w:r w:rsidR="00B27DFE" w:rsidRPr="005E36EF">
        <w:t xml:space="preserve"> le plus récent</w:t>
      </w:r>
      <w:r w:rsidRPr="005E36EF">
        <w:t>, la production mondiale de</w:t>
      </w:r>
      <w:r w:rsidR="009963F5" w:rsidRPr="005E36EF">
        <w:t xml:space="preserve"> déchets d'équipements électriques et électroniques</w:t>
      </w:r>
      <w:r w:rsidRPr="005E36EF">
        <w:t xml:space="preserve"> </w:t>
      </w:r>
      <w:r w:rsidR="009963F5" w:rsidRPr="005E36EF">
        <w:t>(</w:t>
      </w:r>
      <w:r w:rsidRPr="005E36EF">
        <w:t>DEEE</w:t>
      </w:r>
      <w:r w:rsidR="009963F5" w:rsidRPr="005E36EF">
        <w:t>)</w:t>
      </w:r>
      <w:r w:rsidRPr="005E36EF">
        <w:t xml:space="preserve"> devrait atteindre 74,7</w:t>
      </w:r>
      <w:r w:rsidR="00D962D9" w:rsidRPr="005E36EF">
        <w:t> </w:t>
      </w:r>
      <w:r w:rsidRPr="005E36EF">
        <w:t>millions de tonnes d</w:t>
      </w:r>
      <w:r w:rsidR="00A8661D" w:rsidRPr="005E36EF">
        <w:t>'</w:t>
      </w:r>
      <w:r w:rsidRPr="005E36EF">
        <w:t xml:space="preserve">ici 2030, soit près du double de la production en 2014, </w:t>
      </w:r>
      <w:r w:rsidR="00D72536" w:rsidRPr="005E36EF">
        <w:t xml:space="preserve">et le pourcentage de recyclage de DEEE </w:t>
      </w:r>
      <w:r w:rsidR="00455C0D" w:rsidRPr="005E36EF">
        <w:t>devrait tomber</w:t>
      </w:r>
      <w:r w:rsidR="00D72536" w:rsidRPr="005E36EF">
        <w:t xml:space="preserve"> à 20% d'ici à 2030, en raison de l'écart croissant entre les efforts de recyclage et la croissance exponentielle de la production de ces déchets dans le monde, et sous l'effet </w:t>
      </w:r>
      <w:r w:rsidRPr="005E36EF">
        <w:t>de l</w:t>
      </w:r>
      <w:r w:rsidR="00A8661D" w:rsidRPr="005E36EF">
        <w:t>'</w:t>
      </w:r>
      <w:r w:rsidRPr="005E36EF">
        <w:t>augmentation du taux de consommation des équipements électriques et électroniques, de la durée de vie réduite des produits et des possibilités de réparation limitées.</w:t>
      </w:r>
    </w:p>
    <w:p w14:paraId="2A37E0C6" w14:textId="77777777" w:rsidR="00FF2CF8" w:rsidRPr="005E36EF" w:rsidRDefault="00AE4B89" w:rsidP="009E1719">
      <w:pPr>
        <w:pStyle w:val="enumlev1"/>
      </w:pPr>
      <w:r w:rsidRPr="005E36EF">
        <w:t>•</w:t>
      </w:r>
      <w:r w:rsidRPr="005E36EF">
        <w:tab/>
        <w:t xml:space="preserve">Malgré les enjeux auxquels le monde </w:t>
      </w:r>
      <w:r w:rsidR="00C36157" w:rsidRPr="005E36EF">
        <w:t>a dû faire</w:t>
      </w:r>
      <w:r w:rsidR="009E203F" w:rsidRPr="005E36EF">
        <w:t xml:space="preserve"> face en 2023, les technologies numériques </w:t>
      </w:r>
      <w:r w:rsidR="00363ABA" w:rsidRPr="005E36EF">
        <w:t>se sont révélées être une source d'espoir, ce qui n'a eu de cesse d</w:t>
      </w:r>
      <w:r w:rsidR="002D711E" w:rsidRPr="005E36EF">
        <w:t>e stimuler</w:t>
      </w:r>
      <w:r w:rsidR="00363ABA" w:rsidRPr="005E36EF">
        <w:t xml:space="preserve"> les ambitions de l'UIT </w:t>
      </w:r>
      <w:r w:rsidR="00C711C7" w:rsidRPr="005E36EF">
        <w:t>au regard de</w:t>
      </w:r>
      <w:r w:rsidR="00363ABA" w:rsidRPr="005E36EF">
        <w:t xml:space="preserve"> ses buts stratégiques, ses initiatives mondiales et ses activités quotidiennes.</w:t>
      </w:r>
      <w:r w:rsidR="002E11FD" w:rsidRPr="005E36EF">
        <w:t xml:space="preserve"> </w:t>
      </w:r>
      <w:r w:rsidR="001449E5" w:rsidRPr="005E36EF">
        <w:t>Selon le</w:t>
      </w:r>
      <w:r w:rsidR="002E11FD" w:rsidRPr="005E36EF">
        <w:t xml:space="preserve"> Plan d'accélération pour le numérique </w:t>
      </w:r>
      <w:r w:rsidR="00FF2CF8" w:rsidRPr="005E36EF">
        <w:br w:type="page"/>
      </w:r>
    </w:p>
    <w:p w14:paraId="3F5F4E7F" w14:textId="702CE1CC" w:rsidR="00AE4B89" w:rsidRPr="005E36EF" w:rsidRDefault="00FF2CF8" w:rsidP="009E1719">
      <w:pPr>
        <w:pStyle w:val="enumlev1"/>
      </w:pPr>
      <w:r w:rsidRPr="005E36EF">
        <w:lastRenderedPageBreak/>
        <w:tab/>
      </w:r>
      <w:r w:rsidR="002E11FD" w:rsidRPr="005E36EF">
        <w:t xml:space="preserve">au service des ODD, présenté en septembre 2023 par le </w:t>
      </w:r>
      <w:r w:rsidR="000F312F" w:rsidRPr="005E36EF">
        <w:t>Programme des Nations Unies pour le développement (PNUD)</w:t>
      </w:r>
      <w:r w:rsidR="00406287" w:rsidRPr="005E36EF">
        <w:t xml:space="preserve"> et l'UIT avant le Sommet sur les ODD, </w:t>
      </w:r>
      <w:r w:rsidR="005906B2" w:rsidRPr="005E36EF">
        <w:t>les technologies numériques peuvent contribuer dans une large mesure à la réalisation de 70% des cibles associées aux ODD</w:t>
      </w:r>
      <w:r w:rsidR="006F1ABC" w:rsidRPr="005E36EF">
        <w:t>.</w:t>
      </w:r>
    </w:p>
    <w:p w14:paraId="5A22A1F1" w14:textId="610DBE01" w:rsidR="005C05AB" w:rsidRPr="005E36EF" w:rsidRDefault="005C05AB" w:rsidP="009E1719">
      <w:pPr>
        <w:pStyle w:val="enumlev1"/>
      </w:pPr>
      <w:r w:rsidRPr="005E36EF">
        <w:t>•</w:t>
      </w:r>
      <w:r w:rsidRPr="005E36EF">
        <w:tab/>
        <w:t>À la fin de 2023</w:t>
      </w:r>
      <w:r w:rsidR="00336B29" w:rsidRPr="005E36EF">
        <w:t>:</w:t>
      </w:r>
    </w:p>
    <w:p w14:paraId="7DAB82EC" w14:textId="05EAC0AF" w:rsidR="005C05AB" w:rsidRPr="005E36EF" w:rsidRDefault="0094696A" w:rsidP="009E1719">
      <w:pPr>
        <w:pStyle w:val="enumlev2"/>
      </w:pPr>
      <w:r w:rsidRPr="005E36EF">
        <w:t>–</w:t>
      </w:r>
      <w:r w:rsidR="005C05AB" w:rsidRPr="005E36EF">
        <w:tab/>
        <w:t>81 pays disposaient d</w:t>
      </w:r>
      <w:r w:rsidR="00A8661D" w:rsidRPr="005E36EF">
        <w:t>'</w:t>
      </w:r>
      <w:r w:rsidR="005C05AB" w:rsidRPr="005E36EF">
        <w:t>une législation, de politiques ou de réglementations en matière de DEEE</w:t>
      </w:r>
      <w:r w:rsidR="00F47EE6" w:rsidRPr="005E36EF">
        <w:t xml:space="preserve"> (contre 78 en 2019)</w:t>
      </w:r>
      <w:r w:rsidR="005C05AB" w:rsidRPr="005E36EF">
        <w:t>, alors que l</w:t>
      </w:r>
      <w:r w:rsidR="00A8661D" w:rsidRPr="005E36EF">
        <w:t>'</w:t>
      </w:r>
      <w:r w:rsidR="005C05AB" w:rsidRPr="005E36EF">
        <w:t>objectif était de 97</w:t>
      </w:r>
      <w:r w:rsidR="00336B29" w:rsidRPr="005E36EF">
        <w:t>;</w:t>
      </w:r>
    </w:p>
    <w:p w14:paraId="37CA98E9" w14:textId="0F718679" w:rsidR="005C05AB" w:rsidRPr="005E36EF" w:rsidRDefault="0094696A" w:rsidP="009E1719">
      <w:pPr>
        <w:pStyle w:val="enumlev2"/>
      </w:pPr>
      <w:r w:rsidRPr="005E36EF">
        <w:t>–</w:t>
      </w:r>
      <w:r w:rsidRPr="005E36EF">
        <w:tab/>
      </w:r>
      <w:r w:rsidR="005C05AB" w:rsidRPr="005E36EF">
        <w:t>126 pays disposaient d</w:t>
      </w:r>
      <w:r w:rsidR="00A8661D" w:rsidRPr="005E36EF">
        <w:t>'</w:t>
      </w:r>
      <w:r w:rsidR="005C05AB" w:rsidRPr="005E36EF">
        <w:t>équipes d</w:t>
      </w:r>
      <w:r w:rsidR="00A8661D" w:rsidRPr="005E36EF">
        <w:t>'</w:t>
      </w:r>
      <w:r w:rsidR="005C05AB" w:rsidRPr="005E36EF">
        <w:t>intervention en cas d</w:t>
      </w:r>
      <w:r w:rsidR="00A8661D" w:rsidRPr="005E36EF">
        <w:t>'</w:t>
      </w:r>
      <w:r w:rsidR="005C05AB" w:rsidRPr="005E36EF">
        <w:t>incident informatique (CIRT), contre 109 en 2020; et 127 pays disposaient de stratégies et de plans d</w:t>
      </w:r>
      <w:r w:rsidR="00A8661D" w:rsidRPr="005E36EF">
        <w:t>'</w:t>
      </w:r>
      <w:r w:rsidR="005C05AB" w:rsidRPr="005E36EF">
        <w:t>action nationaux en matière de cybersécurité, contre 107 en 2020</w:t>
      </w:r>
      <w:r w:rsidR="00336B29" w:rsidRPr="005E36EF">
        <w:t>;</w:t>
      </w:r>
    </w:p>
    <w:p w14:paraId="7259022D" w14:textId="73412805" w:rsidR="005C05AB" w:rsidRPr="005E36EF" w:rsidRDefault="0094696A" w:rsidP="009E1719">
      <w:pPr>
        <w:pStyle w:val="enumlev2"/>
      </w:pPr>
      <w:r w:rsidRPr="005E36EF">
        <w:t>–</w:t>
      </w:r>
      <w:r w:rsidR="005C05AB" w:rsidRPr="005E36EF">
        <w:tab/>
        <w:t>83% des pays disposaient de plans nationaux pour les télécommunications d</w:t>
      </w:r>
      <w:r w:rsidR="00A8661D" w:rsidRPr="005E36EF">
        <w:t>'</w:t>
      </w:r>
      <w:r w:rsidR="005C05AB" w:rsidRPr="005E36EF">
        <w:t>urgence, contre seulement 25% en 2020</w:t>
      </w:r>
      <w:r w:rsidR="00336B29" w:rsidRPr="005E36EF">
        <w:t>;</w:t>
      </w:r>
    </w:p>
    <w:p w14:paraId="5BB568E3" w14:textId="48EC217C" w:rsidR="005C05AB" w:rsidRPr="005E36EF" w:rsidRDefault="0094696A" w:rsidP="009E1719">
      <w:pPr>
        <w:pStyle w:val="enumlev2"/>
      </w:pPr>
      <w:r w:rsidRPr="005E36EF">
        <w:t>–</w:t>
      </w:r>
      <w:r w:rsidR="005C05AB" w:rsidRPr="005E36EF">
        <w:tab/>
      </w:r>
      <w:r w:rsidR="00935E98" w:rsidRPr="005E36EF">
        <w:t>97</w:t>
      </w:r>
      <w:r w:rsidR="005C05AB" w:rsidRPr="005E36EF">
        <w:t xml:space="preserve"> pays </w:t>
      </w:r>
      <w:r w:rsidR="00935E98" w:rsidRPr="005E36EF">
        <w:t xml:space="preserve">sont </w:t>
      </w:r>
      <w:r w:rsidR="005C05AB" w:rsidRPr="005E36EF">
        <w:t>dotés de politiques favorisant l</w:t>
      </w:r>
      <w:r w:rsidR="00A8661D" w:rsidRPr="005E36EF">
        <w:t>'</w:t>
      </w:r>
      <w:r w:rsidR="005C05AB" w:rsidRPr="005E36EF">
        <w:t>innovation centrée sur la technologie</w:t>
      </w:r>
      <w:r w:rsidR="0052605F" w:rsidRPr="005E36EF">
        <w:t xml:space="preserve">, </w:t>
      </w:r>
      <w:r w:rsidR="00935E98" w:rsidRPr="005E36EF">
        <w:t>contre 66 en 2020</w:t>
      </w:r>
      <w:r w:rsidR="005C05AB" w:rsidRPr="005E36EF">
        <w:t>.</w:t>
      </w:r>
    </w:p>
    <w:p w14:paraId="745515ED" w14:textId="71CD93A7" w:rsidR="009963F5" w:rsidRPr="005E36EF" w:rsidRDefault="009963F5" w:rsidP="008A6609">
      <w:pPr>
        <w:pStyle w:val="enumlev1"/>
      </w:pPr>
      <w:r w:rsidRPr="005E36EF">
        <w:t>•</w:t>
      </w:r>
      <w:r w:rsidRPr="005E36EF">
        <w:tab/>
      </w:r>
      <w:r w:rsidR="0019470A" w:rsidRPr="005E36EF">
        <w:t>La plupart des objectifs fixés dans le Plan stratégique de l'Union pour la période 2020</w:t>
      </w:r>
      <w:r w:rsidR="00C26377" w:rsidRPr="005E36EF">
        <w:noBreakHyphen/>
      </w:r>
      <w:r w:rsidR="0019470A" w:rsidRPr="005E36EF">
        <w:t>2023 ont été atteints</w:t>
      </w:r>
      <w:r w:rsidR="002B7092" w:rsidRPr="005E36EF">
        <w:t>,</w:t>
      </w:r>
      <w:r w:rsidR="0019470A" w:rsidRPr="005E36EF">
        <w:t xml:space="preserve"> </w:t>
      </w:r>
      <w:r w:rsidR="00305927" w:rsidRPr="005E36EF">
        <w:t>grâce au</w:t>
      </w:r>
      <w:r w:rsidR="0019470A" w:rsidRPr="005E36EF">
        <w:t xml:space="preserve"> succès des initiatives et des projets lancés au cours des dernières années pour favoriser la croissance, l'inclusi</w:t>
      </w:r>
      <w:r w:rsidR="005B7D34" w:rsidRPr="005E36EF">
        <w:t>vité</w:t>
      </w:r>
      <w:r w:rsidR="0019470A" w:rsidRPr="005E36EF">
        <w:t>, la durabilité</w:t>
      </w:r>
      <w:r w:rsidR="00541FCB" w:rsidRPr="005E36EF">
        <w:t>,</w:t>
      </w:r>
      <w:r w:rsidR="0019470A" w:rsidRPr="005E36EF">
        <w:t xml:space="preserve"> l'innovation</w:t>
      </w:r>
      <w:r w:rsidR="00541FCB" w:rsidRPr="005E36EF">
        <w:t xml:space="preserve"> et les partenariats</w:t>
      </w:r>
      <w:r w:rsidR="0019470A" w:rsidRPr="005E36EF">
        <w:t>.</w:t>
      </w:r>
    </w:p>
    <w:p w14:paraId="53EC90DD" w14:textId="77777777" w:rsidR="00C26377" w:rsidRPr="005E36EF" w:rsidRDefault="009963F5" w:rsidP="008A6609">
      <w:pPr>
        <w:pStyle w:val="enumlev1"/>
      </w:pPr>
      <w:r w:rsidRPr="005E36EF">
        <w:t>•</w:t>
      </w:r>
      <w:r w:rsidRPr="005E36EF">
        <w:tab/>
      </w:r>
      <w:r w:rsidR="0019470A" w:rsidRPr="005E36EF">
        <w:t>Il reste des défis à relever, notamment pour réduire la fracture numérique entre les hommes et les femmes et diminuer la production de DEEE ainsi que les émissions de gaz à effet de serre</w:t>
      </w:r>
      <w:r w:rsidR="003D198B" w:rsidRPr="005E36EF">
        <w:t xml:space="preserve"> (GES)</w:t>
      </w:r>
      <w:r w:rsidR="0019470A" w:rsidRPr="005E36EF">
        <w:t>.</w:t>
      </w:r>
    </w:p>
    <w:p w14:paraId="1E403C9F" w14:textId="6A0102A9" w:rsidR="00FF06A9" w:rsidRPr="005E36EF" w:rsidRDefault="00FF06A9" w:rsidP="008A6609">
      <w:pPr>
        <w:pStyle w:val="enumlev1"/>
      </w:pPr>
      <w:r w:rsidRPr="005E36EF">
        <w:t>•</w:t>
      </w:r>
      <w:r w:rsidRPr="005E36EF">
        <w:tab/>
        <w:t xml:space="preserve">Les travaux de l'UIT portent sur des aspects différents, mais néanmoins </w:t>
      </w:r>
      <w:r w:rsidR="00393628" w:rsidRPr="005E36EF">
        <w:t>interdépendants</w:t>
      </w:r>
      <w:r w:rsidRPr="005E36EF">
        <w:t xml:space="preserve">, de la connectivité, des communications et de la transformation numérique – allant des réseaux de Terre et spatiaux aux normes </w:t>
      </w:r>
      <w:r w:rsidR="005B7D34" w:rsidRPr="005E36EF">
        <w:t>sur des technologies accessibles</w:t>
      </w:r>
      <w:r w:rsidRPr="005E36EF">
        <w:t xml:space="preserve">, en passant par la nécessité de veiller à ce que les personnes et les communautés aient accès, sur un pied d'égalité, aux compétences numériques dont elles ont besoin pour participer pleinement et efficacement à la </w:t>
      </w:r>
      <w:r w:rsidR="00885EF9" w:rsidRPr="005E36EF">
        <w:t>sphère</w:t>
      </w:r>
      <w:r w:rsidRPr="005E36EF">
        <w:t xml:space="preserve"> socio-économique et saisir les possibilités qui se présentent. Les trois Secteurs de l'UIT travaillent </w:t>
      </w:r>
      <w:r w:rsidR="004679A7" w:rsidRPr="005E36EF">
        <w:t>de concert</w:t>
      </w:r>
      <w:r w:rsidRPr="005E36EF">
        <w:t xml:space="preserve"> pour connecter toutes les populations, partout dans le monde</w:t>
      </w:r>
      <w:r w:rsidR="0089036A" w:rsidRPr="005E36EF">
        <w:t xml:space="preserve">, </w:t>
      </w:r>
      <w:r w:rsidR="00F77D09" w:rsidRPr="005E36EF">
        <w:t>et mettre les avantages qu'offrent les technologies numériques à la portée de tous</w:t>
      </w:r>
      <w:r w:rsidRPr="005E36EF">
        <w:t>.</w:t>
      </w:r>
    </w:p>
    <w:p w14:paraId="5985C612" w14:textId="7D9B6E29" w:rsidR="005C05AB" w:rsidRPr="005E36EF" w:rsidRDefault="005C05AB" w:rsidP="00C26377">
      <w:pPr>
        <w:pStyle w:val="Headingi"/>
      </w:pPr>
      <w:r w:rsidRPr="005E36EF">
        <w:t>Conférence statutaire</w:t>
      </w:r>
    </w:p>
    <w:p w14:paraId="7C0C992C" w14:textId="3D1742F4" w:rsidR="005C05AB" w:rsidRPr="005E36EF" w:rsidRDefault="00181A1C" w:rsidP="009E1719">
      <w:pPr>
        <w:pStyle w:val="enumlev1"/>
      </w:pPr>
      <w:r w:rsidRPr="005E36EF">
        <w:t>•</w:t>
      </w:r>
      <w:r w:rsidRPr="005E36EF">
        <w:tab/>
        <w:t xml:space="preserve">Organisée à Dubaï (Émirats arabes unis), la Conférence </w:t>
      </w:r>
      <w:r w:rsidR="00F829F3" w:rsidRPr="005E36EF">
        <w:t xml:space="preserve">mondiale des radiocommunications de 2023 (CMR-23) </w:t>
      </w:r>
      <w:r w:rsidR="005C05AB" w:rsidRPr="005E36EF">
        <w:t>a procédé à d</w:t>
      </w:r>
      <w:r w:rsidR="00A8661D" w:rsidRPr="005E36EF">
        <w:t>'</w:t>
      </w:r>
      <w:r w:rsidR="005C05AB" w:rsidRPr="005E36EF">
        <w:t>importantes mises à jour réglementaires d</w:t>
      </w:r>
      <w:r w:rsidR="00A8661D" w:rsidRPr="005E36EF">
        <w:t>'</w:t>
      </w:r>
      <w:r w:rsidR="005C05AB" w:rsidRPr="005E36EF">
        <w:t>envergure mondiale en matière d</w:t>
      </w:r>
      <w:r w:rsidR="00A8661D" w:rsidRPr="005E36EF">
        <w:t>'</w:t>
      </w:r>
      <w:r w:rsidR="005C05AB" w:rsidRPr="005E36EF">
        <w:t>attribution de fréquences radioélectriques aux services hertziens et à d</w:t>
      </w:r>
      <w:r w:rsidR="00A8661D" w:rsidRPr="005E36EF">
        <w:t>'</w:t>
      </w:r>
      <w:r w:rsidR="005C05AB" w:rsidRPr="005E36EF">
        <w:t>autres services, notamment l</w:t>
      </w:r>
      <w:r w:rsidR="00A8661D" w:rsidRPr="005E36EF">
        <w:t>'</w:t>
      </w:r>
      <w:r w:rsidR="005C05AB" w:rsidRPr="005E36EF">
        <w:t xml:space="preserve">identification de fréquences additionnelles pour les Télécommunications mobiles internationales (IMT), </w:t>
      </w:r>
      <w:r w:rsidR="00F20372" w:rsidRPr="005E36EF">
        <w:t>en particulier large bande mobile et fi</w:t>
      </w:r>
      <w:r w:rsidR="00DF1092" w:rsidRPr="005E36EF">
        <w:t xml:space="preserve">xe, </w:t>
      </w:r>
      <w:r w:rsidR="005C05AB" w:rsidRPr="005E36EF">
        <w:t>la modernisation du Système mondial de détresse et de sécurité en mer (SMDSM) et la réglementation des services par satellite.</w:t>
      </w:r>
    </w:p>
    <w:p w14:paraId="40706C6C" w14:textId="71527250" w:rsidR="00E9626A" w:rsidRPr="005E36EF" w:rsidRDefault="00E9626A" w:rsidP="009E1719">
      <w:pPr>
        <w:pStyle w:val="enumlev1"/>
      </w:pPr>
      <w:r w:rsidRPr="005E36EF">
        <w:t>•</w:t>
      </w:r>
      <w:r w:rsidRPr="005E36EF">
        <w:tab/>
      </w:r>
      <w:r w:rsidR="00CC23F4" w:rsidRPr="005E36EF">
        <w:t xml:space="preserve">L'Assemblée des radiocommunications de 2023 (AR-23), qui s'est tenue juste avant, </w:t>
      </w:r>
      <w:r w:rsidR="00796249" w:rsidRPr="005E36EF">
        <w:t xml:space="preserve">a </w:t>
      </w:r>
      <w:r w:rsidR="00F13987" w:rsidRPr="005E36EF">
        <w:t>établi</w:t>
      </w:r>
      <w:r w:rsidR="00796249" w:rsidRPr="005E36EF">
        <w:t xml:space="preserve"> les programmes de travail</w:t>
      </w:r>
      <w:r w:rsidR="00F13987" w:rsidRPr="005E36EF">
        <w:t xml:space="preserve"> futurs</w:t>
      </w:r>
      <w:r w:rsidR="00796249" w:rsidRPr="005E36EF">
        <w:t xml:space="preserve"> </w:t>
      </w:r>
      <w:r w:rsidR="00F13987" w:rsidRPr="005E36EF">
        <w:t>du</w:t>
      </w:r>
      <w:r w:rsidR="00796249" w:rsidRPr="005E36EF">
        <w:t xml:space="preserve"> Secteur des radiocommunications de l'UIT (UIT-R) et approuvé </w:t>
      </w:r>
      <w:r w:rsidR="00CC4DDE" w:rsidRPr="005E36EF">
        <w:t>un ensemble de</w:t>
      </w:r>
      <w:r w:rsidR="00796249" w:rsidRPr="005E36EF">
        <w:t xml:space="preserve"> Recommandations et </w:t>
      </w:r>
      <w:r w:rsidR="00CC4DDE" w:rsidRPr="005E36EF">
        <w:t xml:space="preserve">de </w:t>
      </w:r>
      <w:r w:rsidR="00796249" w:rsidRPr="005E36EF">
        <w:t xml:space="preserve">Résolutions </w:t>
      </w:r>
      <w:r w:rsidR="00CC4DDE" w:rsidRPr="005E36EF">
        <w:t>de l'</w:t>
      </w:r>
      <w:r w:rsidR="00796249" w:rsidRPr="005E36EF">
        <w:t xml:space="preserve">UIT-R qui auront des </w:t>
      </w:r>
      <w:r w:rsidR="00CC4DDE" w:rsidRPr="005E36EF">
        <w:t>incidences à l'échelle mondiale</w:t>
      </w:r>
      <w:r w:rsidR="00796249" w:rsidRPr="005E36EF">
        <w:t xml:space="preserve"> sur les technologies de radiocommunication de demain.</w:t>
      </w:r>
    </w:p>
    <w:p w14:paraId="0A5D17C3" w14:textId="3C276588" w:rsidR="005C05AB" w:rsidRPr="005E36EF" w:rsidRDefault="005C05AB" w:rsidP="009E1719">
      <w:pPr>
        <w:pStyle w:val="enumlev1"/>
      </w:pPr>
      <w:r w:rsidRPr="005E36EF">
        <w:lastRenderedPageBreak/>
        <w:t>•</w:t>
      </w:r>
      <w:r w:rsidRPr="005E36EF">
        <w:tab/>
        <w:t>Les femmes représentaient 22% des délégués à la CMR-23</w:t>
      </w:r>
      <w:r w:rsidR="008B7593" w:rsidRPr="005E36EF">
        <w:t xml:space="preserve"> (contre 19% à la CMR-19)</w:t>
      </w:r>
      <w:r w:rsidRPr="005E36EF">
        <w:t>, ce qui témoigne de la réduction progressive de l</w:t>
      </w:r>
      <w:r w:rsidR="00A8661D" w:rsidRPr="005E36EF">
        <w:t>'</w:t>
      </w:r>
      <w:r w:rsidRPr="005E36EF">
        <w:t>écart entre les hommes et les femmes dans les activités de l</w:t>
      </w:r>
      <w:r w:rsidR="00A8661D" w:rsidRPr="005E36EF">
        <w:t>'</w:t>
      </w:r>
      <w:r w:rsidRPr="005E36EF">
        <w:t>UIT, y</w:t>
      </w:r>
      <w:r w:rsidR="00455225" w:rsidRPr="005E36EF">
        <w:t> </w:t>
      </w:r>
      <w:r w:rsidRPr="005E36EF">
        <w:t>compris dans les débats touchant aux radiocommunications.</w:t>
      </w:r>
    </w:p>
    <w:p w14:paraId="3065412C" w14:textId="2AD00602" w:rsidR="005C05AB" w:rsidRPr="005E36EF" w:rsidRDefault="005C05AB" w:rsidP="009E1719">
      <w:pPr>
        <w:pStyle w:val="enumlev1"/>
      </w:pPr>
      <w:r w:rsidRPr="005E36EF">
        <w:t>•</w:t>
      </w:r>
      <w:r w:rsidRPr="005E36EF">
        <w:tab/>
      </w:r>
      <w:r w:rsidR="00796249" w:rsidRPr="005E36EF">
        <w:t>L'</w:t>
      </w:r>
      <w:r w:rsidRPr="005E36EF">
        <w:t>AR-23 a adopté une Résolution visant à promouvoir l</w:t>
      </w:r>
      <w:r w:rsidR="00A8661D" w:rsidRPr="005E36EF">
        <w:t>'</w:t>
      </w:r>
      <w:r w:rsidRPr="005E36EF">
        <w:t>égalité hommes-femmes dans les travaux de l</w:t>
      </w:r>
      <w:r w:rsidR="00A8661D" w:rsidRPr="005E36EF">
        <w:t>'</w:t>
      </w:r>
      <w:r w:rsidRPr="005E36EF">
        <w:t>UIT dans ce domaine, ainsi que dans l</w:t>
      </w:r>
      <w:r w:rsidR="00A8661D" w:rsidRPr="005E36EF">
        <w:t>'</w:t>
      </w:r>
      <w:r w:rsidRPr="005E36EF">
        <w:t>ensemble de l</w:t>
      </w:r>
      <w:r w:rsidR="00A8661D" w:rsidRPr="005E36EF">
        <w:t>'</w:t>
      </w:r>
      <w:r w:rsidRPr="005E36EF">
        <w:t>UIT-R et du secteur.</w:t>
      </w:r>
    </w:p>
    <w:p w14:paraId="414F900A" w14:textId="14AD56AB" w:rsidR="005E3072" w:rsidRPr="005E36EF" w:rsidRDefault="00FB4345" w:rsidP="005E3072">
      <w:pPr>
        <w:pStyle w:val="Headingi"/>
        <w:rPr>
          <w:i w:val="0"/>
          <w:iCs/>
        </w:rPr>
      </w:pPr>
      <w:r w:rsidRPr="005E36EF">
        <w:t>Des p</w:t>
      </w:r>
      <w:r w:rsidR="005E3072" w:rsidRPr="005E36EF">
        <w:t xml:space="preserve">rogrès </w:t>
      </w:r>
      <w:r w:rsidR="004643D8" w:rsidRPr="005E36EF">
        <w:t>cruciaux</w:t>
      </w:r>
      <w:r w:rsidR="005E3072" w:rsidRPr="005E36EF">
        <w:t xml:space="preserve"> accomplis dans chaque Secteur</w:t>
      </w:r>
    </w:p>
    <w:p w14:paraId="24559CE3" w14:textId="38AA34A3" w:rsidR="005E3072" w:rsidRPr="005E36EF" w:rsidRDefault="005E3072" w:rsidP="008A6609">
      <w:pPr>
        <w:pStyle w:val="enumlev1"/>
      </w:pPr>
      <w:r w:rsidRPr="005E36EF">
        <w:t>•</w:t>
      </w:r>
      <w:r w:rsidRPr="005E36EF">
        <w:tab/>
      </w:r>
      <w:r w:rsidR="00AE3B3D" w:rsidRPr="005E36EF">
        <w:t>L'</w:t>
      </w:r>
      <w:r w:rsidRPr="005E36EF">
        <w:t>UIT-R a approuvé plus de 80</w:t>
      </w:r>
      <w:r w:rsidR="00C26377" w:rsidRPr="005E36EF">
        <w:t> </w:t>
      </w:r>
      <w:r w:rsidRPr="005E36EF">
        <w:t xml:space="preserve">Recommandations nouvelles ou révisées. Des renseignements détaillés sont disponibles </w:t>
      </w:r>
      <w:hyperlink r:id="rId13" w:history="1">
        <w:r w:rsidR="000C1EA1" w:rsidRPr="005E36EF">
          <w:rPr>
            <w:rStyle w:val="Hyperlink"/>
          </w:rPr>
          <w:t>ici</w:t>
        </w:r>
      </w:hyperlink>
      <w:r w:rsidRPr="005E36EF">
        <w:t>.</w:t>
      </w:r>
    </w:p>
    <w:p w14:paraId="03706E5C" w14:textId="796AC713" w:rsidR="005E3072" w:rsidRPr="005E36EF" w:rsidRDefault="005E3072" w:rsidP="008A6609">
      <w:pPr>
        <w:pStyle w:val="enumlev1"/>
      </w:pPr>
      <w:r w:rsidRPr="005E36EF">
        <w:t>•</w:t>
      </w:r>
      <w:r w:rsidRPr="005E36EF">
        <w:tab/>
      </w:r>
      <w:r w:rsidR="007D0458" w:rsidRPr="005E36EF">
        <w:t>L'UIT a reçu un</w:t>
      </w:r>
      <w:r w:rsidR="00923C6F" w:rsidRPr="005E36EF">
        <w:t xml:space="preserve"> prix</w:t>
      </w:r>
      <w:r w:rsidR="007D0458" w:rsidRPr="005E36EF">
        <w:t xml:space="preserve"> Emmy Award dans la catégorie de l'ingénierie, des sciences et de la technologie pour ses travaux sur la normalisation des radiocommunications dans le domaine de la télévision à grande plage dynamique (TV-HDR). Cette distinction met en lumière le rôle central que l'organisation joue dans le façonnement des technologies d'aujourd'hui et de demain. Il s'agit du troisième</w:t>
      </w:r>
      <w:r w:rsidR="00FA70E3" w:rsidRPr="005E36EF">
        <w:t xml:space="preserve"> prix</w:t>
      </w:r>
      <w:r w:rsidR="007D0458" w:rsidRPr="005E36EF">
        <w:t xml:space="preserve"> Emmy Award obtenu par l'UIT pour ses travaux relatifs aux radiocommunications, et du sixième pour l'Union dans son ensemble.</w:t>
      </w:r>
    </w:p>
    <w:p w14:paraId="39F40283" w14:textId="42FECF89" w:rsidR="005E3072" w:rsidRPr="005E36EF" w:rsidRDefault="005E3072" w:rsidP="008A6609">
      <w:pPr>
        <w:pStyle w:val="enumlev1"/>
      </w:pPr>
      <w:r w:rsidRPr="005E36EF">
        <w:t>•</w:t>
      </w:r>
      <w:r w:rsidRPr="005E36EF">
        <w:tab/>
        <w:t>Le Secteur de la normalisation des télécommunications de l'UIT (UIT-T) a approuvé 286</w:t>
      </w:r>
      <w:r w:rsidR="00C26377" w:rsidRPr="005E36EF">
        <w:t> </w:t>
      </w:r>
      <w:r w:rsidRPr="005E36EF">
        <w:t xml:space="preserve">Recommandations nouvelles ou révisées, </w:t>
      </w:r>
      <w:r w:rsidR="006A7562" w:rsidRPr="005E36EF">
        <w:t xml:space="preserve">avec l'appui de </w:t>
      </w:r>
      <w:r w:rsidRPr="005E36EF">
        <w:t xml:space="preserve">cinq groupes spécialisés </w:t>
      </w:r>
      <w:r w:rsidR="006A7562" w:rsidRPr="005E36EF">
        <w:t>contribuant</w:t>
      </w:r>
      <w:r w:rsidRPr="005E36EF">
        <w:t xml:space="preserve"> activement </w:t>
      </w:r>
      <w:r w:rsidR="000C1EA1" w:rsidRPr="005E36EF">
        <w:t xml:space="preserve">aux </w:t>
      </w:r>
      <w:r w:rsidRPr="005E36EF">
        <w:t>travaux connexes</w:t>
      </w:r>
      <w:r w:rsidR="000C1EA1" w:rsidRPr="005E36EF">
        <w:t xml:space="preserve"> en ce qui concerne les services de données financièrement abordables,</w:t>
      </w:r>
      <w:r w:rsidR="00C80CE9" w:rsidRPr="005E36EF">
        <w:t xml:space="preserve"> les cas d'utilisation du métavers, l'harmonisation des bancs d'essai pour les télécommunications mobiles</w:t>
      </w:r>
      <w:r w:rsidR="00262019" w:rsidRPr="005E36EF">
        <w:t>, l'agriculture numérique et l'IA au service de la gestion des catastrophes</w:t>
      </w:r>
      <w:r w:rsidRPr="005E36EF">
        <w:t>.</w:t>
      </w:r>
    </w:p>
    <w:p w14:paraId="573C8921" w14:textId="4353D78B" w:rsidR="005E3072" w:rsidRPr="005E36EF" w:rsidRDefault="00E949C6" w:rsidP="009E1719">
      <w:pPr>
        <w:pStyle w:val="enumlev1"/>
      </w:pPr>
      <w:r w:rsidRPr="005E36EF">
        <w:t>•</w:t>
      </w:r>
      <w:r w:rsidRPr="005E36EF">
        <w:tab/>
      </w:r>
      <w:r w:rsidR="00262019" w:rsidRPr="005E36EF">
        <w:t xml:space="preserve">Les travaux préparatoires en vue de la </w:t>
      </w:r>
      <w:r w:rsidRPr="005E36EF">
        <w:t xml:space="preserve">Conférence majeure de l'UIT-T, à savoir l'Assemblée mondiale de </w:t>
      </w:r>
      <w:r w:rsidR="00624890" w:rsidRPr="005E36EF">
        <w:t xml:space="preserve">la </w:t>
      </w:r>
      <w:r w:rsidRPr="005E36EF">
        <w:t>normalisation des télécommunications (AMNT</w:t>
      </w:r>
      <w:r w:rsidR="008B1723" w:rsidRPr="005E36EF">
        <w:t>-24</w:t>
      </w:r>
      <w:r w:rsidRPr="005E36EF">
        <w:t xml:space="preserve">), </w:t>
      </w:r>
      <w:r w:rsidR="002F0615" w:rsidRPr="005E36EF">
        <w:t xml:space="preserve">qui </w:t>
      </w:r>
      <w:r w:rsidRPr="005E36EF">
        <w:t>se tiendra du 15 au 24 octobre 2024 à New Delhi (Inde)</w:t>
      </w:r>
      <w:r w:rsidR="002F0615" w:rsidRPr="005E36EF">
        <w:t>, ont d'ores et déjà commencé</w:t>
      </w:r>
      <w:r w:rsidRPr="005E36EF">
        <w:t>.</w:t>
      </w:r>
    </w:p>
    <w:p w14:paraId="6DD02291" w14:textId="01D0D459" w:rsidR="005C05AB" w:rsidRPr="005E36EF" w:rsidRDefault="005C05AB" w:rsidP="009E1719">
      <w:pPr>
        <w:pStyle w:val="enumlev1"/>
      </w:pPr>
      <w:r w:rsidRPr="005E36EF">
        <w:t>•</w:t>
      </w:r>
      <w:r w:rsidRPr="005E36EF">
        <w:tab/>
        <w:t>En 2023, le Secteur du développement des télécommunications de l</w:t>
      </w:r>
      <w:r w:rsidR="00A8661D" w:rsidRPr="005E36EF">
        <w:t>'</w:t>
      </w:r>
      <w:r w:rsidRPr="005E36EF">
        <w:t>UIT (UIT-D) a</w:t>
      </w:r>
      <w:r w:rsidR="00660B7C" w:rsidRPr="005E36EF">
        <w:t> </w:t>
      </w:r>
      <w:r w:rsidRPr="005E36EF">
        <w:t>mené à bien</w:t>
      </w:r>
      <w:r w:rsidR="00080E5B" w:rsidRPr="005E36EF">
        <w:t xml:space="preserve"> ou poursuivi </w:t>
      </w:r>
      <w:r w:rsidR="00B162B3" w:rsidRPr="005E36EF">
        <w:t>s</w:t>
      </w:r>
      <w:r w:rsidR="00080E5B" w:rsidRPr="005E36EF">
        <w:t>es travaux concernant</w:t>
      </w:r>
      <w:r w:rsidRPr="005E36EF">
        <w:t xml:space="preserve"> 87 projets d</w:t>
      </w:r>
      <w:r w:rsidR="00A8661D" w:rsidRPr="005E36EF">
        <w:t>'</w:t>
      </w:r>
      <w:r w:rsidRPr="005E36EF">
        <w:t>un montant total de 106,4 millions CHF et</w:t>
      </w:r>
      <w:r w:rsidR="00B1328B" w:rsidRPr="005E36EF">
        <w:t> </w:t>
      </w:r>
      <w:r w:rsidRPr="005E36EF">
        <w:t>23</w:t>
      </w:r>
      <w:r w:rsidR="00B1328B" w:rsidRPr="005E36EF">
        <w:t> </w:t>
      </w:r>
      <w:r w:rsidRPr="005E36EF">
        <w:t>nouveaux</w:t>
      </w:r>
      <w:r w:rsidR="00B1328B" w:rsidRPr="005E36EF">
        <w:t> </w:t>
      </w:r>
      <w:r w:rsidRPr="005E36EF">
        <w:t>projets ont été signés pour un montant de 20,9</w:t>
      </w:r>
      <w:r w:rsidR="008B1723" w:rsidRPr="005E36EF">
        <w:t> </w:t>
      </w:r>
      <w:r w:rsidRPr="005E36EF">
        <w:t>millions CHF.</w:t>
      </w:r>
    </w:p>
    <w:p w14:paraId="5C1B226F" w14:textId="15F882C3" w:rsidR="005C05AB" w:rsidRPr="005E36EF" w:rsidRDefault="005C05AB" w:rsidP="009E1719">
      <w:pPr>
        <w:pStyle w:val="enumlev1"/>
      </w:pPr>
      <w:r w:rsidRPr="005E36EF">
        <w:t>•</w:t>
      </w:r>
      <w:r w:rsidRPr="005E36EF">
        <w:tab/>
        <w:t>L</w:t>
      </w:r>
      <w:r w:rsidR="00A8661D" w:rsidRPr="005E36EF">
        <w:t>'</w:t>
      </w:r>
      <w:r w:rsidRPr="005E36EF">
        <w:t>intelligence artificielle (IA) et l</w:t>
      </w:r>
      <w:r w:rsidR="00A8661D" w:rsidRPr="005E36EF">
        <w:t>'</w:t>
      </w:r>
      <w:r w:rsidRPr="005E36EF">
        <w:t xml:space="preserve">apprentissage automatique ont une influence toujours plus forte sur les travaux </w:t>
      </w:r>
      <w:r w:rsidR="00670D4E" w:rsidRPr="005E36EF">
        <w:t xml:space="preserve">de </w:t>
      </w:r>
      <w:r w:rsidR="007F48D2" w:rsidRPr="005E36EF">
        <w:t>l'</w:t>
      </w:r>
      <w:r w:rsidRPr="005E36EF">
        <w:t>UIT-T en matière de normalisation, notamment en ce qui concerne l</w:t>
      </w:r>
      <w:r w:rsidR="00A8661D" w:rsidRPr="005E36EF">
        <w:t>'</w:t>
      </w:r>
      <w:r w:rsidRPr="005E36EF">
        <w:t>orchestration et la gestion des réseaux, le multimédia, l</w:t>
      </w:r>
      <w:r w:rsidR="00A8661D" w:rsidRPr="005E36EF">
        <w:t>'</w:t>
      </w:r>
      <w:r w:rsidRPr="005E36EF">
        <w:t>évaluation de la qualité de service, l</w:t>
      </w:r>
      <w:r w:rsidR="00A8661D" w:rsidRPr="005E36EF">
        <w:t>'</w:t>
      </w:r>
      <w:r w:rsidRPr="005E36EF">
        <w:t>efficacité énergétique, les protocoles et les spécifications de test, les réseaux futurs, les réseaux câblés, l</w:t>
      </w:r>
      <w:r w:rsidR="00A8661D" w:rsidRPr="005E36EF">
        <w:t>'</w:t>
      </w:r>
      <w:r w:rsidRPr="005E36EF">
        <w:t>exploitation et la maintenance des réseaux, la sécurité, la santé numérique, la mobilité intelligente, l</w:t>
      </w:r>
      <w:r w:rsidR="00A8661D" w:rsidRPr="005E36EF">
        <w:t>'</w:t>
      </w:r>
      <w:r w:rsidRPr="005E36EF">
        <w:t>agriculture numérique et la gestion des catastrophes.</w:t>
      </w:r>
    </w:p>
    <w:p w14:paraId="1804EC1F" w14:textId="1E165119" w:rsidR="005C05AB" w:rsidRPr="005E36EF" w:rsidRDefault="005C05AB" w:rsidP="009E1719">
      <w:pPr>
        <w:pStyle w:val="enumlev1"/>
      </w:pPr>
      <w:r w:rsidRPr="005E36EF">
        <w:t>•</w:t>
      </w:r>
      <w:r w:rsidRPr="005E36EF">
        <w:tab/>
        <w:t>La communauté mondiale et inclusive de l</w:t>
      </w:r>
      <w:r w:rsidR="00A8661D" w:rsidRPr="005E36EF">
        <w:t>'</w:t>
      </w:r>
      <w:r w:rsidRPr="005E36EF">
        <w:t>IA au service du bien social rassemble le secteur privé, la société civile et les institutions publiques tout au long de l</w:t>
      </w:r>
      <w:r w:rsidR="00A8661D" w:rsidRPr="005E36EF">
        <w:t>'</w:t>
      </w:r>
      <w:r w:rsidRPr="005E36EF">
        <w:t>année, lors de manifestations consacré</w:t>
      </w:r>
      <w:r w:rsidR="00A85809" w:rsidRPr="005E36EF">
        <w:t>e</w:t>
      </w:r>
      <w:r w:rsidRPr="005E36EF">
        <w:t>s à l</w:t>
      </w:r>
      <w:r w:rsidR="00A8661D" w:rsidRPr="005E36EF">
        <w:t>'</w:t>
      </w:r>
      <w:r w:rsidRPr="005E36EF">
        <w:t>IA, à l</w:t>
      </w:r>
      <w:r w:rsidR="00A8661D" w:rsidRPr="005E36EF">
        <w:t>'</w:t>
      </w:r>
      <w:r w:rsidRPr="005E36EF">
        <w:t>apprentissage automatique et aux outils d</w:t>
      </w:r>
      <w:r w:rsidR="00A8661D" w:rsidRPr="005E36EF">
        <w:t>'</w:t>
      </w:r>
      <w:r w:rsidRPr="005E36EF">
        <w:t>interface entre la machine et le cerveau humain.</w:t>
      </w:r>
    </w:p>
    <w:p w14:paraId="0FE3150A" w14:textId="76490CDA" w:rsidR="005C05AB" w:rsidRPr="005E36EF" w:rsidRDefault="005C05AB" w:rsidP="008B1723">
      <w:pPr>
        <w:pStyle w:val="enumlev1"/>
        <w:keepNext/>
        <w:keepLines/>
      </w:pPr>
      <w:r w:rsidRPr="005E36EF">
        <w:lastRenderedPageBreak/>
        <w:t>•</w:t>
      </w:r>
      <w:r w:rsidRPr="005E36EF">
        <w:tab/>
        <w:t xml:space="preserve">Les participants aux débats sur la gouvernance </w:t>
      </w:r>
      <w:r w:rsidR="00E949C6" w:rsidRPr="005E36EF">
        <w:t>de l'</w:t>
      </w:r>
      <w:r w:rsidR="004C7D02" w:rsidRPr="005E36EF">
        <w:t>IA</w:t>
      </w:r>
      <w:r w:rsidR="00E949C6" w:rsidRPr="005E36EF">
        <w:t xml:space="preserve"> </w:t>
      </w:r>
      <w:r w:rsidRPr="005E36EF">
        <w:t>accueillis par l</w:t>
      </w:r>
      <w:r w:rsidR="00A8661D" w:rsidRPr="005E36EF">
        <w:t>'</w:t>
      </w:r>
      <w:r w:rsidRPr="005E36EF">
        <w:t>UIT ont commencé à</w:t>
      </w:r>
      <w:r w:rsidR="00660B7C" w:rsidRPr="005E36EF">
        <w:t> </w:t>
      </w:r>
      <w:r w:rsidRPr="005E36EF">
        <w:t>étudier en profondeur les solutions possibles pour gérer les risques, y compris l</w:t>
      </w:r>
      <w:r w:rsidR="00A8661D" w:rsidRPr="005E36EF">
        <w:t>'</w:t>
      </w:r>
      <w:r w:rsidRPr="005E36EF">
        <w:t xml:space="preserve">élargissement de la fracture </w:t>
      </w:r>
      <w:r w:rsidR="00ED00CB" w:rsidRPr="005E36EF">
        <w:t>due à l'</w:t>
      </w:r>
      <w:r w:rsidR="00B80A13" w:rsidRPr="005E36EF">
        <w:t>utilisation de l'</w:t>
      </w:r>
      <w:r w:rsidR="00ED00CB" w:rsidRPr="005E36EF">
        <w:t>IA</w:t>
      </w:r>
      <w:r w:rsidRPr="005E36EF">
        <w:t>, et pour faire en sorte que l</w:t>
      </w:r>
      <w:r w:rsidR="00A8661D" w:rsidRPr="005E36EF">
        <w:t>'</w:t>
      </w:r>
      <w:r w:rsidRPr="005E36EF">
        <w:t>IA profite à toute l</w:t>
      </w:r>
      <w:r w:rsidR="00A8661D" w:rsidRPr="005E36EF">
        <w:t>'</w:t>
      </w:r>
      <w:r w:rsidRPr="005E36EF">
        <w:t>humanité.</w:t>
      </w:r>
    </w:p>
    <w:p w14:paraId="588C05D4" w14:textId="77777777" w:rsidR="005C05AB" w:rsidRPr="005E36EF" w:rsidRDefault="005C05AB" w:rsidP="00455225">
      <w:pPr>
        <w:pStyle w:val="Headingi"/>
      </w:pPr>
      <w:r w:rsidRPr="005E36EF">
        <w:t>Un nombre de membres sans précédent</w:t>
      </w:r>
    </w:p>
    <w:p w14:paraId="0EC88C1B" w14:textId="70744CC0" w:rsidR="005C05AB" w:rsidRPr="005E36EF" w:rsidRDefault="005C05AB" w:rsidP="009E1719">
      <w:pPr>
        <w:pStyle w:val="enumlev1"/>
      </w:pPr>
      <w:r w:rsidRPr="005E36EF">
        <w:t>•</w:t>
      </w:r>
      <w:r w:rsidRPr="005E36EF">
        <w:tab/>
        <w:t>L</w:t>
      </w:r>
      <w:r w:rsidR="00A8661D" w:rsidRPr="005E36EF">
        <w:t>'</w:t>
      </w:r>
      <w:r w:rsidRPr="005E36EF">
        <w:t>UIT est restée une organisation d</w:t>
      </w:r>
      <w:r w:rsidR="00A8661D" w:rsidRPr="005E36EF">
        <w:t>'</w:t>
      </w:r>
      <w:r w:rsidRPr="005E36EF">
        <w:t xml:space="preserve">envergure quasi mondiale/universelle sur le plan politique, forte de ses 193 États </w:t>
      </w:r>
      <w:r w:rsidR="00660B7C" w:rsidRPr="005E36EF">
        <w:t>M</w:t>
      </w:r>
      <w:r w:rsidRPr="005E36EF">
        <w:t>embres, tandis que les Secteurs ont atteint un nombre record de 1</w:t>
      </w:r>
      <w:r w:rsidR="00660B7C" w:rsidRPr="005E36EF">
        <w:t> </w:t>
      </w:r>
      <w:r w:rsidRPr="005E36EF">
        <w:t>000 membres (entreprises, organisations, instituts de recherche et autres entités non étatiques travaillant dans le domaine des radiocommunications, de la normalisation ou du développement numérique, selon les cas) au premier</w:t>
      </w:r>
      <w:r w:rsidR="00FF16D8" w:rsidRPr="005E36EF">
        <w:t> </w:t>
      </w:r>
      <w:r w:rsidRPr="005E36EF">
        <w:t>trimestre</w:t>
      </w:r>
      <w:r w:rsidR="00B1328B" w:rsidRPr="005E36EF">
        <w:t> </w:t>
      </w:r>
      <w:r w:rsidRPr="005E36EF">
        <w:t>2024.</w:t>
      </w:r>
    </w:p>
    <w:p w14:paraId="3EB3A57A" w14:textId="35BACE11" w:rsidR="005C05AB" w:rsidRPr="005E36EF" w:rsidRDefault="005C05AB" w:rsidP="009E1719">
      <w:pPr>
        <w:pStyle w:val="enumlev1"/>
      </w:pPr>
      <w:r w:rsidRPr="005E36EF">
        <w:t>•</w:t>
      </w:r>
      <w:r w:rsidRPr="005E36EF">
        <w:tab/>
        <w:t>Les travaux de l</w:t>
      </w:r>
      <w:r w:rsidR="00A8661D" w:rsidRPr="005E36EF">
        <w:t>'</w:t>
      </w:r>
      <w:r w:rsidRPr="005E36EF">
        <w:t>UIT ont continué de susciter un intérêt élevé auprès des entités non étatiques. En effet, parmi les nouveaux membres, 48% étaient des Membres de</w:t>
      </w:r>
      <w:r w:rsidR="00B1328B" w:rsidRPr="005E36EF">
        <w:t xml:space="preserve"> </w:t>
      </w:r>
      <w:r w:rsidRPr="005E36EF">
        <w:t>Secteur, 36% étaient des Associés et 16% étaient des établissements universitaires.</w:t>
      </w:r>
    </w:p>
    <w:p w14:paraId="085D9F53" w14:textId="77777777" w:rsidR="005C05AB" w:rsidRPr="005E36EF" w:rsidRDefault="005C05AB" w:rsidP="00455225">
      <w:pPr>
        <w:pStyle w:val="Headingi"/>
      </w:pPr>
      <w:r w:rsidRPr="005E36EF">
        <w:t>Points saillants concernant le budget</w:t>
      </w:r>
    </w:p>
    <w:p w14:paraId="2AB18CDE" w14:textId="109CA403" w:rsidR="008971FF" w:rsidRPr="005E36EF" w:rsidRDefault="008971FF" w:rsidP="009E1719">
      <w:pPr>
        <w:pStyle w:val="enumlev1"/>
      </w:pPr>
      <w:r w:rsidRPr="005E36EF">
        <w:t>•</w:t>
      </w:r>
      <w:r w:rsidRPr="005E36EF">
        <w:tab/>
        <w:t>Fin 2023, l'UIT a enregistré un excédent représentant 0,87% du budget.</w:t>
      </w:r>
    </w:p>
    <w:p w14:paraId="0AB5E79B" w14:textId="7DC5E233" w:rsidR="005C05AB" w:rsidRPr="005E36EF" w:rsidRDefault="005C05AB" w:rsidP="009E1719">
      <w:pPr>
        <w:pStyle w:val="enumlev1"/>
      </w:pPr>
      <w:r w:rsidRPr="005E36EF">
        <w:t>•</w:t>
      </w:r>
      <w:r w:rsidRPr="005E36EF">
        <w:tab/>
        <w:t xml:space="preserve">Le montant des contributions </w:t>
      </w:r>
      <w:r w:rsidR="00C41CD9" w:rsidRPr="005E36EF">
        <w:t xml:space="preserve">extrabudgétaires </w:t>
      </w:r>
      <w:r w:rsidRPr="005E36EF">
        <w:t>attendues a légèrement augmenté pour s</w:t>
      </w:r>
      <w:r w:rsidR="00A8661D" w:rsidRPr="005E36EF">
        <w:t>'</w:t>
      </w:r>
      <w:r w:rsidRPr="005E36EF">
        <w:t>établir à plus de 17 millions CHF par an (soit environ 18,7 millions USD au taux de change en vigueur), ce qui montre que les initiatives de l</w:t>
      </w:r>
      <w:r w:rsidR="00A8661D" w:rsidRPr="005E36EF">
        <w:t>'</w:t>
      </w:r>
      <w:r w:rsidRPr="005E36EF">
        <w:t>UIT continuent de bénéficier d</w:t>
      </w:r>
      <w:r w:rsidR="00A8661D" w:rsidRPr="005E36EF">
        <w:t>'</w:t>
      </w:r>
      <w:r w:rsidRPr="005E36EF">
        <w:t>un appui financier.</w:t>
      </w:r>
    </w:p>
    <w:p w14:paraId="7F82DE7A" w14:textId="0C92EE82" w:rsidR="005C05AB" w:rsidRPr="005E36EF" w:rsidRDefault="005C05AB" w:rsidP="009E1719">
      <w:pPr>
        <w:pStyle w:val="enumlev1"/>
      </w:pPr>
      <w:r w:rsidRPr="005E36EF">
        <w:t>•</w:t>
      </w:r>
      <w:r w:rsidRPr="005E36EF">
        <w:tab/>
        <w:t>L</w:t>
      </w:r>
      <w:r w:rsidR="00A8661D" w:rsidRPr="005E36EF">
        <w:t>'</w:t>
      </w:r>
      <w:r w:rsidRPr="005E36EF">
        <w:t>organisation continue de s</w:t>
      </w:r>
      <w:r w:rsidR="00A8661D" w:rsidRPr="005E36EF">
        <w:t>'</w:t>
      </w:r>
      <w:r w:rsidRPr="005E36EF">
        <w:t>appuyer sur un nombre relativement faible de contributeurs à son budget, l</w:t>
      </w:r>
      <w:r w:rsidR="00A8661D" w:rsidRPr="005E36EF">
        <w:t>'</w:t>
      </w:r>
      <w:r w:rsidRPr="005E36EF">
        <w:t>essentiel des produits provenant des 10 à 15 principaux États Membres contributeurs.</w:t>
      </w:r>
    </w:p>
    <w:p w14:paraId="6D3A1C2B" w14:textId="236D00BF" w:rsidR="00F85EE1" w:rsidRPr="005E36EF" w:rsidRDefault="00F85EE1">
      <w:pPr>
        <w:tabs>
          <w:tab w:val="clear" w:pos="567"/>
          <w:tab w:val="clear" w:pos="1134"/>
          <w:tab w:val="clear" w:pos="1701"/>
          <w:tab w:val="clear" w:pos="2268"/>
          <w:tab w:val="clear" w:pos="2835"/>
        </w:tabs>
        <w:overflowPunct/>
        <w:autoSpaceDE/>
        <w:autoSpaceDN/>
        <w:adjustRightInd/>
        <w:spacing w:before="0"/>
        <w:textAlignment w:val="auto"/>
      </w:pPr>
      <w:r w:rsidRPr="005E36EF">
        <w:br w:type="page"/>
      </w:r>
    </w:p>
    <w:p w14:paraId="255F4315" w14:textId="071A349F" w:rsidR="00DB574F" w:rsidRPr="005E36EF" w:rsidRDefault="00DB574F" w:rsidP="00224501">
      <w:pPr>
        <w:pStyle w:val="Heading1"/>
      </w:pPr>
      <w:bookmarkStart w:id="3" w:name="_Toc166500727"/>
      <w:r w:rsidRPr="005E36EF">
        <w:lastRenderedPageBreak/>
        <w:t>1</w:t>
      </w:r>
      <w:r w:rsidRPr="005E36EF">
        <w:tab/>
        <w:t>Introduction</w:t>
      </w:r>
      <w:bookmarkEnd w:id="3"/>
    </w:p>
    <w:p w14:paraId="529D4708" w14:textId="4D30002E" w:rsidR="00DB574F" w:rsidRPr="00776C69" w:rsidRDefault="00DB574F" w:rsidP="00224501">
      <w:pPr>
        <w:pStyle w:val="Headingb"/>
        <w:rPr>
          <w:sz w:val="26"/>
          <w:szCs w:val="26"/>
        </w:rPr>
      </w:pPr>
      <w:r w:rsidRPr="00776C69">
        <w:rPr>
          <w:sz w:val="26"/>
          <w:szCs w:val="26"/>
        </w:rPr>
        <w:t>L</w:t>
      </w:r>
      <w:r w:rsidR="00A8661D" w:rsidRPr="00776C69">
        <w:rPr>
          <w:sz w:val="26"/>
          <w:szCs w:val="26"/>
        </w:rPr>
        <w:t>'</w:t>
      </w:r>
      <w:r w:rsidRPr="00776C69">
        <w:rPr>
          <w:sz w:val="26"/>
          <w:szCs w:val="26"/>
        </w:rPr>
        <w:t>institution spécialisée des Nations Unies pour les technologies numériques</w:t>
      </w:r>
    </w:p>
    <w:p w14:paraId="7B12D39D" w14:textId="6E77C012" w:rsidR="00DB574F" w:rsidRPr="005E36EF" w:rsidRDefault="00DB574F" w:rsidP="00DB574F">
      <w:r w:rsidRPr="005E36EF">
        <w:t>L</w:t>
      </w:r>
      <w:r w:rsidR="00A8661D" w:rsidRPr="005E36EF">
        <w:t>'</w:t>
      </w:r>
      <w:r w:rsidRPr="005E36EF">
        <w:t>Union internationale des télécommunications (UIT) rassemble 193 gouvernements nationaux et plus de 1 000 entreprises, universités, instituts de recherche et organisations internationales animés d</w:t>
      </w:r>
      <w:r w:rsidR="00A8661D" w:rsidRPr="005E36EF">
        <w:t>'</w:t>
      </w:r>
      <w:r w:rsidRPr="005E36EF">
        <w:t>une volonté commune de faire progresser la connectivité mondiale et de façonner l</w:t>
      </w:r>
      <w:r w:rsidR="00A8661D" w:rsidRPr="005E36EF">
        <w:t>'</w:t>
      </w:r>
      <w:r w:rsidRPr="005E36EF">
        <w:t>avenir des technologies numériques.</w:t>
      </w:r>
      <w:r w:rsidR="00B10DA4" w:rsidRPr="005E36EF">
        <w:t xml:space="preserve"> </w:t>
      </w:r>
      <w:r w:rsidRPr="005E36EF">
        <w:t>Grâce au large champ d</w:t>
      </w:r>
      <w:r w:rsidR="00A8661D" w:rsidRPr="005E36EF">
        <w:t>'</w:t>
      </w:r>
      <w:r w:rsidRPr="005E36EF">
        <w:t>action que lui confère cette composition unique, l</w:t>
      </w:r>
      <w:r w:rsidR="00A8661D" w:rsidRPr="005E36EF">
        <w:t>'</w:t>
      </w:r>
      <w:r w:rsidRPr="005E36EF">
        <w:t>organisation coordonne l</w:t>
      </w:r>
      <w:r w:rsidR="00A8661D" w:rsidRPr="005E36EF">
        <w:t>'</w:t>
      </w:r>
      <w:r w:rsidRPr="005E36EF">
        <w:t>utilisation des fréquences radioélectriques sur Terre et dans l</w:t>
      </w:r>
      <w:r w:rsidR="00A8661D" w:rsidRPr="005E36EF">
        <w:t>'</w:t>
      </w:r>
      <w:r w:rsidRPr="005E36EF">
        <w:t>espace; établit des normes technologiques largement reconnues; et promeut le développement du numérique avec pour ambition de ne laisser personne de côté.</w:t>
      </w:r>
    </w:p>
    <w:p w14:paraId="1C4D2240" w14:textId="6F447BE0" w:rsidR="00DB574F" w:rsidRPr="005E36EF" w:rsidRDefault="00DB574F" w:rsidP="00DB574F">
      <w:r w:rsidRPr="005E36EF">
        <w:t>L</w:t>
      </w:r>
      <w:r w:rsidR="00A8661D" w:rsidRPr="005E36EF">
        <w:t>'</w:t>
      </w:r>
      <w:r w:rsidRPr="005E36EF">
        <w:t>UIT est l</w:t>
      </w:r>
      <w:r w:rsidR="00A8661D" w:rsidRPr="005E36EF">
        <w:t>'</w:t>
      </w:r>
      <w:r w:rsidRPr="005E36EF">
        <w:t>institution spécialisée des Nations Unies pour les technologies numériques, et œuvre pour connecter le dernier tiers de l</w:t>
      </w:r>
      <w:r w:rsidR="00A8661D" w:rsidRPr="005E36EF">
        <w:t>'</w:t>
      </w:r>
      <w:r w:rsidRPr="005E36EF">
        <w:t>humanité et pour tirer parti de ces technologies afin d</w:t>
      </w:r>
      <w:r w:rsidR="00A8661D" w:rsidRPr="005E36EF">
        <w:t>'</w:t>
      </w:r>
      <w:r w:rsidRPr="005E36EF">
        <w:t>assurer un avenir meilleur pour tous.</w:t>
      </w:r>
    </w:p>
    <w:p w14:paraId="5627C099" w14:textId="7BA10C31" w:rsidR="00DB574F" w:rsidRPr="005E36EF" w:rsidRDefault="00DB574F" w:rsidP="005934B5">
      <w:pPr>
        <w:pStyle w:val="Headingb"/>
      </w:pPr>
      <w:r w:rsidRPr="005E36EF">
        <w:t>L</w:t>
      </w:r>
      <w:r w:rsidR="00A8661D" w:rsidRPr="005E36EF">
        <w:t>'</w:t>
      </w:r>
      <w:r w:rsidRPr="005E36EF">
        <w:t>UIT d</w:t>
      </w:r>
      <w:r w:rsidR="00A8661D" w:rsidRPr="005E36EF">
        <w:t>'</w:t>
      </w:r>
      <w:r w:rsidRPr="005E36EF">
        <w:t>aujourd</w:t>
      </w:r>
      <w:r w:rsidR="00A8661D" w:rsidRPr="005E36EF">
        <w:t>'</w:t>
      </w:r>
      <w:r w:rsidRPr="005E36EF">
        <w:t>hui</w:t>
      </w:r>
    </w:p>
    <w:p w14:paraId="4E149522" w14:textId="09B3E9C9" w:rsidR="00DB574F" w:rsidRPr="005E36EF" w:rsidRDefault="00DB574F" w:rsidP="00DB574F">
      <w:r w:rsidRPr="005E36EF">
        <w:t>En 2023, le monde a connu des crises humanitaires et des conflits de plus en plus graves, auxquels est venue s</w:t>
      </w:r>
      <w:r w:rsidR="00A8661D" w:rsidRPr="005E36EF">
        <w:t>'</w:t>
      </w:r>
      <w:r w:rsidRPr="005E36EF">
        <w:t>ajouter l</w:t>
      </w:r>
      <w:r w:rsidR="00A8661D" w:rsidRPr="005E36EF">
        <w:t>'</w:t>
      </w:r>
      <w:r w:rsidRPr="005E36EF">
        <w:t xml:space="preserve">instabilité économique qui a creusé les fossés et les inégalités. </w:t>
      </w:r>
      <w:r w:rsidR="00FF1D22" w:rsidRPr="005E36EF">
        <w:t>La crise d</w:t>
      </w:r>
      <w:r w:rsidR="0087327D" w:rsidRPr="005E36EF">
        <w:t>u</w:t>
      </w:r>
      <w:r w:rsidR="00FF1D22" w:rsidRPr="005E36EF">
        <w:t>e aux</w:t>
      </w:r>
      <w:r w:rsidR="006007B8" w:rsidRPr="005E36EF">
        <w:t xml:space="preserve"> changements climatiques </w:t>
      </w:r>
      <w:r w:rsidR="0087327D" w:rsidRPr="005E36EF">
        <w:t>s'est enlisée</w:t>
      </w:r>
      <w:r w:rsidR="006007B8" w:rsidRPr="005E36EF">
        <w:t xml:space="preserve"> dans le monde, les inondations, les sécheresses et les températures moyennes ayant atteint des niveaux records.</w:t>
      </w:r>
      <w:r w:rsidR="002E74CE" w:rsidRPr="005E36EF">
        <w:t xml:space="preserve"> </w:t>
      </w:r>
      <w:r w:rsidR="000352D9" w:rsidRPr="005E36EF">
        <w:t xml:space="preserve">Dans ce contexte, la </w:t>
      </w:r>
      <w:r w:rsidRPr="005E36EF">
        <w:t>transformation numérique a offert une lueur d</w:t>
      </w:r>
      <w:r w:rsidR="00A8661D" w:rsidRPr="005E36EF">
        <w:t>'</w:t>
      </w:r>
      <w:r w:rsidRPr="005E36EF">
        <w:t>espoir.</w:t>
      </w:r>
    </w:p>
    <w:p w14:paraId="06AA143E" w14:textId="21BAEBE9" w:rsidR="00DB574F" w:rsidRPr="005E36EF" w:rsidRDefault="00DB574F" w:rsidP="00DB574F">
      <w:r w:rsidRPr="005E36EF">
        <w:t>Dans ce contexte mondial difficile, l</w:t>
      </w:r>
      <w:r w:rsidR="00A8661D" w:rsidRPr="005E36EF">
        <w:t>'</w:t>
      </w:r>
      <w:r w:rsidRPr="005E36EF">
        <w:t>UIT a multiplié les initiatives phares, dans une volonté de parvenir à une connectivité universelle et à une transformation numérique durable. Alors que l</w:t>
      </w:r>
      <w:r w:rsidR="00A8661D" w:rsidRPr="005E36EF">
        <w:t>'</w:t>
      </w:r>
      <w:r w:rsidRPr="005E36EF">
        <w:t>organisation s</w:t>
      </w:r>
      <w:r w:rsidR="00A8661D" w:rsidRPr="005E36EF">
        <w:t>'</w:t>
      </w:r>
      <w:r w:rsidRPr="005E36EF">
        <w:t>attaque à des priorités plus ambitieuses, elle est également fière de son propre renouveau.</w:t>
      </w:r>
    </w:p>
    <w:p w14:paraId="45D74EA9" w14:textId="5DDC96E1" w:rsidR="00DB574F" w:rsidRPr="005E36EF" w:rsidRDefault="00DB574F" w:rsidP="00224501">
      <w:pPr>
        <w:pStyle w:val="Headingi"/>
      </w:pPr>
      <w:r w:rsidRPr="005E36EF">
        <w:t>Vision, mission et buts de l</w:t>
      </w:r>
      <w:r w:rsidR="00A8661D" w:rsidRPr="005E36EF">
        <w:t>'</w:t>
      </w:r>
      <w:r w:rsidRPr="005E36EF">
        <w:t>UIT</w:t>
      </w:r>
    </w:p>
    <w:p w14:paraId="6FF195D0" w14:textId="5E355366" w:rsidR="00DB574F" w:rsidRPr="005E36EF" w:rsidRDefault="00DB574F" w:rsidP="00DB574F">
      <w:r w:rsidRPr="005E36EF">
        <w:t xml:space="preserve">Le </w:t>
      </w:r>
      <w:hyperlink r:id="rId14" w:history="1">
        <w:r w:rsidRPr="005E36EF">
          <w:rPr>
            <w:rStyle w:val="Hyperlink"/>
          </w:rPr>
          <w:t>Plan stratégique</w:t>
        </w:r>
      </w:hyperlink>
      <w:r w:rsidRPr="005E36EF">
        <w:t xml:space="preserve"> de l</w:t>
      </w:r>
      <w:r w:rsidR="00A8661D" w:rsidRPr="005E36EF">
        <w:t>'</w:t>
      </w:r>
      <w:r w:rsidRPr="005E36EF">
        <w:t>UIT pour la période 2024-2027 comprend deux buts fondamentaux:</w:t>
      </w:r>
    </w:p>
    <w:p w14:paraId="220D4666" w14:textId="77777777" w:rsidR="00DB574F" w:rsidRPr="005E36EF" w:rsidRDefault="00DB574F" w:rsidP="00B8288A">
      <w:pPr>
        <w:pStyle w:val="enumlev1"/>
      </w:pPr>
      <w:r w:rsidRPr="005E36EF">
        <w:t>•</w:t>
      </w:r>
      <w:r w:rsidRPr="005E36EF">
        <w:tab/>
      </w:r>
      <w:r w:rsidRPr="005E36EF">
        <w:rPr>
          <w:b/>
          <w:bCs/>
        </w:rPr>
        <w:t>Connectivité universelle</w:t>
      </w:r>
      <w:r w:rsidRPr="005E36EF">
        <w:t>: connecter les 2,6 milliards de personnes qui ne le sont pas encore et réduire les inégalités socioéconomiques en garantissant un accès efficace et financièrement abordable au numérique.</w:t>
      </w:r>
    </w:p>
    <w:p w14:paraId="72527804" w14:textId="79DB6AF8" w:rsidR="00DB574F" w:rsidRPr="005E36EF" w:rsidRDefault="00DB574F" w:rsidP="00B8288A">
      <w:pPr>
        <w:pStyle w:val="enumlev1"/>
      </w:pPr>
      <w:r w:rsidRPr="005E36EF">
        <w:t>•</w:t>
      </w:r>
      <w:r w:rsidRPr="005E36EF">
        <w:tab/>
      </w:r>
      <w:r w:rsidRPr="005E36EF">
        <w:rPr>
          <w:b/>
          <w:bCs/>
        </w:rPr>
        <w:t>Transformation numérique durable</w:t>
      </w:r>
      <w:r w:rsidRPr="005E36EF">
        <w:t>: faire en sorte que l</w:t>
      </w:r>
      <w:r w:rsidR="00A8661D" w:rsidRPr="005E36EF">
        <w:t>'</w:t>
      </w:r>
      <w:r w:rsidRPr="005E36EF">
        <w:t>innovation technologique soit propice au développement durable et en adéquation avec l</w:t>
      </w:r>
      <w:r w:rsidR="00A8661D" w:rsidRPr="005E36EF">
        <w:t>'</w:t>
      </w:r>
      <w:r w:rsidRPr="005E36EF">
        <w:t>action climatique mondiale, tout en favorisant un développement équitable et inclusif du numérique pour tous.</w:t>
      </w:r>
    </w:p>
    <w:p w14:paraId="60D31DCC" w14:textId="4C308D25" w:rsidR="00DB574F" w:rsidRPr="005E36EF" w:rsidRDefault="00DB574F" w:rsidP="00DB574F">
      <w:r w:rsidRPr="005E36EF">
        <w:t>Le large éventail de travaux en constante évolution menés par l</w:t>
      </w:r>
      <w:r w:rsidR="00A8661D" w:rsidRPr="005E36EF">
        <w:t>'</w:t>
      </w:r>
      <w:r w:rsidRPr="005E36EF">
        <w:t xml:space="preserve">UIT </w:t>
      </w:r>
      <w:r w:rsidR="00412411" w:rsidRPr="005E36EF">
        <w:t>consiste</w:t>
      </w:r>
      <w:r w:rsidRPr="005E36EF">
        <w:t xml:space="preserve"> notamment:</w:t>
      </w:r>
    </w:p>
    <w:p w14:paraId="1E2B0E20" w14:textId="0B3281DA" w:rsidR="00DB574F" w:rsidRPr="005E36EF" w:rsidRDefault="00DB574F" w:rsidP="00B8288A">
      <w:pPr>
        <w:pStyle w:val="enumlev1"/>
      </w:pPr>
      <w:r w:rsidRPr="005E36EF">
        <w:t>•</w:t>
      </w:r>
      <w:r w:rsidRPr="005E36EF">
        <w:tab/>
        <w:t>à s</w:t>
      </w:r>
      <w:r w:rsidR="00A8661D" w:rsidRPr="005E36EF">
        <w:t>'</w:t>
      </w:r>
      <w:r w:rsidRPr="005E36EF">
        <w:t>assurer que l</w:t>
      </w:r>
      <w:r w:rsidR="00A8661D" w:rsidRPr="005E36EF">
        <w:t>'</w:t>
      </w:r>
      <w:r w:rsidRPr="005E36EF">
        <w:t>intelligence artificielle (IA) profite à l</w:t>
      </w:r>
      <w:r w:rsidR="00A8661D" w:rsidRPr="005E36EF">
        <w:t>'</w:t>
      </w:r>
      <w:r w:rsidRPr="005E36EF">
        <w:t>humanité;</w:t>
      </w:r>
    </w:p>
    <w:p w14:paraId="74C9B47E" w14:textId="77777777" w:rsidR="00DB574F" w:rsidRPr="005E36EF" w:rsidRDefault="00DB574F" w:rsidP="00B8288A">
      <w:pPr>
        <w:pStyle w:val="enumlev1"/>
      </w:pPr>
      <w:r w:rsidRPr="005E36EF">
        <w:t>•</w:t>
      </w:r>
      <w:r w:rsidRPr="005E36EF">
        <w:tab/>
        <w:t>à faire en sorte que les normes répondent aux besoins de tous;</w:t>
      </w:r>
    </w:p>
    <w:p w14:paraId="791E41ED" w14:textId="0BAA8DF1" w:rsidR="00DB574F" w:rsidRPr="005E36EF" w:rsidRDefault="00DB574F" w:rsidP="00B8288A">
      <w:pPr>
        <w:pStyle w:val="enumlev1"/>
      </w:pPr>
      <w:r w:rsidRPr="005E36EF">
        <w:t>•</w:t>
      </w:r>
      <w:r w:rsidRPr="005E36EF">
        <w:tab/>
        <w:t>à maintenir la durabilité de l</w:t>
      </w:r>
      <w:r w:rsidR="00A8661D" w:rsidRPr="005E36EF">
        <w:t>'</w:t>
      </w:r>
      <w:r w:rsidRPr="005E36EF">
        <w:t>espace.</w:t>
      </w:r>
    </w:p>
    <w:p w14:paraId="18D4208E" w14:textId="010DDD81" w:rsidR="00DB574F" w:rsidRPr="005E36EF" w:rsidRDefault="00DB574F" w:rsidP="00DB574F">
      <w:r w:rsidRPr="005E36EF">
        <w:t>L</w:t>
      </w:r>
      <w:r w:rsidR="00A8661D" w:rsidRPr="005E36EF">
        <w:t>'</w:t>
      </w:r>
      <w:r w:rsidRPr="005E36EF">
        <w:t>UIT entend mettre la technologie au service du bien social et de tous, en connectant toutes les personnes partout dans le monde.</w:t>
      </w:r>
    </w:p>
    <w:p w14:paraId="1CF19A04" w14:textId="60292BD9" w:rsidR="00DB574F" w:rsidRPr="005E36EF" w:rsidRDefault="00DB574F" w:rsidP="00E1533A">
      <w:pPr>
        <w:keepNext/>
        <w:keepLines/>
        <w:rPr>
          <w:u w:val="single"/>
        </w:rPr>
      </w:pPr>
      <w:r w:rsidRPr="005E36EF">
        <w:rPr>
          <w:u w:val="single"/>
        </w:rPr>
        <w:lastRenderedPageBreak/>
        <w:t xml:space="preserve">Des progrès soutenus et des défis </w:t>
      </w:r>
      <w:r w:rsidR="00213221" w:rsidRPr="005E36EF">
        <w:rPr>
          <w:u w:val="single"/>
        </w:rPr>
        <w:t xml:space="preserve">qui restent </w:t>
      </w:r>
      <w:r w:rsidRPr="005E36EF">
        <w:rPr>
          <w:u w:val="single"/>
        </w:rPr>
        <w:t>à relever</w:t>
      </w:r>
    </w:p>
    <w:p w14:paraId="7BAE484B" w14:textId="7FC59618" w:rsidR="00DB574F" w:rsidRPr="005E36EF" w:rsidRDefault="00DB574F" w:rsidP="00E1533A">
      <w:pPr>
        <w:keepNext/>
        <w:keepLines/>
      </w:pPr>
      <w:r w:rsidRPr="005E36EF">
        <w:t>Le présent rapport annuel porte sur les activités menées par l</w:t>
      </w:r>
      <w:r w:rsidR="00A8661D" w:rsidRPr="005E36EF">
        <w:t>'</w:t>
      </w:r>
      <w:r w:rsidRPr="005E36EF">
        <w:t>UIT entre mai 2023 et avril</w:t>
      </w:r>
      <w:r w:rsidR="005D5928" w:rsidRPr="005E36EF">
        <w:t> </w:t>
      </w:r>
      <w:r w:rsidRPr="005E36EF">
        <w:t>2024, l</w:t>
      </w:r>
      <w:r w:rsidR="00A8661D" w:rsidRPr="005E36EF">
        <w:t>'</w:t>
      </w:r>
      <w:r w:rsidRPr="005E36EF">
        <w:t>accent étant mis sur la connectivité universelle et la transformation numérique durable. Pendant la période considérée, des progrès ont été accomplis en matière d</w:t>
      </w:r>
      <w:r w:rsidR="00A8661D" w:rsidRPr="005E36EF">
        <w:t>'</w:t>
      </w:r>
      <w:r w:rsidRPr="005E36EF">
        <w:t>accès au numérique et d</w:t>
      </w:r>
      <w:r w:rsidR="00A8661D" w:rsidRPr="005E36EF">
        <w:t>'</w:t>
      </w:r>
      <w:r w:rsidRPr="005E36EF">
        <w:t>accessibilité financière dans le monde entier. Il reste néanmoins des défis à relever, en particulier dans les pays à faible revenu, notamment la réduction des inégalités entre les hommes et les femmes.</w:t>
      </w:r>
    </w:p>
    <w:p w14:paraId="681851F7" w14:textId="269C41AA" w:rsidR="00DB574F" w:rsidRPr="005E36EF" w:rsidRDefault="00DB574F" w:rsidP="00DB574F">
      <w:r w:rsidRPr="005E36EF">
        <w:t>Le Plan stratégique de l</w:t>
      </w:r>
      <w:r w:rsidR="00A8661D" w:rsidRPr="005E36EF">
        <w:t>'</w:t>
      </w:r>
      <w:r w:rsidRPr="005E36EF">
        <w:t>UIT pour la période 2024-2027 définit 12 cibles liées à la connectivité universelle et à la transformation numérique, et des efforts continuent d</w:t>
      </w:r>
      <w:r w:rsidR="00A8661D" w:rsidRPr="005E36EF">
        <w:t>'</w:t>
      </w:r>
      <w:r w:rsidRPr="005E36EF">
        <w:t>être déployés pour améliorer la collecte des données. L</w:t>
      </w:r>
      <w:r w:rsidR="00A8661D" w:rsidRPr="005E36EF">
        <w:t>'</w:t>
      </w:r>
      <w:r w:rsidRPr="005E36EF">
        <w:t>UIT promeut l</w:t>
      </w:r>
      <w:r w:rsidR="00A8661D" w:rsidRPr="005E36EF">
        <w:t>'</w:t>
      </w:r>
      <w:r w:rsidRPr="005E36EF">
        <w:t>inclusion numérique, notamment en lançant des initiatives relatives à l</w:t>
      </w:r>
      <w:r w:rsidR="00A8661D" w:rsidRPr="005E36EF">
        <w:t>'</w:t>
      </w:r>
      <w:r w:rsidRPr="005E36EF">
        <w:t>égalité hommes-femmes et en associant les jeunes à</w:t>
      </w:r>
      <w:r w:rsidR="00093521" w:rsidRPr="005E36EF">
        <w:t> </w:t>
      </w:r>
      <w:r w:rsidR="009045E9" w:rsidRPr="005E36EF">
        <w:t>plusieurs</w:t>
      </w:r>
      <w:r w:rsidR="005E65B9" w:rsidRPr="005E36EF">
        <w:t xml:space="preserve"> initiatives</w:t>
      </w:r>
      <w:r w:rsidRPr="005E36EF">
        <w:t>.</w:t>
      </w:r>
    </w:p>
    <w:p w14:paraId="042E6F78" w14:textId="70039167" w:rsidR="00DB574F" w:rsidRPr="005E36EF" w:rsidRDefault="00A76CE1" w:rsidP="00DB574F">
      <w:r w:rsidRPr="005E36EF">
        <w:t xml:space="preserve">Malgré les difficultés qui persistent et les nouveaux défis qui se présentent, de </w:t>
      </w:r>
      <w:r w:rsidR="00DB574F" w:rsidRPr="005E36EF">
        <w:t xml:space="preserve">nouveaux partenariats et </w:t>
      </w:r>
      <w:r w:rsidRPr="005E36EF">
        <w:t xml:space="preserve">de </w:t>
      </w:r>
      <w:r w:rsidR="00DB574F" w:rsidRPr="005E36EF">
        <w:t>nouvelles plates-formes de collaboration ont donné de l</w:t>
      </w:r>
      <w:r w:rsidR="00A8661D" w:rsidRPr="005E36EF">
        <w:t>'</w:t>
      </w:r>
      <w:r w:rsidR="00DB574F" w:rsidRPr="005E36EF">
        <w:t>élan aux projets en cours et nouveaux en matière de connectivité numérique dans le monde entier.</w:t>
      </w:r>
    </w:p>
    <w:p w14:paraId="04770406" w14:textId="038289E6" w:rsidR="00DB574F" w:rsidRPr="00776C69" w:rsidRDefault="00DB574F" w:rsidP="00B8288A">
      <w:pPr>
        <w:pStyle w:val="Headingb"/>
        <w:rPr>
          <w:sz w:val="26"/>
          <w:szCs w:val="26"/>
        </w:rPr>
      </w:pPr>
      <w:r w:rsidRPr="00776C69">
        <w:rPr>
          <w:sz w:val="26"/>
          <w:szCs w:val="26"/>
        </w:rPr>
        <w:t>Progresser sur la voie d</w:t>
      </w:r>
      <w:r w:rsidR="00A8661D" w:rsidRPr="00776C69">
        <w:rPr>
          <w:sz w:val="26"/>
          <w:szCs w:val="26"/>
        </w:rPr>
        <w:t>'</w:t>
      </w:r>
      <w:r w:rsidRPr="00776C69">
        <w:rPr>
          <w:sz w:val="26"/>
          <w:szCs w:val="26"/>
        </w:rPr>
        <w:t>une connectivité universelle</w:t>
      </w:r>
    </w:p>
    <w:p w14:paraId="64E1FAD9" w14:textId="194D9871" w:rsidR="00DB574F" w:rsidRPr="005E36EF" w:rsidRDefault="00DB574F" w:rsidP="00DB574F">
      <w:r w:rsidRPr="005E36EF">
        <w:t>On estime qu</w:t>
      </w:r>
      <w:r w:rsidR="00A8661D" w:rsidRPr="005E36EF">
        <w:t>'</w:t>
      </w:r>
      <w:r w:rsidRPr="005E36EF">
        <w:t>en 2023, 67% des habitants de la planète (5,4 milliards de personnes) avaient accès à l</w:t>
      </w:r>
      <w:r w:rsidR="00A8661D" w:rsidRPr="005E36EF">
        <w:t>'</w:t>
      </w:r>
      <w:r w:rsidRPr="005E36EF">
        <w:t>Internet, soit 4,7% de plus qu</w:t>
      </w:r>
      <w:r w:rsidR="00A8661D" w:rsidRPr="005E36EF">
        <w:t>'</w:t>
      </w:r>
      <w:r w:rsidRPr="005E36EF">
        <w:t>en 2022, et on a enregistré un taux d</w:t>
      </w:r>
      <w:r w:rsidR="00A8661D" w:rsidRPr="005E36EF">
        <w:t>'</w:t>
      </w:r>
      <w:r w:rsidRPr="005E36EF">
        <w:t>utilisation de</w:t>
      </w:r>
      <w:r w:rsidR="005D5928" w:rsidRPr="005E36EF">
        <w:t> </w:t>
      </w:r>
      <w:r w:rsidRPr="005E36EF">
        <w:t>93% dans les pays à revenu élevé en 2023. Bien que 167 pays aient adopté des plans consacrés au large bande, la croissance a clairement stagné depuis 2019. Les prix des technologies de l</w:t>
      </w:r>
      <w:r w:rsidR="00A8661D" w:rsidRPr="005E36EF">
        <w:t>'</w:t>
      </w:r>
      <w:r w:rsidRPr="005E36EF">
        <w:t xml:space="preserve">information et de la communication (TIC) ont </w:t>
      </w:r>
      <w:r w:rsidR="00A76CE1" w:rsidRPr="005E36EF">
        <w:t>continué de baisser</w:t>
      </w:r>
      <w:r w:rsidR="00B075E6" w:rsidRPr="005E36EF">
        <w:t xml:space="preserve"> (avec une diminution générale de 36% entre 2017 </w:t>
      </w:r>
      <w:r w:rsidR="000B079B" w:rsidRPr="005E36EF">
        <w:t>et</w:t>
      </w:r>
      <w:r w:rsidR="00B075E6" w:rsidRPr="005E36EF">
        <w:t xml:space="preserve"> 2023)</w:t>
      </w:r>
      <w:r w:rsidRPr="005E36EF">
        <w:t>, ce qui a amélioré l</w:t>
      </w:r>
      <w:r w:rsidR="00A8661D" w:rsidRPr="005E36EF">
        <w:t>'</w:t>
      </w:r>
      <w:r w:rsidRPr="005E36EF">
        <w:t>accessibilité financièrement du large bande mobile pour les données uniquement.</w:t>
      </w:r>
    </w:p>
    <w:p w14:paraId="4C61382A" w14:textId="1C32EE31" w:rsidR="00DB574F" w:rsidRPr="005E36EF" w:rsidRDefault="00DB574F" w:rsidP="00DB574F">
      <w:r w:rsidRPr="005E36EF">
        <w:t>Dans les pays à faible revenu, le taux d</w:t>
      </w:r>
      <w:r w:rsidR="00A8661D" w:rsidRPr="005E36EF">
        <w:t>'</w:t>
      </w:r>
      <w:r w:rsidRPr="005E36EF">
        <w:t>utilisation de l</w:t>
      </w:r>
      <w:r w:rsidR="00A8661D" w:rsidRPr="005E36EF">
        <w:t>'</w:t>
      </w:r>
      <w:r w:rsidRPr="005E36EF">
        <w:t>Internet a augmenté pour s</w:t>
      </w:r>
      <w:r w:rsidR="00A8661D" w:rsidRPr="005E36EF">
        <w:t>'</w:t>
      </w:r>
      <w:r w:rsidRPr="005E36EF">
        <w:t>établir à</w:t>
      </w:r>
      <w:r w:rsidR="005D5928" w:rsidRPr="005E36EF">
        <w:t> </w:t>
      </w:r>
      <w:r w:rsidRPr="005E36EF">
        <w:t>27% en 2023 contre 24% en 2022, et 37% de la population africaine était connectée, ce qui traduisait des inégalités régionales. Le manque d</w:t>
      </w:r>
      <w:r w:rsidR="00A8661D" w:rsidRPr="005E36EF">
        <w:t>'</w:t>
      </w:r>
      <w:r w:rsidRPr="005E36EF">
        <w:t>accessibilité financière demeure un problème, en particulier dans les pays à faible revenu. À l</w:t>
      </w:r>
      <w:r w:rsidR="00A8661D" w:rsidRPr="005E36EF">
        <w:t>'</w:t>
      </w:r>
      <w:r w:rsidRPr="005E36EF">
        <w:t>échelle mondiale, les hommes sont</w:t>
      </w:r>
      <w:r w:rsidR="005D5928" w:rsidRPr="005E36EF">
        <w:t> </w:t>
      </w:r>
      <w:r w:rsidRPr="005E36EF">
        <w:t>5% plus susceptibles que les femmes d</w:t>
      </w:r>
      <w:r w:rsidR="00A8661D" w:rsidRPr="005E36EF">
        <w:t>'</w:t>
      </w:r>
      <w:r w:rsidRPr="005E36EF">
        <w:t>utiliser l</w:t>
      </w:r>
      <w:r w:rsidR="00A8661D" w:rsidRPr="005E36EF">
        <w:t>'</w:t>
      </w:r>
      <w:r w:rsidRPr="005E36EF">
        <w:t xml:space="preserve">Internet, et on observe des inégalités </w:t>
      </w:r>
      <w:r w:rsidR="00EB4307" w:rsidRPr="005E36EF">
        <w:t xml:space="preserve">plus </w:t>
      </w:r>
      <w:r w:rsidRPr="005E36EF">
        <w:t>marquées en Afrique et dans les pays les moins avancés.</w:t>
      </w:r>
    </w:p>
    <w:p w14:paraId="48B47B39" w14:textId="77777777" w:rsidR="00DB574F" w:rsidRPr="005E36EF" w:rsidRDefault="00DB574F" w:rsidP="005934B5">
      <w:pPr>
        <w:pStyle w:val="Headingb"/>
      </w:pPr>
      <w:r w:rsidRPr="005E36EF">
        <w:t>Partenariats et engagements: un montant de 46 milliards USD à ce jour</w:t>
      </w:r>
    </w:p>
    <w:p w14:paraId="4EE81CFD" w14:textId="0FD1F2FB" w:rsidR="00DB574F" w:rsidRPr="005E36EF" w:rsidRDefault="00DB574F" w:rsidP="00DB574F">
      <w:r w:rsidRPr="005E36EF">
        <w:t>Le montant des engagements pris dans le cadre de l</w:t>
      </w:r>
      <w:r w:rsidR="00A8661D" w:rsidRPr="005E36EF">
        <w:t>'</w:t>
      </w:r>
      <w:r w:rsidRPr="005E36EF">
        <w:t>Initiative Partner2Connect (P2C) s</w:t>
      </w:r>
      <w:r w:rsidR="00A8661D" w:rsidRPr="005E36EF">
        <w:t>'</w:t>
      </w:r>
      <w:r w:rsidRPr="005E36EF">
        <w:t>élevait à 37 milliards USD fin 2023 et à 46 milliards USD en mars 2024, grâce à de nouveaux engagements majeurs émanant d</w:t>
      </w:r>
      <w:r w:rsidR="00A8661D" w:rsidRPr="005E36EF">
        <w:t>'</w:t>
      </w:r>
      <w:r w:rsidRPr="005E36EF">
        <w:t>acteurs du secteur des télécommunications mobiles. Dans l</w:t>
      </w:r>
      <w:r w:rsidR="00A8661D" w:rsidRPr="005E36EF">
        <w:t>'</w:t>
      </w:r>
      <w:r w:rsidRPr="005E36EF">
        <w:t>ensemble, l</w:t>
      </w:r>
      <w:r w:rsidR="00A8661D" w:rsidRPr="005E36EF">
        <w:t>'</w:t>
      </w:r>
      <w:r w:rsidRPr="005E36EF">
        <w:t>Initiative P2C a suscité un nombre croissant d</w:t>
      </w:r>
      <w:r w:rsidR="00A8661D" w:rsidRPr="005E36EF">
        <w:t>'</w:t>
      </w:r>
      <w:r w:rsidRPr="005E36EF">
        <w:t xml:space="preserve">engagements (bien que pour des montants plus faibles), et a permis de mobiliser </w:t>
      </w:r>
      <w:r w:rsidR="00413501" w:rsidRPr="005E36EF">
        <w:t xml:space="preserve">environ </w:t>
      </w:r>
      <w:r w:rsidRPr="005E36EF">
        <w:t>7 milliards USD</w:t>
      </w:r>
      <w:r w:rsidR="00B67046" w:rsidRPr="005E36EF">
        <w:t xml:space="preserve"> en 2023</w:t>
      </w:r>
      <w:r w:rsidRPr="005E36EF">
        <w:t xml:space="preserve"> pour des projets </w:t>
      </w:r>
      <w:r w:rsidR="00B67046" w:rsidRPr="005E36EF">
        <w:t>visant à garantir une connectivité universelle et efficace ainsi qu'une transformation numérique durable pour tous les habitants de la planète</w:t>
      </w:r>
      <w:r w:rsidRPr="005E36EF">
        <w:t>.</w:t>
      </w:r>
    </w:p>
    <w:p w14:paraId="39ACE33D" w14:textId="5682C6EB" w:rsidR="00DB574F" w:rsidRPr="005E36EF" w:rsidRDefault="00DB574F" w:rsidP="00DB574F">
      <w:r w:rsidRPr="005E36EF">
        <w:t>L</w:t>
      </w:r>
      <w:r w:rsidR="00A8661D" w:rsidRPr="005E36EF">
        <w:t>'</w:t>
      </w:r>
      <w:r w:rsidRPr="005E36EF">
        <w:t>UIT continue d</w:t>
      </w:r>
      <w:r w:rsidR="00A8661D" w:rsidRPr="005E36EF">
        <w:t>'</w:t>
      </w:r>
      <w:r w:rsidRPr="005E36EF">
        <w:t>accélérer la coopération public-privé afin de connecter les 2,6 milliards de personnes qui ne le sont pas encore, et s</w:t>
      </w:r>
      <w:r w:rsidR="00A8661D" w:rsidRPr="005E36EF">
        <w:t>'</w:t>
      </w:r>
      <w:r w:rsidRPr="005E36EF">
        <w:t xml:space="preserve">est fixé comme objectif de mobiliser des engagements </w:t>
      </w:r>
      <w:r w:rsidR="00B67046" w:rsidRPr="005E36EF">
        <w:t xml:space="preserve">dans le cadre du programme </w:t>
      </w:r>
      <w:r w:rsidR="00583A35" w:rsidRPr="005E36EF">
        <w:t>P2C</w:t>
      </w:r>
      <w:r w:rsidR="00B67046" w:rsidRPr="005E36EF">
        <w:t xml:space="preserve"> </w:t>
      </w:r>
      <w:r w:rsidRPr="005E36EF">
        <w:t>pour un montant de 100 milliards USD d</w:t>
      </w:r>
      <w:r w:rsidR="00A8661D" w:rsidRPr="005E36EF">
        <w:t>'</w:t>
      </w:r>
      <w:r w:rsidRPr="005E36EF">
        <w:t>ici</w:t>
      </w:r>
      <w:r w:rsidR="00F238E3" w:rsidRPr="005E36EF">
        <w:t> </w:t>
      </w:r>
      <w:r w:rsidRPr="005E36EF">
        <w:t>2026.</w:t>
      </w:r>
    </w:p>
    <w:p w14:paraId="38966005" w14:textId="6AF7D0AE" w:rsidR="00DB574F" w:rsidRPr="005E36EF" w:rsidRDefault="00DB574F" w:rsidP="005934B5">
      <w:pPr>
        <w:pStyle w:val="Headingb"/>
      </w:pPr>
      <w:r w:rsidRPr="005E36EF">
        <w:lastRenderedPageBreak/>
        <w:t>Gestion du spectre sur Terre et dans l</w:t>
      </w:r>
      <w:r w:rsidR="00A8661D" w:rsidRPr="005E36EF">
        <w:t>'</w:t>
      </w:r>
      <w:r w:rsidRPr="005E36EF">
        <w:t>espace</w:t>
      </w:r>
    </w:p>
    <w:p w14:paraId="7BEE76E1" w14:textId="08F84F3C" w:rsidR="00DB574F" w:rsidRPr="005E36EF" w:rsidRDefault="00DB574F" w:rsidP="00DB574F">
      <w:r w:rsidRPr="005E36EF">
        <w:t>En tant que gardienne du Règlement des radiocommunications, qui est un traité international, l</w:t>
      </w:r>
      <w:r w:rsidR="00A8661D" w:rsidRPr="005E36EF">
        <w:t>'</w:t>
      </w:r>
      <w:r w:rsidRPr="005E36EF">
        <w:t>UIT coordonne l</w:t>
      </w:r>
      <w:r w:rsidR="00A8661D" w:rsidRPr="005E36EF">
        <w:t>'</w:t>
      </w:r>
      <w:r w:rsidRPr="005E36EF">
        <w:t>utilisation du spectre des fréquences radioélectriques et des orbites de satellites. En cette qualité, elle offre également une tribune clé pour la coopération en matière de gestion des actifs spatiaux essentiels. En conséquence, l</w:t>
      </w:r>
      <w:r w:rsidR="00A8661D" w:rsidRPr="005E36EF">
        <w:t>'</w:t>
      </w:r>
      <w:r w:rsidRPr="005E36EF">
        <w:t>UIT contribue à promouvoir la durabilité des activités menées dans l</w:t>
      </w:r>
      <w:r w:rsidR="00A8661D" w:rsidRPr="005E36EF">
        <w:t>'</w:t>
      </w:r>
      <w:r w:rsidRPr="005E36EF">
        <w:t>espace et depuis l</w:t>
      </w:r>
      <w:r w:rsidR="00A8661D" w:rsidRPr="005E36EF">
        <w:t>'</w:t>
      </w:r>
      <w:r w:rsidRPr="005E36EF">
        <w:t>espace.</w:t>
      </w:r>
    </w:p>
    <w:p w14:paraId="0653987E" w14:textId="545E03D1" w:rsidR="00DB574F" w:rsidRPr="005E36EF" w:rsidRDefault="00DB574F" w:rsidP="003A0B23">
      <w:r w:rsidRPr="005E36EF">
        <w:t>Le Bureau des radiocommunications de l</w:t>
      </w:r>
      <w:r w:rsidR="00A8661D" w:rsidRPr="005E36EF">
        <w:t>'</w:t>
      </w:r>
      <w:r w:rsidRPr="005E36EF">
        <w:t xml:space="preserve">UIT (BR) a traité 5 556 demandes de coordination et de notification entre 2019 et 2023, parallèlement à 506 plans de radiodiffusion par satellite et à 281 plans pour le service fixe par satellite. Le </w:t>
      </w:r>
      <w:r w:rsidR="003A0B23" w:rsidRPr="005E36EF">
        <w:t>nombre total de fiches de notification relatives aux services de Terre était de 5 536</w:t>
      </w:r>
      <w:r w:rsidRPr="005E36EF">
        <w:t>. Les améliorations logicielles ont consisté à rationaliser la coordination, à migrer les bases de données et à moderniser les logiciels du Secteur des radiocommunications de l</w:t>
      </w:r>
      <w:r w:rsidR="00A8661D" w:rsidRPr="005E36EF">
        <w:t>'</w:t>
      </w:r>
      <w:r w:rsidRPr="005E36EF">
        <w:t>UIT (UIT-R).</w:t>
      </w:r>
    </w:p>
    <w:p w14:paraId="500DCBE6" w14:textId="4B8F7429" w:rsidR="00DB574F" w:rsidRPr="005E36EF" w:rsidRDefault="00DB574F" w:rsidP="00DB574F">
      <w:r w:rsidRPr="005E36EF">
        <w:t>Parmi les progrès accomplis concernant les services de Terre, on peut citer l</w:t>
      </w:r>
      <w:r w:rsidR="00A8661D" w:rsidRPr="005E36EF">
        <w:t>'</w:t>
      </w:r>
      <w:r w:rsidRPr="005E36EF">
        <w:t>achèvement des projets géospatiaux</w:t>
      </w:r>
      <w:r w:rsidR="00962AB1" w:rsidRPr="005E36EF">
        <w:t xml:space="preserve"> et </w:t>
      </w:r>
      <w:r w:rsidRPr="005E36EF">
        <w:t>la modernisation des publications de service relatives au service maritime. La feuille de route sur les systèmes informatiques du BR pour les services spatiaux, lancée par le Groupe consultatif des radiocommunications à sa réunion de 2019 (GCR-19), a été améliorée. Les applications de l</w:t>
      </w:r>
      <w:r w:rsidR="00A8661D" w:rsidRPr="005E36EF">
        <w:t>'</w:t>
      </w:r>
      <w:r w:rsidRPr="005E36EF">
        <w:t>UIT-R relatives aux services spatiaux se sont améliorées grâce à la mise</w:t>
      </w:r>
      <w:r w:rsidR="00A8661D" w:rsidRPr="005E36EF">
        <w:t xml:space="preserve"> </w:t>
      </w:r>
      <w:r w:rsidRPr="005E36EF">
        <w:t>en</w:t>
      </w:r>
      <w:r w:rsidR="00A8661D" w:rsidRPr="005E36EF">
        <w:t xml:space="preserve"> </w:t>
      </w:r>
      <w:r w:rsidRPr="005E36EF">
        <w:t>œuvre des systèmes de soumission électronique et de communications électroniques, tandis que la Circulaire internationale d</w:t>
      </w:r>
      <w:r w:rsidR="00A8661D" w:rsidRPr="005E36EF">
        <w:t>'</w:t>
      </w:r>
      <w:r w:rsidRPr="005E36EF">
        <w:t>information sur les fréquences (BR</w:t>
      </w:r>
      <w:r w:rsidR="005D5928" w:rsidRPr="005E36EF">
        <w:t> </w:t>
      </w:r>
      <w:r w:rsidRPr="005E36EF">
        <w:t>IFIC) du Bureau est désormais publiée en ligne, ce qui accroît l</w:t>
      </w:r>
      <w:r w:rsidR="00A8661D" w:rsidRPr="005E36EF">
        <w:t>'</w:t>
      </w:r>
      <w:r w:rsidRPr="005E36EF">
        <w:t>efficacité opérationnelle.</w:t>
      </w:r>
    </w:p>
    <w:p w14:paraId="3C542440" w14:textId="77777777" w:rsidR="00DB574F" w:rsidRPr="005E36EF" w:rsidRDefault="00DB574F" w:rsidP="005934B5">
      <w:pPr>
        <w:pStyle w:val="Headingb"/>
      </w:pPr>
      <w:r w:rsidRPr="005E36EF">
        <w:t>Garantir une connectivité efficace</w:t>
      </w:r>
    </w:p>
    <w:p w14:paraId="02FF8219" w14:textId="04A602B8" w:rsidR="00DB574F" w:rsidRPr="005E36EF" w:rsidRDefault="00DB574F" w:rsidP="00DB574F">
      <w:r w:rsidRPr="005E36EF">
        <w:t>On estime qu</w:t>
      </w:r>
      <w:r w:rsidR="00A8661D" w:rsidRPr="005E36EF">
        <w:t>'</w:t>
      </w:r>
      <w:r w:rsidRPr="005E36EF">
        <w:t>en 2023, 2,6 milliards de personnes dans le monde n</w:t>
      </w:r>
      <w:r w:rsidR="00A8661D" w:rsidRPr="005E36EF">
        <w:t>'</w:t>
      </w:r>
      <w:r w:rsidRPr="005E36EF">
        <w:t>avaient toujours pas accès à l</w:t>
      </w:r>
      <w:r w:rsidR="00A8661D" w:rsidRPr="005E36EF">
        <w:t>'</w:t>
      </w:r>
      <w:r w:rsidRPr="005E36EF">
        <w:t>Internet. L</w:t>
      </w:r>
      <w:r w:rsidR="00A8661D" w:rsidRPr="005E36EF">
        <w:t>'</w:t>
      </w:r>
      <w:r w:rsidRPr="005E36EF">
        <w:t xml:space="preserve">UIT met tout en œuvre pour </w:t>
      </w:r>
      <w:r w:rsidR="00060426" w:rsidRPr="005E36EF">
        <w:t xml:space="preserve">aider à </w:t>
      </w:r>
      <w:r w:rsidRPr="005E36EF">
        <w:t>remédier à cette situation. En plus de promouvoir l</w:t>
      </w:r>
      <w:r w:rsidR="00A8661D" w:rsidRPr="005E36EF">
        <w:t>'</w:t>
      </w:r>
      <w:r w:rsidRPr="005E36EF">
        <w:t>amélioration des infrastructures, l</w:t>
      </w:r>
      <w:r w:rsidR="00A8661D" w:rsidRPr="005E36EF">
        <w:t>'</w:t>
      </w:r>
      <w:r w:rsidRPr="005E36EF">
        <w:t>organisation entend faire en sorte que tout un chacun soit dotés des compétences de base et dispose des choix de contenu nécessaires pour que la connectivité soit efficace.</w:t>
      </w:r>
    </w:p>
    <w:p w14:paraId="0B73CFD8" w14:textId="2AEE7D85" w:rsidR="003B1E97" w:rsidRPr="005E36EF" w:rsidRDefault="003B1E97" w:rsidP="00DB574F">
      <w:r w:rsidRPr="005E36EF">
        <w:t xml:space="preserve">L'UIT demeure résolue à intégrer les pratiques de diversité et d'inclusion dans </w:t>
      </w:r>
      <w:r w:rsidR="00696584" w:rsidRPr="005E36EF">
        <w:t>l'ensemble de</w:t>
      </w:r>
      <w:r w:rsidR="00846C67" w:rsidRPr="005E36EF">
        <w:t xml:space="preserve"> ses</w:t>
      </w:r>
      <w:r w:rsidRPr="005E36EF">
        <w:t xml:space="preserve"> travaux.</w:t>
      </w:r>
      <w:r w:rsidRPr="005E36EF">
        <w:rPr>
          <w:color w:val="000000"/>
        </w:rPr>
        <w:t xml:space="preserve"> </w:t>
      </w:r>
      <w:r w:rsidRPr="005E36EF">
        <w:t xml:space="preserve">Dans cette optique, l'UIT </w:t>
      </w:r>
      <w:r w:rsidR="00CF3158" w:rsidRPr="005E36EF">
        <w:t xml:space="preserve">œuvre </w:t>
      </w:r>
      <w:r w:rsidRPr="005E36EF">
        <w:t>en faveur de la réduction de la fracture numérique et de la mise en place d'une société numérique inclusive, en faisant en sorte que tout un chacun, dans tous les pays du monde, puisse avoir accès à des télécommunications/TIC financièrement abordables et les utiliser, y compris les femmes et les jeunes filles, les jeunes, les populations autochtones, les personnes âgées, les personnes handicapées et les personnes ayant des besoins particuliers.</w:t>
      </w:r>
    </w:p>
    <w:p w14:paraId="1F2E9A34" w14:textId="3A2DD5E7" w:rsidR="00DB574F" w:rsidRPr="005E36EF" w:rsidRDefault="00DB574F" w:rsidP="00DB574F">
      <w:r w:rsidRPr="005E36EF">
        <w:t>Les efforts déployés pour favoriser l</w:t>
      </w:r>
      <w:r w:rsidR="00A8661D" w:rsidRPr="005E36EF">
        <w:t>'</w:t>
      </w:r>
      <w:r w:rsidRPr="005E36EF">
        <w:t>inclusion numérique se concentrent sur l</w:t>
      </w:r>
      <w:r w:rsidR="00A8661D" w:rsidRPr="005E36EF">
        <w:t>'</w:t>
      </w:r>
      <w:r w:rsidRPr="005E36EF">
        <w:t>égalité hommes-femmes, dans la mesure où la part de femmes n</w:t>
      </w:r>
      <w:r w:rsidR="00A8661D" w:rsidRPr="005E36EF">
        <w:t>'</w:t>
      </w:r>
      <w:r w:rsidRPr="005E36EF">
        <w:t>ayant pas accès à l</w:t>
      </w:r>
      <w:r w:rsidR="00A8661D" w:rsidRPr="005E36EF">
        <w:t>'</w:t>
      </w:r>
      <w:r w:rsidRPr="005E36EF">
        <w:t>Internet demeure disproportionnée et où elles sont moins susceptibles que les hommes de posséder un téléphone mobile. Les initiatives de l</w:t>
      </w:r>
      <w:r w:rsidR="00A8661D" w:rsidRPr="005E36EF">
        <w:t>'</w:t>
      </w:r>
      <w:r w:rsidRPr="005E36EF">
        <w:t>UIT comme la Journée internationale des jeunes filles dans le secteur des TIC et le Réseau de femmes (NoW) visent à réduire ces écarts grâce à des formations et à des programmes de mentorat, en œuvrant pour que des femmes occupent des postes de direction.</w:t>
      </w:r>
    </w:p>
    <w:p w14:paraId="0CA5A858" w14:textId="50747BAB" w:rsidR="00277C67" w:rsidRPr="005E36EF" w:rsidRDefault="00DB574F" w:rsidP="00A761EF">
      <w:pPr>
        <w:keepNext/>
        <w:keepLines/>
        <w:spacing w:after="120"/>
      </w:pPr>
      <w:r w:rsidRPr="005E36EF">
        <w:lastRenderedPageBreak/>
        <w:t>La mobilisation des jeunes est également mise en avant et, à ce titre, des sessions seront organisées à l</w:t>
      </w:r>
      <w:r w:rsidR="00A8661D" w:rsidRPr="005E36EF">
        <w:t>'</w:t>
      </w:r>
      <w:r w:rsidRPr="005E36EF">
        <w:t>occasion de la manifestation Kaléidoscope 2024 de l</w:t>
      </w:r>
      <w:r w:rsidR="00A8661D" w:rsidRPr="005E36EF">
        <w:t>'</w:t>
      </w:r>
      <w:r w:rsidRPr="005E36EF">
        <w:t>UIT pour promouvoir la participation de la prochaine génération à l</w:t>
      </w:r>
      <w:r w:rsidR="00A8661D" w:rsidRPr="005E36EF">
        <w:t>'</w:t>
      </w:r>
      <w:r w:rsidRPr="005E36EF">
        <w:t xml:space="preserve">élaboration des normes. </w:t>
      </w:r>
      <w:r w:rsidR="00277C67" w:rsidRPr="005E36EF">
        <w:t xml:space="preserve">En 2023, les travaux se sont poursuivis dans le cadre de l'initiative </w:t>
      </w:r>
      <w:hyperlink r:id="rId15" w:history="1">
        <w:r w:rsidR="00277C67" w:rsidRPr="005E36EF">
          <w:rPr>
            <w:rStyle w:val="Hyperlink"/>
          </w:rPr>
          <w:t>Generation Connect</w:t>
        </w:r>
      </w:hyperlink>
      <w:r w:rsidR="00D2709B" w:rsidRPr="005E36EF">
        <w:t xml:space="preserve"> –</w:t>
      </w:r>
      <w:r w:rsidR="00277C67" w:rsidRPr="005E36EF">
        <w:t xml:space="preserve"> initiative incontournable mise en œuvre dans le cadre de la Stratégie de l'UIT pour la jeunesse qui vise à ce que les jeunes puissent faire entendre leur voix dans le dialogue sur le développement du numérique</w:t>
      </w:r>
      <w:r w:rsidR="00D2709B" w:rsidRPr="005E36EF">
        <w:t xml:space="preserve"> – créée conformément à</w:t>
      </w:r>
      <w:r w:rsidR="00126A68" w:rsidRPr="005E36EF">
        <w:t xml:space="preserve"> la</w:t>
      </w:r>
      <w:r w:rsidR="00277C67" w:rsidRPr="005E36EF">
        <w:t xml:space="preserve"> Résolution 76 (Rév. Kigali, 2022) </w:t>
      </w:r>
      <w:r w:rsidR="00126A68" w:rsidRPr="005E36EF">
        <w:t xml:space="preserve">telle que mise à jour à la </w:t>
      </w:r>
      <w:r w:rsidR="00761FD0" w:rsidRPr="005E36EF">
        <w:t>Conférence mondiale de développement des télécommunications de 2022 (</w:t>
      </w:r>
      <w:r w:rsidR="00126A68" w:rsidRPr="005E36EF">
        <w:t>CMDT-22</w:t>
      </w:r>
      <w:r w:rsidR="00761FD0" w:rsidRPr="005E36EF">
        <w:t>)</w:t>
      </w:r>
      <w:r w:rsidR="00126A68" w:rsidRPr="005E36EF">
        <w:t xml:space="preserve"> </w:t>
      </w:r>
      <w:r w:rsidR="00277C67" w:rsidRPr="005E36EF">
        <w:t xml:space="preserve">et </w:t>
      </w:r>
      <w:r w:rsidR="002847AC" w:rsidRPr="005E36EF">
        <w:t>à</w:t>
      </w:r>
      <w:r w:rsidR="00277C67" w:rsidRPr="005E36EF">
        <w:t xml:space="preserve"> la Résolution 198 (Rév. Bucarest, 2022) de la Conférence de plénipotentiaires.</w:t>
      </w:r>
    </w:p>
    <w:p w14:paraId="59DE7B4F" w14:textId="2A317582" w:rsidR="00DB574F" w:rsidRPr="005E36EF" w:rsidRDefault="00DB574F" w:rsidP="00A761EF">
      <w:pPr>
        <w:keepNext/>
        <w:keepLines/>
      </w:pPr>
      <w:r w:rsidRPr="005E36EF">
        <w:t>Les efforts déployés en matière d</w:t>
      </w:r>
      <w:r w:rsidR="00A8661D" w:rsidRPr="005E36EF">
        <w:t>'</w:t>
      </w:r>
      <w:r w:rsidRPr="005E36EF">
        <w:t>accessibilité sont axés sur les personnes handicapées et consistent à promouvoir la sensibilisation et la prise en compte systématique de l</w:t>
      </w:r>
      <w:r w:rsidR="00A8661D" w:rsidRPr="005E36EF">
        <w:t>'</w:t>
      </w:r>
      <w:r w:rsidRPr="005E36EF">
        <w:t>accessibilité dans les normes par le biais de publications révisées.</w:t>
      </w:r>
      <w:r w:rsidR="00DC0504" w:rsidRPr="005E36EF">
        <w:t xml:space="preserve"> De plus, au cours de la période considérée, de nombreux membres de l'UIT, des parties prenantes et des participants ont renforcé leurs connaissances en matière d'accessibilité des TIC/du numérique dans le cadre d'activités diverses et variées. L'</w:t>
      </w:r>
      <w:hyperlink r:id="rId16" w:history="1">
        <w:r w:rsidR="00DC0504" w:rsidRPr="005E36EF">
          <w:rPr>
            <w:rStyle w:val="Hyperlink"/>
          </w:rPr>
          <w:t>UIT-D</w:t>
        </w:r>
      </w:hyperlink>
      <w:r w:rsidR="00DC0504" w:rsidRPr="005E36EF">
        <w:t xml:space="preserve"> a fourni des avis spécialisés en matière d'accessibilité des TIC visant à soutenir les efforts déployés par les membres de l'UIT pour faciliter l'inclusion numérique grâce à des programmes de formation à l'intention des cadres décideurs et </w:t>
      </w:r>
      <w:r w:rsidR="00A94294" w:rsidRPr="005E36EF">
        <w:t xml:space="preserve">des </w:t>
      </w:r>
      <w:r w:rsidR="00DC0504" w:rsidRPr="005E36EF">
        <w:t>régulateurs régionaux.</w:t>
      </w:r>
    </w:p>
    <w:p w14:paraId="39033B6A" w14:textId="550DC46F" w:rsidR="00897553" w:rsidRPr="005E36EF" w:rsidRDefault="00DB574F" w:rsidP="005934B5">
      <w:r w:rsidRPr="005E36EF">
        <w:t>En interne, une équipe spéciale pour la jeunesse a été établie en vue de promouvoir la participation active et l</w:t>
      </w:r>
      <w:r w:rsidR="00A8661D" w:rsidRPr="005E36EF">
        <w:t>'</w:t>
      </w:r>
      <w:r w:rsidRPr="005E36EF">
        <w:t>évolution positive des jeunes au sein de l</w:t>
      </w:r>
      <w:r w:rsidR="00A8661D" w:rsidRPr="005E36EF">
        <w:t>'</w:t>
      </w:r>
      <w:r w:rsidRPr="005E36EF">
        <w:t xml:space="preserve">organisation. En outre, la Secrétaire générale a créé le Comité consultatif des jeunes, composé de 12 jeunes experts du monde entier, qui </w:t>
      </w:r>
      <w:r w:rsidR="00EB2E9D" w:rsidRPr="005E36EF">
        <w:t>présente</w:t>
      </w:r>
      <w:r w:rsidR="002C7F34" w:rsidRPr="005E36EF">
        <w:t xml:space="preserve"> </w:t>
      </w:r>
      <w:r w:rsidRPr="005E36EF">
        <w:t xml:space="preserve">divers points de </w:t>
      </w:r>
      <w:r w:rsidR="005D5928" w:rsidRPr="005E36EF">
        <w:t>vue</w:t>
      </w:r>
      <w:r w:rsidRPr="005E36EF">
        <w:t xml:space="preserve"> de jeunes ainsi que des recommandations concrètes visant à renforcer la coopération au niveau mondial dans le but de réduire la fracture numérique.</w:t>
      </w:r>
    </w:p>
    <w:p w14:paraId="1F8A485A" w14:textId="6FD2139E" w:rsidR="007C4C8F" w:rsidRPr="005E36EF" w:rsidRDefault="003A1B1E" w:rsidP="005934B5">
      <w:r w:rsidRPr="005E36EF">
        <w:t>Dans le cadre du programme visant à réduire la fracture numérique, on a continué de dispenser des formations et d'attribuer des bourses pour renforcer la participation à l'échelle mondiale.</w:t>
      </w:r>
    </w:p>
    <w:p w14:paraId="189589D4" w14:textId="77777777" w:rsidR="003301D0" w:rsidRPr="00776C69" w:rsidRDefault="003301D0" w:rsidP="003301D0">
      <w:pPr>
        <w:pStyle w:val="Headingb"/>
        <w:rPr>
          <w:sz w:val="26"/>
          <w:szCs w:val="26"/>
        </w:rPr>
      </w:pPr>
      <w:r w:rsidRPr="00776C69">
        <w:rPr>
          <w:sz w:val="26"/>
          <w:szCs w:val="26"/>
        </w:rPr>
        <w:t>Réussir la transformation numérique durable</w:t>
      </w:r>
    </w:p>
    <w:p w14:paraId="3EAC1897" w14:textId="6CBF8431" w:rsidR="002F595A" w:rsidRPr="005E36EF" w:rsidRDefault="003301D0" w:rsidP="003301D0">
      <w:r w:rsidRPr="005E36EF">
        <w:t>Les technologies numériques offrent la possibilité de faire des progrès considérables sur le plan socio-économique et peuvent permettre à chacun, où qu'il se trouve, de bâtir un monde meilleur. L'UIT s'est associée à des partenaires de l'ensemble du système des Nations Unies et au-delà pour promouvoir la transformation numérique, conformément aux Objectifs de développement durable (ODD) des Nations Unies, et contribuer à concrétiser les promesses du Programme 2030.</w:t>
      </w:r>
    </w:p>
    <w:p w14:paraId="0A3F3A19" w14:textId="20815905" w:rsidR="00B74CBB" w:rsidRPr="005E36EF" w:rsidRDefault="00B74CBB" w:rsidP="003301D0">
      <w:r w:rsidRPr="005E36EF">
        <w:t>Malgré les nombreux efforts déployés par l'UIT,</w:t>
      </w:r>
      <w:r w:rsidR="004314DC" w:rsidRPr="005E36EF">
        <w:t xml:space="preserve"> les </w:t>
      </w:r>
      <w:r w:rsidR="00CB493C" w:rsidRPr="005E36EF">
        <w:t>niveaux d'</w:t>
      </w:r>
      <w:r w:rsidR="004314DC" w:rsidRPr="005E36EF">
        <w:t>émission de gaz à effet de serre</w:t>
      </w:r>
      <w:r w:rsidR="00371A97" w:rsidRPr="005E36EF">
        <w:t xml:space="preserve"> et </w:t>
      </w:r>
      <w:r w:rsidR="00CB493C" w:rsidRPr="005E36EF">
        <w:t>de</w:t>
      </w:r>
      <w:r w:rsidR="000301D7" w:rsidRPr="005E36EF">
        <w:t xml:space="preserve"> production de</w:t>
      </w:r>
      <w:r w:rsidR="00371A97" w:rsidRPr="005E36EF">
        <w:t xml:space="preserve"> DEEE </w:t>
      </w:r>
      <w:r w:rsidR="00B2786A" w:rsidRPr="005E36EF">
        <w:t>ne sont pas encore</w:t>
      </w:r>
      <w:r w:rsidR="00371A97" w:rsidRPr="005E36EF">
        <w:t xml:space="preserve"> </w:t>
      </w:r>
      <w:r w:rsidR="000301D7" w:rsidRPr="005E36EF">
        <w:t>ma</w:t>
      </w:r>
      <w:r w:rsidR="00630A99" w:rsidRPr="005E36EF">
        <w:t>î</w:t>
      </w:r>
      <w:r w:rsidR="000301D7" w:rsidRPr="005E36EF">
        <w:t>trisés</w:t>
      </w:r>
      <w:r w:rsidR="00371A97" w:rsidRPr="005E36EF">
        <w:t>.</w:t>
      </w:r>
    </w:p>
    <w:p w14:paraId="7E4BC073" w14:textId="559B377A" w:rsidR="003301D0" w:rsidRPr="005E36EF" w:rsidRDefault="003301D0" w:rsidP="003301D0">
      <w:pPr>
        <w:rPr>
          <w:u w:val="single"/>
        </w:rPr>
      </w:pPr>
      <w:r w:rsidRPr="005E36EF">
        <w:rPr>
          <w:u w:val="single"/>
        </w:rPr>
        <w:t>L'IA au service de l'humanité</w:t>
      </w:r>
    </w:p>
    <w:p w14:paraId="3B230832" w14:textId="77777777" w:rsidR="003301D0" w:rsidRPr="005E36EF" w:rsidRDefault="003301D0" w:rsidP="003301D0">
      <w:r w:rsidRPr="005E36EF">
        <w:t>En 2023, le développement rapide de l'IA est devenu une préoccupation de portée mondiale, incitant l'UIT à servir de forum incontournable pour les discussions sur l'utilisation de l'intelligence artificielle au profit de l'humanité. L'IA ouvre des perspectives prometteuses concernant les 134 cibles associées aux 17 ODD.</w:t>
      </w:r>
    </w:p>
    <w:p w14:paraId="49FE28ED" w14:textId="77777777" w:rsidR="003301D0" w:rsidRPr="005E36EF" w:rsidRDefault="003301D0" w:rsidP="00A761EF">
      <w:pPr>
        <w:keepNext/>
        <w:keepLines/>
      </w:pPr>
      <w:r w:rsidRPr="005E36EF">
        <w:lastRenderedPageBreak/>
        <w:t>La plate-forme "L'IA au service du bien social" de l'UIT est un cadre privilégié permettant d'aligner la technologie sur les objectifs humanitaires et de durabilité, comme en témoigne le Sommet mondial sur l'intelligence artificielle au service du bien social. Le Sommet de 2023, organisé de manière conjointe avec 40 institutions du système des Nations Unies et la Suisse, a marqué le retour aux manifestations de haut niveau après la pandémie de COVID</w:t>
      </w:r>
      <w:r w:rsidRPr="005E36EF">
        <w:noBreakHyphen/>
        <w:t>19. La toute première conférence de presse réunissant des robots humanoïdes a attiré l'attention du grand public sur ce domaine d'activité de l'UIT en pleine croissance, mettant en valeur par là même le potentiel qu'offre l'IA comme vecteur de développement durable. Les concours sur l'intelligence artificielle et l'apprentissage automatique soulignent ce potentiel et la valeur des travaux de normalisation de l'UIT.</w:t>
      </w:r>
    </w:p>
    <w:p w14:paraId="3674DFDE" w14:textId="7A1CFF32" w:rsidR="003301D0" w:rsidRPr="005E36EF" w:rsidRDefault="003301D0" w:rsidP="0078193B">
      <w:pPr>
        <w:spacing w:after="240"/>
      </w:pPr>
      <w:r w:rsidRPr="005E36EF">
        <w:t>Parallèlement, consciente des risques liés à l'IA, l'UIT a préconisé une collaboration entre les gouvernements, le secteur privé et les institutions du système des Nations Unies en vue d'établir des normes internationales. La plate-forme neutre qu'offre l'UIT encourage la compréhension et oriente les politiques relatives aux nouvelles technologies de l'IA. Alors que l'UIT continue de relever des défis en constante évolution, elle conserve un rôle essentiel dans le contexte des efforts déployés par les Nations Unies pour mettre l'intelligence artificielle au service des ODD.</w:t>
      </w:r>
    </w:p>
    <w:tbl>
      <w:tblPr>
        <w:tblStyle w:val="TableGrid"/>
        <w:tblW w:w="0" w:type="auto"/>
        <w:tblLook w:val="04A0" w:firstRow="1" w:lastRow="0" w:firstColumn="1" w:lastColumn="0" w:noHBand="0" w:noVBand="1"/>
      </w:tblPr>
      <w:tblGrid>
        <w:gridCol w:w="9061"/>
      </w:tblGrid>
      <w:tr w:rsidR="0078193B" w:rsidRPr="005E36EF" w14:paraId="49B90666" w14:textId="77777777" w:rsidTr="0078193B">
        <w:tc>
          <w:tcPr>
            <w:tcW w:w="9061" w:type="dxa"/>
          </w:tcPr>
          <w:p w14:paraId="28EACED7" w14:textId="77777777" w:rsidR="0078193B" w:rsidRPr="005E36EF" w:rsidRDefault="0078193B" w:rsidP="0078193B">
            <w:pPr>
              <w:tabs>
                <w:tab w:val="clear" w:pos="567"/>
                <w:tab w:val="clear" w:pos="1134"/>
                <w:tab w:val="clear" w:pos="1701"/>
                <w:tab w:val="clear" w:pos="2268"/>
                <w:tab w:val="clear" w:pos="2835"/>
              </w:tabs>
              <w:overflowPunct/>
              <w:autoSpaceDE/>
              <w:autoSpaceDN/>
              <w:adjustRightInd/>
              <w:jc w:val="center"/>
              <w:textAlignment w:val="auto"/>
              <w:rPr>
                <w:rFonts w:eastAsia="DengXian" w:cs="Calibri"/>
                <w:b/>
                <w:bCs/>
                <w:sz w:val="28"/>
                <w:szCs w:val="28"/>
                <w14:ligatures w14:val="standardContextual"/>
              </w:rPr>
            </w:pPr>
            <w:r w:rsidRPr="005E36EF">
              <w:rPr>
                <w:rFonts w:eastAsia="Calibri"/>
                <w:b/>
                <w:bCs/>
                <w:color w:val="242424"/>
                <w:sz w:val="28"/>
                <w:szCs w:val="28"/>
              </w:rPr>
              <w:t>Des résultats concrets</w:t>
            </w:r>
          </w:p>
          <w:p w14:paraId="54EA3EB8" w14:textId="77777777" w:rsidR="0078193B" w:rsidRPr="005E36EF" w:rsidRDefault="0078193B" w:rsidP="0078193B">
            <w:pPr>
              <w:tabs>
                <w:tab w:val="clear" w:pos="567"/>
                <w:tab w:val="clear" w:pos="1134"/>
                <w:tab w:val="clear" w:pos="1701"/>
                <w:tab w:val="clear" w:pos="2268"/>
                <w:tab w:val="clear" w:pos="2835"/>
              </w:tabs>
              <w:overflowPunct/>
              <w:autoSpaceDE/>
              <w:autoSpaceDN/>
              <w:adjustRightInd/>
              <w:textAlignment w:val="auto"/>
              <w:rPr>
                <w:rFonts w:eastAsia="DengXian" w:cs="Calibri"/>
                <w:b/>
                <w:bCs/>
                <w:szCs w:val="24"/>
                <w14:ligatures w14:val="standardContextual"/>
              </w:rPr>
            </w:pPr>
            <w:r w:rsidRPr="005E36EF">
              <w:rPr>
                <w:rFonts w:eastAsia="DengXian" w:cs="Calibri"/>
                <w:b/>
                <w:bCs/>
                <w:szCs w:val="24"/>
                <w14:ligatures w14:val="standardContextual"/>
              </w:rPr>
              <w:t>Échographie à ultrason améliorée par l'IA</w:t>
            </w:r>
          </w:p>
          <w:p w14:paraId="3974F35C" w14:textId="4C3F8704" w:rsidR="0078193B" w:rsidRPr="005E36EF" w:rsidRDefault="0078193B" w:rsidP="0078193B">
            <w:pPr>
              <w:tabs>
                <w:tab w:val="clear" w:pos="567"/>
                <w:tab w:val="clear" w:pos="1134"/>
                <w:tab w:val="clear" w:pos="1701"/>
                <w:tab w:val="clear" w:pos="2268"/>
                <w:tab w:val="clear" w:pos="2835"/>
              </w:tabs>
              <w:overflowPunct/>
              <w:autoSpaceDE/>
              <w:autoSpaceDN/>
              <w:adjustRightInd/>
              <w:textAlignment w:val="auto"/>
              <w:rPr>
                <w:rFonts w:eastAsia="DengXian" w:cs="Calibri"/>
                <w:szCs w:val="24"/>
                <w14:ligatures w14:val="standardContextual"/>
              </w:rPr>
            </w:pPr>
            <w:r w:rsidRPr="005E36EF">
              <w:rPr>
                <w:rFonts w:eastAsia="DengXian" w:cs="Calibri"/>
                <w:szCs w:val="24"/>
                <w14:ligatures w14:val="standardContextual"/>
              </w:rPr>
              <w:t>Lauréate de l'Usine de l'innovation, la start-up Ultrasound AI a mis sur pied une plate</w:t>
            </w:r>
            <w:r w:rsidRPr="005E36EF">
              <w:rPr>
                <w:rFonts w:eastAsia="DengXian" w:cs="Calibri"/>
                <w:szCs w:val="24"/>
                <w14:ligatures w14:val="standardContextual"/>
              </w:rPr>
              <w:noBreakHyphen/>
              <w:t>forme pionnière pour analyser l'état de santé des femmes enceintes et réduire les naissances prématurées. La solution élaborée par cette start-up dirigée par des femmes montre le potentiel de l'IA pour améliorer les soins de santé. "Les femmes et les nouveau</w:t>
            </w:r>
            <w:r w:rsidRPr="005E36EF">
              <w:rPr>
                <w:rFonts w:eastAsia="DengXian" w:cs="Calibri"/>
                <w:szCs w:val="24"/>
                <w14:ligatures w14:val="standardContextual"/>
              </w:rPr>
              <w:noBreakHyphen/>
              <w:t>nés méritent de bénéficier de soins de santé de qualité et c'est précisément la mission que nous poursuivons", a déclaré Marissa Fayer d'Ultrasound AI, lors de la présentation de la solution d'innovation gagnante dans le cadre du volet "La robotique au service du bien social" du Sommet mondial sur l'IA au service du bien social, organisé sous l'égide de l'UIT.</w:t>
            </w:r>
          </w:p>
          <w:p w14:paraId="07E72668" w14:textId="56A8D415" w:rsidR="0078193B" w:rsidRPr="005E36EF" w:rsidRDefault="001A6AF2" w:rsidP="0078193B">
            <w:pPr>
              <w:spacing w:after="120"/>
            </w:pPr>
            <w:hyperlink r:id="rId17" w:history="1">
              <w:r w:rsidR="0078193B" w:rsidRPr="005E36EF">
                <w:rPr>
                  <w:rStyle w:val="Hyperlink"/>
                  <w:rFonts w:eastAsia="DengXian" w:cs="Calibri"/>
                  <w:szCs w:val="24"/>
                  <w14:ligatures w14:val="standardContextual"/>
                </w:rPr>
                <w:t>En savoir plus sur l'Usine de l'innovation et les finalistes de 2023</w:t>
              </w:r>
            </w:hyperlink>
            <w:r w:rsidR="0078193B" w:rsidRPr="005E36EF">
              <w:rPr>
                <w:rFonts w:eastAsia="DengXian" w:cs="Calibri"/>
                <w:szCs w:val="24"/>
                <w14:ligatures w14:val="standardContextual"/>
              </w:rPr>
              <w:t>.</w:t>
            </w:r>
          </w:p>
        </w:tc>
      </w:tr>
    </w:tbl>
    <w:p w14:paraId="3CBD2456" w14:textId="77777777" w:rsidR="003301D0" w:rsidRPr="005E36EF" w:rsidRDefault="003301D0" w:rsidP="003301D0">
      <w:pPr>
        <w:keepNext/>
        <w:keepLines/>
        <w:rPr>
          <w:u w:val="single"/>
        </w:rPr>
      </w:pPr>
      <w:r w:rsidRPr="005E36EF">
        <w:rPr>
          <w:u w:val="single"/>
        </w:rPr>
        <w:t>Des normes techniques pour tous</w:t>
      </w:r>
    </w:p>
    <w:p w14:paraId="3F27C52B" w14:textId="0B78F50C" w:rsidR="003301D0" w:rsidRPr="005E36EF" w:rsidRDefault="003301D0" w:rsidP="003301D0">
      <w:pPr>
        <w:keepNext/>
        <w:keepLines/>
      </w:pPr>
      <w:r w:rsidRPr="005E36EF">
        <w:t xml:space="preserve">L'UIT est une organisation réputée pour l'élaboration de normes largement reconnues à l'échelle internationale, des progrès considérables ayant encore été accomplis au cours de l'année écoulée. Le Secteur de la normalisation (UIT-T) a approuvé 286 Recommandations nouvelles ou révisées, cinq groupes spécialisés appuyant activement les travaux connexes. L'UIT-R a approuvé plus de 80 Recommandations nouvelles ou révisées, et on trouvera des informations </w:t>
      </w:r>
      <w:hyperlink r:id="rId18" w:history="1">
        <w:r w:rsidR="005238D1" w:rsidRPr="005E36EF">
          <w:rPr>
            <w:rStyle w:val="Hyperlink"/>
          </w:rPr>
          <w:t>ici</w:t>
        </w:r>
      </w:hyperlink>
      <w:r w:rsidRPr="005E36EF">
        <w:t>.</w:t>
      </w:r>
    </w:p>
    <w:p w14:paraId="73C3D8DC" w14:textId="4618F466" w:rsidR="003301D0" w:rsidRPr="005E36EF" w:rsidRDefault="003301D0" w:rsidP="0078193B">
      <w:pPr>
        <w:spacing w:after="240"/>
      </w:pPr>
      <w:r w:rsidRPr="005E36EF">
        <w:t>L'UIT a remporté un</w:t>
      </w:r>
      <w:r w:rsidR="00FA70E3" w:rsidRPr="005E36EF">
        <w:t xml:space="preserve"> prix</w:t>
      </w:r>
      <w:r w:rsidRPr="005E36EF">
        <w:t xml:space="preserve"> Emmy Award dans le domaine de l'ingénierie, des sciences et de la technologie pour ses travaux concernant l'élaboration de normes de radiocommunication pour la télévision à grande plage dynamique (TV-HDR). Cette distinction met en lumière le rôle central de l'organisation dans le façonnement des technologies d'aujourd'hui et de demain, appliquant des normes mondiales aux télécommunications et aux radiocommunications.</w:t>
      </w:r>
    </w:p>
    <w:tbl>
      <w:tblPr>
        <w:tblStyle w:val="TableGrid"/>
        <w:tblW w:w="0" w:type="auto"/>
        <w:tblLook w:val="04A0" w:firstRow="1" w:lastRow="0" w:firstColumn="1" w:lastColumn="0" w:noHBand="0" w:noVBand="1"/>
      </w:tblPr>
      <w:tblGrid>
        <w:gridCol w:w="9061"/>
      </w:tblGrid>
      <w:tr w:rsidR="0078193B" w:rsidRPr="005E36EF" w14:paraId="7829CD81" w14:textId="77777777" w:rsidTr="0078193B">
        <w:tc>
          <w:tcPr>
            <w:tcW w:w="9061" w:type="dxa"/>
          </w:tcPr>
          <w:p w14:paraId="7E5F9BF0" w14:textId="77777777" w:rsidR="0078193B" w:rsidRPr="005E36EF" w:rsidRDefault="0078193B" w:rsidP="0078193B">
            <w:pPr>
              <w:pStyle w:val="NoSpacing"/>
              <w:spacing w:before="120" w:after="120"/>
              <w:jc w:val="center"/>
              <w:rPr>
                <w:rFonts w:cstheme="minorHAnsi"/>
                <w:b/>
                <w:bCs/>
                <w:sz w:val="28"/>
                <w:szCs w:val="28"/>
                <w:lang w:val="fr-FR"/>
              </w:rPr>
            </w:pPr>
            <w:r w:rsidRPr="005E36EF">
              <w:rPr>
                <w:rFonts w:eastAsia="Calibri"/>
                <w:b/>
                <w:bCs/>
                <w:color w:val="242424"/>
                <w:sz w:val="28"/>
                <w:szCs w:val="28"/>
                <w:lang w:val="fr-FR"/>
              </w:rPr>
              <w:lastRenderedPageBreak/>
              <w:t>Des résultats concrets</w:t>
            </w:r>
          </w:p>
          <w:p w14:paraId="34EE3588" w14:textId="3F8160C0" w:rsidR="0078193B" w:rsidRPr="005E36EF" w:rsidRDefault="0078193B" w:rsidP="0078193B">
            <w:pPr>
              <w:tabs>
                <w:tab w:val="clear" w:pos="567"/>
                <w:tab w:val="clear" w:pos="1134"/>
                <w:tab w:val="clear" w:pos="1701"/>
                <w:tab w:val="clear" w:pos="2268"/>
                <w:tab w:val="clear" w:pos="2835"/>
              </w:tabs>
              <w:overflowPunct/>
              <w:autoSpaceDE/>
              <w:autoSpaceDN/>
              <w:adjustRightInd/>
              <w:spacing w:before="0"/>
              <w:textAlignment w:val="auto"/>
              <w:rPr>
                <w:rFonts w:eastAsia="DengXian" w:cs="Calibri"/>
                <w:b/>
                <w:bCs/>
                <w:szCs w:val="24"/>
                <w14:ligatures w14:val="standardContextual"/>
              </w:rPr>
            </w:pPr>
            <w:r w:rsidRPr="005E36EF">
              <w:rPr>
                <w:rFonts w:eastAsia="DengXian" w:cs="Calibri"/>
                <w:b/>
                <w:bCs/>
                <w:szCs w:val="24"/>
                <w14:ligatures w14:val="standardContextual"/>
              </w:rPr>
              <w:t>Synchronisation d'horloge résiliente</w:t>
            </w:r>
          </w:p>
          <w:p w14:paraId="31887940" w14:textId="77777777" w:rsidR="0078193B" w:rsidRPr="005E36EF" w:rsidRDefault="0078193B" w:rsidP="0078193B">
            <w:pPr>
              <w:tabs>
                <w:tab w:val="clear" w:pos="567"/>
                <w:tab w:val="clear" w:pos="1134"/>
                <w:tab w:val="clear" w:pos="1701"/>
                <w:tab w:val="clear" w:pos="2268"/>
                <w:tab w:val="clear" w:pos="2835"/>
              </w:tabs>
              <w:overflowPunct/>
              <w:autoSpaceDE/>
              <w:autoSpaceDN/>
              <w:adjustRightInd/>
              <w:textAlignment w:val="auto"/>
              <w:rPr>
                <w:rFonts w:eastAsia="DengXian" w:cs="Calibri"/>
                <w:szCs w:val="24"/>
                <w14:ligatures w14:val="standardContextual"/>
              </w:rPr>
            </w:pPr>
            <w:r w:rsidRPr="005E36EF">
              <w:rPr>
                <w:rFonts w:eastAsia="DengXian" w:cs="Calibri"/>
                <w:szCs w:val="24"/>
                <w14:ligatures w14:val="standardContextual"/>
              </w:rPr>
              <w:t>Les erreurs d'horloge numérique peuvent perturber le bon fonctionnement des secteurs et des organisations, ainsi que la vie quotidienne des personnes. L'UIT a élaboré des normes de synchronisation de haute précision pour faire face aux perturbations temporelles dans le système mondial de navigation par satellite (GNSS). L'horloge de référence temporelle primaire améliorée définie par la norme UIT-T G.8272.1 garantit une précision supérieure à 100 nanosecondes jusqu'à 40 jours après la perte du signal GNSS. La nouvelle norme UIT-T G.8272.2 introduit une combinaison des sorties d'horloge interconnectées et d'un algorithme d'échelle de temps sur les réseaux de télécommunication. Ces normes accessibles contribuent à maintenir le Temps universel coordonné (UTC) dans le monde entier.</w:t>
            </w:r>
          </w:p>
          <w:p w14:paraId="045CD37B" w14:textId="5BA053BB" w:rsidR="0078193B" w:rsidRPr="005E36EF" w:rsidRDefault="001A6AF2" w:rsidP="0078193B">
            <w:pPr>
              <w:spacing w:after="120"/>
            </w:pPr>
            <w:hyperlink r:id="rId19" w:history="1">
              <w:r w:rsidR="0078193B" w:rsidRPr="005E36EF">
                <w:rPr>
                  <w:rStyle w:val="Hyperlink"/>
                  <w:szCs w:val="24"/>
                </w:rPr>
                <w:t xml:space="preserve">En savoir plus sur le nouveau </w:t>
              </w:r>
              <w:r w:rsidR="0078193B" w:rsidRPr="005E36EF">
                <w:rPr>
                  <w:rStyle w:val="Hyperlink"/>
                  <w:rFonts w:eastAsia="DengXian" w:cs="Calibri"/>
                  <w:szCs w:val="24"/>
                  <w14:ligatures w14:val="standardContextual"/>
                </w:rPr>
                <w:t>concept d'horloge</w:t>
              </w:r>
            </w:hyperlink>
            <w:r w:rsidR="0078193B" w:rsidRPr="005E36EF">
              <w:rPr>
                <w:rFonts w:eastAsia="DengXian" w:cs="Calibri"/>
                <w:szCs w:val="24"/>
                <w14:ligatures w14:val="standardContextual"/>
              </w:rPr>
              <w:t>.</w:t>
            </w:r>
          </w:p>
        </w:tc>
      </w:tr>
    </w:tbl>
    <w:p w14:paraId="3B6372BF" w14:textId="77777777" w:rsidR="003301D0" w:rsidRPr="005E36EF" w:rsidRDefault="003301D0" w:rsidP="0078193B">
      <w:pPr>
        <w:pStyle w:val="Headingb"/>
        <w:spacing w:before="240"/>
      </w:pPr>
      <w:r w:rsidRPr="005E36EF">
        <w:t>Orientations sur la politique générale et tendances en matière de technologies</w:t>
      </w:r>
    </w:p>
    <w:p w14:paraId="7135E8EB" w14:textId="77777777" w:rsidR="003301D0" w:rsidRPr="005E36EF" w:rsidRDefault="003301D0" w:rsidP="003301D0">
      <w:r w:rsidRPr="005E36EF">
        <w:t>L'UIT encourage l'adoption durable des technologies émergentes, y compris l'IA, l'informatique quantique et le métavers. Dans le domaine de l'informatique quantique, l'UIT accorde la priorité aux aspects réseau et sécurité, en particulier la distribution de clés quantiques au service du chiffrement sécurisé. Le Groupe spécialisé de l'UIT-T sur le métavers axe ses efforts sur la normalisation, portant sur divers aspects comme la sécurité, l'accessibilité et les cadres et considérations éthiques.</w:t>
      </w:r>
    </w:p>
    <w:p w14:paraId="3C356FEA" w14:textId="77777777" w:rsidR="003301D0" w:rsidRPr="005E36EF" w:rsidRDefault="003301D0" w:rsidP="003301D0">
      <w:pPr>
        <w:pStyle w:val="Headingi"/>
      </w:pPr>
      <w:r w:rsidRPr="005E36EF">
        <w:t>Innovation</w:t>
      </w:r>
    </w:p>
    <w:p w14:paraId="69133740" w14:textId="77777777" w:rsidR="003301D0" w:rsidRPr="005E36EF" w:rsidRDefault="003301D0" w:rsidP="003301D0">
      <w:r w:rsidRPr="005E36EF">
        <w:t>En 2023, le nombre de pays ayant mis en place des politiques centrées sur l'innovation est passé de 66 à 97.</w:t>
      </w:r>
    </w:p>
    <w:p w14:paraId="213B8AE3" w14:textId="77777777" w:rsidR="003301D0" w:rsidRPr="005E36EF" w:rsidRDefault="003301D0" w:rsidP="003301D0">
      <w:pPr>
        <w:pStyle w:val="Headingi"/>
      </w:pPr>
      <w:r w:rsidRPr="005E36EF">
        <w:t>Cybersécurité</w:t>
      </w:r>
    </w:p>
    <w:p w14:paraId="044BEAE1" w14:textId="5115DC71" w:rsidR="003301D0" w:rsidRPr="005E36EF" w:rsidRDefault="003301D0" w:rsidP="003301D0">
      <w:r w:rsidRPr="005E36EF">
        <w:t xml:space="preserve">Environ </w:t>
      </w:r>
      <w:r w:rsidR="00055E11" w:rsidRPr="005E36EF">
        <w:t>65</w:t>
      </w:r>
      <w:r w:rsidRPr="005E36EF">
        <w:t>% des pays comptaient des équipes nationales d'intervention en cas d'incident informatique (CIRT) en 2023, ce qui témoigne de l'amélioration de leur état de préparation en matière de cybersécurité, tandis que la même année, 83% disposaient de plans</w:t>
      </w:r>
      <w:r w:rsidRPr="005E36EF">
        <w:noBreakHyphen/>
        <w:t>cadres nationaux pour les télécommunications d'urgence. L'UIT est le coordonnateur principal pour la grande orientation C5 du SMSI, axée sur le renforcement de la confiance et de la sécurité dans l'utilisation des technologies.</w:t>
      </w:r>
    </w:p>
    <w:p w14:paraId="6F7E66FE" w14:textId="77777777" w:rsidR="003301D0" w:rsidRPr="005E36EF" w:rsidRDefault="003301D0" w:rsidP="003301D0">
      <w:pPr>
        <w:pStyle w:val="Headingi"/>
        <w:tabs>
          <w:tab w:val="clear" w:pos="567"/>
        </w:tabs>
        <w:ind w:left="0" w:firstLine="0"/>
      </w:pPr>
      <w:r w:rsidRPr="005E36EF">
        <w:t>Lutte contre les émissions de gaz à effet de serre et la production de déchets d'équipements électriques et électroniques (DEEE)</w:t>
      </w:r>
    </w:p>
    <w:p w14:paraId="5F421363" w14:textId="373F007D" w:rsidR="003301D0" w:rsidRPr="005E36EF" w:rsidRDefault="003301D0" w:rsidP="003301D0">
      <w:r w:rsidRPr="005E36EF">
        <w:t>Fer de lance des activités en faveur d'un environnement durable, l'UIT affecte ses ressources aux économies circulaires pour lutter contre les changements climatiques et la production de DEEE au moyen de solutions numériques</w:t>
      </w:r>
      <w:r w:rsidR="00CC5ABC" w:rsidRPr="005E36EF">
        <w:t>, et réduire l'empreinte carbone</w:t>
      </w:r>
      <w:r w:rsidRPr="005E36EF">
        <w:t xml:space="preserve">. Les normes de l'UIT liées au climat portent sur les méthodes de mesure, l'efficacité énergétique et la promotion d'une économie circulaire, destinées à faciliter le suivi des progrès accomplis en faveur de la neutralité carbone. </w:t>
      </w:r>
      <w:r w:rsidR="004727B8" w:rsidRPr="005E36EF">
        <w:t xml:space="preserve">Une norme essentielle sur les possibilités offertes par un passeport numérique mondial de produit durable pour parvenir à une économie circulaire a été approuvée et d'autres travaux sont </w:t>
      </w:r>
      <w:r w:rsidR="00743922" w:rsidRPr="005E36EF">
        <w:t>en cours</w:t>
      </w:r>
      <w:r w:rsidR="004727B8" w:rsidRPr="005E36EF">
        <w:t>.</w:t>
      </w:r>
    </w:p>
    <w:p w14:paraId="04EE9336" w14:textId="03C9F910" w:rsidR="003301D0" w:rsidRPr="005E36EF" w:rsidRDefault="003301D0" w:rsidP="003301D0">
      <w:pPr>
        <w:keepNext/>
        <w:keepLines/>
      </w:pPr>
      <w:r w:rsidRPr="005E36EF">
        <w:lastRenderedPageBreak/>
        <w:t xml:space="preserve">L'UIT </w:t>
      </w:r>
      <w:r w:rsidR="00736DCF" w:rsidRPr="005E36EF">
        <w:t xml:space="preserve">suit la situation de près et </w:t>
      </w:r>
      <w:r w:rsidRPr="005E36EF">
        <w:t xml:space="preserve">montre aux entreprises numériques comment réduire leurs émissions de gaz à effet de serre et faire du secteur un chef de file dans la lutte contre les changements climatiques. L'initiative dite de l'Action du secteur du numérique pour l'environnement à la conférence des Nations Unies sur le climat, la COP28, a favorisé </w:t>
      </w:r>
      <w:r w:rsidR="00EC7321" w:rsidRPr="005E36EF">
        <w:t>l'engagement du secteur en faveur de</w:t>
      </w:r>
      <w:r w:rsidRPr="005E36EF">
        <w:t xml:space="preserve"> la réduction des émissions et </w:t>
      </w:r>
      <w:r w:rsidR="00755E15" w:rsidRPr="005E36EF">
        <w:t xml:space="preserve">de </w:t>
      </w:r>
      <w:r w:rsidRPr="005E36EF">
        <w:t>la réglementation en matière de DEEE</w:t>
      </w:r>
      <w:r w:rsidR="00D361C2" w:rsidRPr="005E36EF">
        <w:t>,</w:t>
      </w:r>
      <w:r w:rsidR="00755E15" w:rsidRPr="005E36EF">
        <w:t xml:space="preserve"> mis en évidence </w:t>
      </w:r>
      <w:r w:rsidR="00137484" w:rsidRPr="005E36EF">
        <w:t xml:space="preserve">l'importance </w:t>
      </w:r>
      <w:r w:rsidR="00BE1BCD" w:rsidRPr="005E36EF">
        <w:t>du rôle des normes internationales dans cette transition et</w:t>
      </w:r>
      <w:r w:rsidR="00D361C2" w:rsidRPr="005E36EF">
        <w:t xml:space="preserve"> abouti à</w:t>
      </w:r>
      <w:r w:rsidR="00BE1BCD" w:rsidRPr="005E36EF">
        <w:t xml:space="preserve"> l'engagement de la Coopération mondiale en matière de normalisation</w:t>
      </w:r>
      <w:r w:rsidR="00E537C9" w:rsidRPr="005E36EF">
        <w:t>, qui réunit l'UIT, l'Organisation internationale de normalisation (ISO) et la Commission électrotechnique internationale (CEI),</w:t>
      </w:r>
      <w:r w:rsidR="00BE1BCD" w:rsidRPr="005E36EF">
        <w:t xml:space="preserve"> en faveur de l'intégration des principes de durabilité dès la conception</w:t>
      </w:r>
      <w:r w:rsidR="00137484" w:rsidRPr="005E36EF">
        <w:t xml:space="preserve"> </w:t>
      </w:r>
      <w:r w:rsidR="004C5165" w:rsidRPr="005E36EF">
        <w:t>dans le processus d'élaboration des normes.</w:t>
      </w:r>
    </w:p>
    <w:p w14:paraId="4F9234B7" w14:textId="51B7AB8B" w:rsidR="003301D0" w:rsidRPr="005E36EF" w:rsidRDefault="003301D0" w:rsidP="003301D0">
      <w:r w:rsidRPr="005E36EF">
        <w:t xml:space="preserve">Le taux de recyclage des DEEE à l'échelle mondiale a atteint 22,3% en </w:t>
      </w:r>
      <w:r w:rsidR="00407E94" w:rsidRPr="005E36EF">
        <w:t>2022</w:t>
      </w:r>
      <w:r w:rsidRPr="005E36EF">
        <w:t xml:space="preserve">, en deçà de la cible fixée à 30%. </w:t>
      </w:r>
      <w:r w:rsidR="006045E9" w:rsidRPr="005E36EF">
        <w:t>Le quatrième rapport "</w:t>
      </w:r>
      <w:hyperlink r:id="rId20" w:history="1">
        <w:r w:rsidR="006045E9" w:rsidRPr="005E36EF">
          <w:rPr>
            <w:rStyle w:val="Hyperlink"/>
          </w:rPr>
          <w:t>Global E-Waste Monitor</w:t>
        </w:r>
      </w:hyperlink>
      <w:r w:rsidR="006045E9" w:rsidRPr="005E36EF">
        <w:t>" anticipe une baisse du taux de collecte et de recyclage répertoriés, qui passera de 22,3% en 2022 à 20% d'ici à</w:t>
      </w:r>
      <w:r w:rsidR="0078193B" w:rsidRPr="005E36EF">
        <w:t> </w:t>
      </w:r>
      <w:r w:rsidR="006045E9" w:rsidRPr="005E36EF">
        <w:t xml:space="preserve">2030, en raison de l'écart croissant entre les efforts de recyclage et la croissance exponentielle de la production de ces déchets. </w:t>
      </w:r>
      <w:r w:rsidR="00753FBE" w:rsidRPr="005E36EF">
        <w:t>Dans le monde,</w:t>
      </w:r>
      <w:r w:rsidRPr="005E36EF">
        <w:t xml:space="preserve"> 81 pays </w:t>
      </w:r>
      <w:r w:rsidR="00753FBE" w:rsidRPr="005E36EF">
        <w:t xml:space="preserve">ont </w:t>
      </w:r>
      <w:r w:rsidRPr="005E36EF">
        <w:t xml:space="preserve">mis en place des politiques en la matière, avoisinant l'objectif de 97 pays. </w:t>
      </w:r>
      <w:r w:rsidR="006045E9" w:rsidRPr="005E36EF">
        <w:t xml:space="preserve">En ce qui concerne les cibles relatives à la réduction des émissions de GES, les </w:t>
      </w:r>
      <w:r w:rsidRPr="005E36EF">
        <w:t>émissions produites par les équipements de télécommunication se sont maintenues à 133 millions de tonnes de CO2.</w:t>
      </w:r>
    </w:p>
    <w:p w14:paraId="5FD44E34" w14:textId="77777777" w:rsidR="003301D0" w:rsidRPr="005E36EF" w:rsidRDefault="003301D0" w:rsidP="003301D0">
      <w:pPr>
        <w:pStyle w:val="Headingb"/>
      </w:pPr>
      <w:r w:rsidRPr="005E36EF">
        <w:t>Mobilisation et incidences à l'échelle internationale</w:t>
      </w:r>
    </w:p>
    <w:p w14:paraId="6EC91B19" w14:textId="77777777" w:rsidR="003301D0" w:rsidRPr="005E36EF" w:rsidRDefault="003301D0" w:rsidP="003301D0">
      <w:r w:rsidRPr="005E36EF">
        <w:t>Les partenariats stratégiques conclus par l'UIT stimulent les progrès accomplis dans la réalisation des ODD. L'Union dirige les travaux du Sommet sur l'intelligence artificielle au service du bien social, en transposant à une plus grande échelle les solutions fondées sur l'IA permettant d'atteindre les ODD.</w:t>
      </w:r>
    </w:p>
    <w:p w14:paraId="342171BD" w14:textId="77777777" w:rsidR="003301D0" w:rsidRPr="005E36EF" w:rsidRDefault="003301D0" w:rsidP="003301D0">
      <w:r w:rsidRPr="005E36EF">
        <w:t>L'UIT exploite au mieux les normes relatives à l'Internet des objets (IoT), aux jumeaux numériques et à l'intelligence artificielle, afin de faciliter le développement numérique durable, en particulier la croissance des villes intelligentes et durables partout dans le monde. Plus de 150 villes ont adopté des indicateurs fondamentaux de performance de l'initiative "Tous unis pour des villes intelligentes et durables" (U4SSC), dont les résultats transparaissent dans des rapports et des études de cas, au profit de l'urbanisation durable.</w:t>
      </w:r>
    </w:p>
    <w:p w14:paraId="0215299E" w14:textId="77777777" w:rsidR="003301D0" w:rsidRPr="005E36EF" w:rsidRDefault="003301D0" w:rsidP="003301D0">
      <w:r w:rsidRPr="005E36EF">
        <w:t>La Commission "Le large bande au service du développement durable", créée et maintenue par l'UIT et l'Organisation des Nations Unies pour l'éducation, la science et la culture (UNESCO), a rassemblé plus de 100 partenaires, procédant à des publications essentielles et organisant des activités de sensibilisation.</w:t>
      </w:r>
    </w:p>
    <w:p w14:paraId="00EA5098" w14:textId="2802F323" w:rsidR="003301D0" w:rsidRPr="005E36EF" w:rsidRDefault="003301D0" w:rsidP="003301D0">
      <w:r w:rsidRPr="005E36EF">
        <w:t>L'UIT travaille activement en partenariat avec diverses institutions du système des Nations Unies, notamment l'Organisation météorologique mondiale (OMM), le Programme des Nations Unies pour l'environnement (PNUE), l'Organisation des Nations Unies pour l'alimentation et l'agriculture (FAO) et l'Organisation mondiale de la santé (OMS), dans le cadre d'initiatives telles que celles portant sur l'IA au service de la gestion des catastrophes naturelles et l'agriculture numérique</w:t>
      </w:r>
      <w:r w:rsidR="00CA415B" w:rsidRPr="005E36EF">
        <w:t xml:space="preserve">, ainsi que le passage au tout numérique </w:t>
      </w:r>
      <w:r w:rsidR="00F40DB2" w:rsidRPr="005E36EF">
        <w:t>au service</w:t>
      </w:r>
      <w:r w:rsidR="00CA415B" w:rsidRPr="005E36EF">
        <w:t xml:space="preserve"> </w:t>
      </w:r>
      <w:r w:rsidR="00244D56" w:rsidRPr="005E36EF">
        <w:t>d'un développement économique circulaire</w:t>
      </w:r>
      <w:r w:rsidRPr="005E36EF">
        <w:t>. Il convient également de faire mention du kit pratique d'évaluation de la résilience en matière de cybersécurité pour la finance numérique confectionné par l'UIT et adopté par les organisations de télécommunication d'Afrique de l'Est et d'Afrique australe.</w:t>
      </w:r>
    </w:p>
    <w:p w14:paraId="3822818E" w14:textId="47C094FC" w:rsidR="003301D0" w:rsidRPr="005E36EF" w:rsidRDefault="003301D0" w:rsidP="003301D0">
      <w:r w:rsidRPr="005E36EF">
        <w:lastRenderedPageBreak/>
        <w:t xml:space="preserve">Les divers engagements pris par l'UIT traduisent sa volonté de concrétiser la connectivité mondiale, la durabilité et la transformation numérique. Les réunions de haut niveau telles que le Forum du SMSI (fondé depuis 20 ans sur les grandes orientations du Sommet mondial sur la société de l'information) et la multitude de séminaires approfondis organisés par l'UIT </w:t>
      </w:r>
      <w:r w:rsidR="00ED7F82" w:rsidRPr="005E36EF">
        <w:t>continuent de</w:t>
      </w:r>
      <w:r w:rsidR="00BB5183" w:rsidRPr="005E36EF">
        <w:t xml:space="preserve"> favoriser </w:t>
      </w:r>
      <w:r w:rsidRPr="005E36EF">
        <w:t xml:space="preserve">la collaboration et </w:t>
      </w:r>
      <w:r w:rsidR="009F2018" w:rsidRPr="005E36EF">
        <w:t>de traiter des</w:t>
      </w:r>
      <w:r w:rsidRPr="005E36EF">
        <w:t xml:space="preserve"> nouvelles tendances.</w:t>
      </w:r>
    </w:p>
    <w:p w14:paraId="1ED1071D" w14:textId="1FB60CAA" w:rsidR="003301D0" w:rsidRPr="005E36EF" w:rsidRDefault="003301D0" w:rsidP="003301D0">
      <w:r w:rsidRPr="005E36EF">
        <w:t xml:space="preserve">La Coopération mondiale en matière de normalisation, qui réunit l'UIT et d'autres organismes de normalisation de premier plan, </w:t>
      </w:r>
      <w:r w:rsidR="00684468" w:rsidRPr="005E36EF">
        <w:t xml:space="preserve">en particulier l'ISO et la CEI, a travaillé activement </w:t>
      </w:r>
      <w:r w:rsidR="00E223F9" w:rsidRPr="005E36EF">
        <w:t>pour faire progresser</w:t>
      </w:r>
      <w:r w:rsidR="00684468" w:rsidRPr="005E36EF">
        <w:t xml:space="preserve"> </w:t>
      </w:r>
      <w:r w:rsidRPr="005E36EF">
        <w:t xml:space="preserve">l'élaboration de normes internationales à caractère durable. </w:t>
      </w:r>
      <w:r w:rsidR="00DE42BF" w:rsidRPr="005E36EF">
        <w:t>Le</w:t>
      </w:r>
      <w:r w:rsidRPr="005E36EF">
        <w:t xml:space="preserve"> Journal de l'UIT sur les technologies futures et technologies en évolution </w:t>
      </w:r>
      <w:r w:rsidR="00DE42BF" w:rsidRPr="005E36EF">
        <w:t>continue d'étudier les</w:t>
      </w:r>
      <w:r w:rsidRPr="005E36EF">
        <w:t xml:space="preserve"> innovations en matière de technologies et de réseaux</w:t>
      </w:r>
      <w:r w:rsidR="00DE42BF" w:rsidRPr="005E36EF">
        <w:t xml:space="preserve">, </w:t>
      </w:r>
      <w:r w:rsidR="006B1700" w:rsidRPr="005E36EF">
        <w:t>dans le cadre</w:t>
      </w:r>
      <w:r w:rsidR="00DE42BF" w:rsidRPr="005E36EF">
        <w:t xml:space="preserve"> de nouveaux travaux de recherche, appuyant ainsi les travaux de normalisation technique menés par l'UIT</w:t>
      </w:r>
      <w:r w:rsidRPr="005E36EF">
        <w:t>.</w:t>
      </w:r>
    </w:p>
    <w:p w14:paraId="540AA4CC" w14:textId="77777777" w:rsidR="003301D0" w:rsidRPr="005E36EF" w:rsidRDefault="003301D0" w:rsidP="003301D0">
      <w:pPr>
        <w:pStyle w:val="Headingb"/>
      </w:pPr>
      <w:r w:rsidRPr="005E36EF">
        <w:t>Conférence mondiale des radiocommunications (CMR)</w:t>
      </w:r>
    </w:p>
    <w:p w14:paraId="376107F7" w14:textId="0B5CA221" w:rsidR="003301D0" w:rsidRPr="005E36EF" w:rsidRDefault="003301D0" w:rsidP="003301D0">
      <w:r w:rsidRPr="005E36EF">
        <w:t>La CMR-23 a produit d'importants résultats, notamment l'attribution de ressource spectrale additionnelle pour les communications à large bande, la modernisation du SMDSM, des dispositions permettant le passage au numérique en ce qui concerne les fréquences aéronautiques, une réglementation applicable aux services par satellite, un appui aux services scientifiques et une Résolution appuyant l'utilisation du spectre par la Palestine. La CMR-23 a eu lieu en présence de 3 982 participants issus de 163 États Membres et de 151 organisations ayant le statut d'observateur.</w:t>
      </w:r>
    </w:p>
    <w:p w14:paraId="207B711D" w14:textId="598645CB" w:rsidR="003301D0" w:rsidRPr="005E36EF" w:rsidRDefault="003301D0" w:rsidP="00601C1F">
      <w:pPr>
        <w:spacing w:after="240"/>
      </w:pPr>
      <w:r w:rsidRPr="005E36EF">
        <w:t>L'AR-23, qui s'est tenue juste avant, a établi les futurs programmes de travail de l'UIT-R, révisé des Résolutions, approuvé des Recommandations et encouragé l'égalité hommes</w:t>
      </w:r>
      <w:r w:rsidRPr="005E36EF">
        <w:noBreakHyphen/>
        <w:t>femmes et l'utilisation durable du spectre.</w:t>
      </w:r>
    </w:p>
    <w:tbl>
      <w:tblPr>
        <w:tblStyle w:val="TableGrid"/>
        <w:tblW w:w="0" w:type="auto"/>
        <w:tblLook w:val="04A0" w:firstRow="1" w:lastRow="0" w:firstColumn="1" w:lastColumn="0" w:noHBand="0" w:noVBand="1"/>
      </w:tblPr>
      <w:tblGrid>
        <w:gridCol w:w="9061"/>
      </w:tblGrid>
      <w:tr w:rsidR="00601C1F" w:rsidRPr="005E36EF" w14:paraId="63EB520A" w14:textId="77777777" w:rsidTr="00601C1F">
        <w:tc>
          <w:tcPr>
            <w:tcW w:w="9061" w:type="dxa"/>
          </w:tcPr>
          <w:p w14:paraId="26FFC3A6" w14:textId="77777777" w:rsidR="00601C1F" w:rsidRPr="005E36EF" w:rsidRDefault="00601C1F" w:rsidP="00601C1F">
            <w:pPr>
              <w:jc w:val="center"/>
              <w:rPr>
                <w:rFonts w:cstheme="minorHAnsi"/>
                <w:b/>
                <w:bCs/>
                <w:sz w:val="28"/>
                <w:szCs w:val="28"/>
              </w:rPr>
            </w:pPr>
            <w:r w:rsidRPr="005E36EF">
              <w:rPr>
                <w:b/>
                <w:bCs/>
                <w:sz w:val="28"/>
                <w:szCs w:val="28"/>
              </w:rPr>
              <w:t>Des résultats concrets</w:t>
            </w:r>
          </w:p>
          <w:p w14:paraId="3D0171D3" w14:textId="77777777" w:rsidR="00601C1F" w:rsidRPr="005E36EF" w:rsidRDefault="00601C1F" w:rsidP="00601C1F">
            <w:pPr>
              <w:rPr>
                <w:szCs w:val="24"/>
              </w:rPr>
            </w:pPr>
            <w:r w:rsidRPr="005E36EF">
              <w:rPr>
                <w:b/>
                <w:bCs/>
                <w:szCs w:val="24"/>
              </w:rPr>
              <w:t>Prix Emmy Award pour la norme sur la télévision à grande plage dynamique (TV-HDR)</w:t>
            </w:r>
          </w:p>
          <w:p w14:paraId="7B78802B" w14:textId="064CB054" w:rsidR="00601C1F" w:rsidRPr="005E36EF" w:rsidRDefault="00601C1F" w:rsidP="00601C1F">
            <w:r w:rsidRPr="005E36EF">
              <w:rPr>
                <w:rFonts w:cstheme="minorHAnsi"/>
              </w:rPr>
              <w:t>La télévision à grande plage dynamique (TV-HDR) a révolutionné la radiodiffusion et la production de programmes de télévision, précisément parce qu'elle influe sur l'ensemble de la chaîne de traitement des images, de la saisie des images à la postproduction et la correction des couleurs, et sur la façon dont les images sont affichées sur les téléviseurs compatibles. La Recommandation UIT-R qui décrit ces innovations (</w:t>
            </w:r>
            <w:hyperlink r:id="rId21" w:tgtFrame="_blank" w:history="1">
              <w:r w:rsidRPr="005E36EF">
                <w:rPr>
                  <w:rStyle w:val="Hyperlink"/>
                </w:rPr>
                <w:t>UIT-R BT.2100</w:t>
              </w:r>
            </w:hyperlink>
            <w:r w:rsidRPr="005E36EF">
              <w:rPr>
                <w:rFonts w:cstheme="minorHAnsi"/>
                <w:color w:val="2F2F2F"/>
              </w:rPr>
              <w:t>)</w:t>
            </w:r>
            <w:r w:rsidRPr="005E36EF">
              <w:rPr>
                <w:rFonts w:cstheme="minorHAnsi"/>
              </w:rPr>
              <w:t xml:space="preserve">, publiée pour la première fois en 2016, a été récompensée d'un prix Emmy Award en 2023. Ainsi, </w:t>
            </w:r>
            <w:r w:rsidRPr="005E36EF">
              <w:t>le prix reçu en 2023 dans la catégorie de l'ingénierie, des sciences et de la technologie pour récompenser la norme TV-HDR porte à six le nombre total de prix Emmy Awards décernés à l'UIT.</w:t>
            </w:r>
          </w:p>
          <w:p w14:paraId="497D3872" w14:textId="3B7E04A4" w:rsidR="00601C1F" w:rsidRPr="005E36EF" w:rsidRDefault="001A6AF2" w:rsidP="00601C1F">
            <w:pPr>
              <w:spacing w:after="120"/>
            </w:pPr>
            <w:hyperlink r:id="rId22" w:history="1">
              <w:r w:rsidR="00601C1F" w:rsidRPr="005E36EF">
                <w:rPr>
                  <w:rStyle w:val="Hyperlink"/>
                </w:rPr>
                <w:t>En savoir plus sur les travaux de l'UIT-R qui ont abouti à la norme TV-HDR</w:t>
              </w:r>
            </w:hyperlink>
            <w:r w:rsidR="00601C1F" w:rsidRPr="005E36EF">
              <w:t>.</w:t>
            </w:r>
          </w:p>
        </w:tc>
      </w:tr>
    </w:tbl>
    <w:p w14:paraId="3AAF2BF8" w14:textId="77777777" w:rsidR="003301D0" w:rsidRPr="005E36EF" w:rsidRDefault="003301D0" w:rsidP="00601C1F">
      <w:pPr>
        <w:pStyle w:val="Headingb"/>
        <w:spacing w:before="240"/>
      </w:pPr>
      <w:r w:rsidRPr="005E36EF">
        <w:t>Excellence institutionnelle</w:t>
      </w:r>
    </w:p>
    <w:p w14:paraId="6D36990A" w14:textId="674F8C89" w:rsidR="003301D0" w:rsidRPr="005E36EF" w:rsidRDefault="003301D0" w:rsidP="003301D0">
      <w:r w:rsidRPr="005E36EF">
        <w:t>L'UIT est en pleine mutation pour renforcer l'efficacité, l'innovation et l'inclusion dans l'ensemble de ses activités. La feuille de route complète sur la transformation, approuvée par le Conseil de l'UIT, prévoit la création d'une équipe chargée de la transformation.</w:t>
      </w:r>
    </w:p>
    <w:p w14:paraId="629A0D91" w14:textId="6274B2A3" w:rsidR="003301D0" w:rsidRPr="005E36EF" w:rsidRDefault="003301D0" w:rsidP="00B10DA4">
      <w:pPr>
        <w:keepNext/>
        <w:keepLines/>
      </w:pPr>
      <w:r w:rsidRPr="005E36EF">
        <w:lastRenderedPageBreak/>
        <w:t xml:space="preserve">L'organisation préconise un changement de la culture interne, un employé sur huit ayant été formé dans le cadre du programme "Acteurs du changement". Les laboratoires d'apprentissage permettent de doter le personnel d'une expérience pratique en matière de technologies émergentes, notamment </w:t>
      </w:r>
      <w:r w:rsidR="0002106C" w:rsidRPr="005E36EF">
        <w:t>les technologies quantiques et l'IA</w:t>
      </w:r>
      <w:r w:rsidRPr="005E36EF">
        <w:t>. La tenue régulière d'assemblées générales favorise la participation et la communication ouverte avec les dirigeants. La mise en place du Comité consultatif des jeunes de l'UIT donne à voir sous un jour nouveau la connectivité au niveau mondial.</w:t>
      </w:r>
    </w:p>
    <w:p w14:paraId="4B07541C" w14:textId="7272D6C4" w:rsidR="003301D0" w:rsidRPr="005E36EF" w:rsidRDefault="003301D0" w:rsidP="003301D0">
      <w:r w:rsidRPr="005E36EF">
        <w:t xml:space="preserve">Les réunions du Conseil sont axées sur l'exercice des responsabilités dans le contexte de la transformation, tandis que les séances d'information visent à tenir le personnel diplomatique informé des initiatives de l'UIT. </w:t>
      </w:r>
      <w:r w:rsidR="00AD1919" w:rsidRPr="005E36EF">
        <w:t>La série de manifestations "Démystifier le numérique" vise à présenter des exposés sur les principales technologies et les processus de coopération technique à un public</w:t>
      </w:r>
      <w:r w:rsidR="00420BDC" w:rsidRPr="005E36EF">
        <w:t xml:space="preserve"> composé essentiellement de néophytes. Ces manifestations r</w:t>
      </w:r>
      <w:r w:rsidR="0057415A" w:rsidRPr="005E36EF">
        <w:t>éunissent</w:t>
      </w:r>
      <w:r w:rsidR="00420BDC" w:rsidRPr="005E36EF">
        <w:t xml:space="preserve"> des fonctionnaires et des spécialistes de l'UIT ainsi que des membres du corps diplomatique, afin de faciliter une meilleure compréhension des tendances qui se font jour et d'encourager les discussions sur les effets qu'elles pourraient avoir.</w:t>
      </w:r>
      <w:r w:rsidR="00AD1919" w:rsidRPr="005E36EF">
        <w:t xml:space="preserve"> </w:t>
      </w:r>
      <w:r w:rsidRPr="005E36EF">
        <w:t>En outre, un kit pratique est mis à la disposition du personnel diplomatique nouvellement en poste pour comprendre les activités de l'UIT.</w:t>
      </w:r>
    </w:p>
    <w:p w14:paraId="453F75B5" w14:textId="0017C921" w:rsidR="00DD645B" w:rsidRPr="005E36EF" w:rsidRDefault="00DD645B" w:rsidP="003301D0">
      <w:pPr>
        <w:keepNext/>
        <w:keepLines/>
      </w:pPr>
      <w:r w:rsidRPr="005E36EF">
        <w:t>Une nouvelle stratégie de mobilisation des ressources vise à améliorer le financement à la faveur de partenaires.</w:t>
      </w:r>
    </w:p>
    <w:p w14:paraId="19E95EC3" w14:textId="545468A5" w:rsidR="00EE532A" w:rsidRPr="005E36EF" w:rsidRDefault="003301D0" w:rsidP="003301D0">
      <w:pPr>
        <w:keepNext/>
        <w:keepLines/>
      </w:pPr>
      <w:r w:rsidRPr="005E36EF">
        <w:t>L'UIT continue d'élaborer et de mettre en œuvre un système de gestion de l'environnement en vue d'améliorer en permanence son empreinte sur ce dernier. Conformément à l'édition 2023 du rapport "Du bleu au vert", les émissions de CO2 de l'UIT sont passées de 1 674 tonnes en 2021 à 1 969 tonnes en 2022, augmentation essentiellement due à une hausse du nombre de voyages autorisés après la fin de la pandémie de COVID-19.</w:t>
      </w:r>
    </w:p>
    <w:p w14:paraId="747B43E4" w14:textId="77777777" w:rsidR="003301D0" w:rsidRPr="005E36EF" w:rsidRDefault="003301D0" w:rsidP="003301D0">
      <w:r w:rsidRPr="005E36EF">
        <w:t>Les plans visant la modernisation du siège à Genève reflètent l'évolution institutionnelle constante de l'UIT, son état de préparation face à l'avenir et son engagement sans faille pour assurer une transformation numérique durable.</w:t>
      </w:r>
    </w:p>
    <w:p w14:paraId="37E87119" w14:textId="77777777" w:rsidR="003301D0" w:rsidRPr="005E36EF" w:rsidRDefault="003301D0" w:rsidP="003301D0">
      <w:pPr>
        <w:pStyle w:val="Headingb"/>
        <w:rPr>
          <w:sz w:val="28"/>
          <w:szCs w:val="22"/>
        </w:rPr>
      </w:pPr>
      <w:r w:rsidRPr="005E36EF">
        <w:rPr>
          <w:sz w:val="28"/>
          <w:szCs w:val="22"/>
        </w:rPr>
        <w:t>Relèverez-vous le défi?</w:t>
      </w:r>
    </w:p>
    <w:p w14:paraId="6B479BE1" w14:textId="1A7F3CD6" w:rsidR="003301D0" w:rsidRPr="005E36EF" w:rsidRDefault="003301D0" w:rsidP="003301D0">
      <w:r w:rsidRPr="005E36EF">
        <w:t>L'UIT se lance dans une période passionnante, avec un rôle clé à jouer dans des décisions à l'échelle mondiale qui seront décisives pour l'avenir de l'humanité et de la planète. Le prochain Sommet de l'avenir organisé par l'ONU, qui se tiendra en septembre 2024, comprend un volet numérique de premier plan, des discussions étant prévues afin de conclure le premier Plan numérique mondial. L'UIT est l'un des principaux acteurs dans ce contexte, compte tenu de son vaste éventail d'activités et de sa stratégie bien définie.</w:t>
      </w:r>
    </w:p>
    <w:p w14:paraId="3533F1BD" w14:textId="77777777" w:rsidR="003301D0" w:rsidRPr="005E36EF" w:rsidRDefault="003301D0" w:rsidP="003301D0">
      <w:pPr>
        <w:keepLines/>
      </w:pPr>
      <w:r w:rsidRPr="005E36EF">
        <w:t>La prochaine conférence statutaire de l'UIT, l'Assemblée mondiale de normalisation des télécommunications (AMNT-24), se tiendra du 15 au 24 octobre 2024 à New Delhi (Inde). Elle sera essentielle pour promouvoir des normes inclusives conformes au développement durable et à la lutte contre les changements climatiques. La polyvalence et la crédibilité des normes de l'UIT sont également un atout majeur alors que le volet "Action numérique verte" se poursuivra à la COP29.</w:t>
      </w:r>
    </w:p>
    <w:p w14:paraId="24CDA1D3" w14:textId="77777777" w:rsidR="003301D0" w:rsidRPr="005E36EF" w:rsidRDefault="003301D0" w:rsidP="003301D0">
      <w:r w:rsidRPr="005E36EF">
        <w:t>La communauté de l'UIT à l'échelle mondiale continue de rechercher de nouveaux membres et partenaires déterminés à connecter le monde, et bien plus encore.</w:t>
      </w:r>
    </w:p>
    <w:p w14:paraId="7FC5DE09" w14:textId="77777777" w:rsidR="003301D0" w:rsidRPr="005E36EF" w:rsidRDefault="003301D0" w:rsidP="00A761EF">
      <w:pPr>
        <w:keepNext/>
        <w:keepLines/>
      </w:pPr>
      <w:r w:rsidRPr="005E36EF">
        <w:lastRenderedPageBreak/>
        <w:t>Les quatre prochaines années poseront certainement de nouveaux défis, dont beaucoup ne sont pas encore prévisibles. Cependant, l'UIT, en tant qu'institution spécialisée des Nations Unies pour les technologies numériques, continuera d'avoir à cœur de connecter l'humanité tout entière et d'instaurer un avenir meilleur pour tous.</w:t>
      </w:r>
    </w:p>
    <w:p w14:paraId="64E3FCEC" w14:textId="26C7EF72" w:rsidR="003301D0" w:rsidRPr="005E36EF" w:rsidRDefault="003301D0" w:rsidP="007B5BBF">
      <w:pPr>
        <w:pStyle w:val="Heading1"/>
      </w:pPr>
      <w:bookmarkStart w:id="4" w:name="_Toc166500728"/>
      <w:r w:rsidRPr="005E36EF">
        <w:t>2</w:t>
      </w:r>
      <w:r w:rsidRPr="005E36EF">
        <w:tab/>
      </w:r>
      <w:r w:rsidR="00EB5772" w:rsidRPr="005E36EF">
        <w:t>Grandes conférences</w:t>
      </w:r>
      <w:r w:rsidR="006573BA" w:rsidRPr="005E36EF">
        <w:t xml:space="preserve"> statutaires tenues</w:t>
      </w:r>
      <w:r w:rsidR="00EB5772" w:rsidRPr="005E36EF">
        <w:t xml:space="preserve"> en 2023</w:t>
      </w:r>
      <w:bookmarkEnd w:id="4"/>
    </w:p>
    <w:p w14:paraId="196ADB1B" w14:textId="77777777" w:rsidR="003301D0" w:rsidRPr="005E36EF" w:rsidRDefault="003301D0" w:rsidP="007B5BBF">
      <w:pPr>
        <w:pStyle w:val="Heading2"/>
      </w:pPr>
      <w:bookmarkStart w:id="5" w:name="_Toc166500729"/>
      <w:r w:rsidRPr="005E36EF">
        <w:t>2.1</w:t>
      </w:r>
      <w:r w:rsidRPr="005E36EF">
        <w:tab/>
        <w:t>CMR-23</w:t>
      </w:r>
      <w:bookmarkEnd w:id="5"/>
    </w:p>
    <w:p w14:paraId="33644778" w14:textId="77777777" w:rsidR="003301D0" w:rsidRPr="005E36EF" w:rsidRDefault="003301D0" w:rsidP="007B5BBF">
      <w:pPr>
        <w:keepNext/>
        <w:keepLines/>
      </w:pPr>
      <w:r w:rsidRPr="005E36EF">
        <w:t>La Conférence mondiale des radiocommunications (CMR-23) a adopté des dispositions réglementaires fondamentales concernant les bandes de fréquences attribuées aux services de radiocommunication spatiaux, scientifiques et de Terre, qui s'appuient sur la dynamique créée par les travaux menés en permanence par l'UIT pour faire en sorte que la connectivité universelle et la transformation numérique durable deviennent une réalité.</w:t>
      </w:r>
    </w:p>
    <w:p w14:paraId="291683F6" w14:textId="77777777" w:rsidR="003301D0" w:rsidRPr="005E36EF" w:rsidRDefault="003301D0" w:rsidP="007B5BBF">
      <w:pPr>
        <w:keepNext/>
        <w:keepLines/>
      </w:pPr>
      <w:r w:rsidRPr="005E36EF">
        <w:t>Les États Membres de l'UIT ont approuvé une révision du Règlement des radiocommunications, qui recense de nouvelles ressources spectrales pour appuyer l'innovation technologique, étendre la connectivité dans le monde, renforcer l'accès aux ressources radioélectriques dans l'espace et leur utilisation équitable et améliorer la sécurité de la vie humaine en mer, dans les airs et sur terre. La Conférence s'est tenue à Dubaï (Émirats arabes unis) du 20 novembre au 15 décembre 2023. La CMR-23, conjointement avec l'AR-23 qui a eu lieu juste avant, a contribué à jeter des bases pour mettre le monde sur la voie d'un avenir numérique plus connecté, plus durable, plus équitable et plus inclusif pour tous.</w:t>
      </w:r>
    </w:p>
    <w:p w14:paraId="5FD14523" w14:textId="77777777" w:rsidR="003301D0" w:rsidRPr="005E36EF" w:rsidRDefault="003301D0" w:rsidP="003301D0">
      <w:r w:rsidRPr="005E36EF">
        <w:t>La CMR-23 a attiré au total 3 982 participants représentant 163 États Membres de l'UIT, dont 88 participants à un niveau ministériel, et 151 organisations ayant le statut d'observateur. Les femmes représentaient 22% de l'ensemble des délégués présents à la CMR-23, un chiffre en hausse par rapport aux 18% à la CMR-19 en 2019.</w:t>
      </w:r>
    </w:p>
    <w:p w14:paraId="7A564892" w14:textId="77777777" w:rsidR="003301D0" w:rsidRPr="005E36EF" w:rsidRDefault="003301D0" w:rsidP="003301D0">
      <w:pPr>
        <w:pStyle w:val="Headingb"/>
      </w:pPr>
      <w:r w:rsidRPr="005E36EF">
        <w:t>Principaux résultats de la CMR-23</w:t>
      </w:r>
    </w:p>
    <w:p w14:paraId="5B2B08B7" w14:textId="77777777" w:rsidR="003301D0" w:rsidRPr="005E36EF" w:rsidRDefault="003301D0" w:rsidP="003301D0">
      <w:r w:rsidRPr="005E36EF">
        <w:t>La CMR-23 a examiné plus de 30 questions se rapportant à l'attribution de bandes de fréquences et au partage de fréquences aux fins de l'utilisation efficace des ressources spectrales et orbitales. Les principaux résultats sont présentés ci-après:</w:t>
      </w:r>
    </w:p>
    <w:p w14:paraId="1CFA421A" w14:textId="77777777" w:rsidR="003301D0" w:rsidRPr="005E36EF" w:rsidRDefault="003301D0" w:rsidP="003301D0">
      <w:pPr>
        <w:pStyle w:val="Headingb"/>
      </w:pPr>
      <w:r w:rsidRPr="005E36EF">
        <w:t>Communications large bande fixes et mobiles</w:t>
      </w:r>
    </w:p>
    <w:p w14:paraId="47C6AF52" w14:textId="38626FA5" w:rsidR="003301D0" w:rsidRPr="005E36EF" w:rsidRDefault="003301D0" w:rsidP="003301D0">
      <w:r w:rsidRPr="005E36EF">
        <w:t xml:space="preserve">Au total, la CMR-23 a identifié 1 300 MHz supplémentaires pour les </w:t>
      </w:r>
      <w:r w:rsidR="00AC012E" w:rsidRPr="005E36EF">
        <w:t>Télécommunications mobiles internationales (</w:t>
      </w:r>
      <w:r w:rsidRPr="005E36EF">
        <w:t>IMT</w:t>
      </w:r>
      <w:r w:rsidR="00AC012E" w:rsidRPr="005E36EF">
        <w:t>)</w:t>
      </w:r>
      <w:r w:rsidRPr="005E36EF">
        <w:t xml:space="preserve"> et a élargi l'identification pour les IMT dans les gammes de fréquences entre 3 300 MHz et 10,5 GHz afin de répondre aux besoins de spectre pour ces systèmes dans les bandes moyennes à l'échelle mondiale. Les bandes de fréquences 3</w:t>
      </w:r>
      <w:r w:rsidR="00A761EF" w:rsidRPr="005E36EF">
        <w:t> </w:t>
      </w:r>
      <w:r w:rsidRPr="005E36EF">
        <w:t>300</w:t>
      </w:r>
      <w:r w:rsidR="00A761EF" w:rsidRPr="005E36EF">
        <w:noBreakHyphen/>
      </w:r>
      <w:r w:rsidRPr="005E36EF">
        <w:t>3</w:t>
      </w:r>
      <w:r w:rsidR="00A761EF" w:rsidRPr="005E36EF">
        <w:t> </w:t>
      </w:r>
      <w:r w:rsidRPr="005E36EF">
        <w:t>400 MHz, 3 600-3 800 MHz, 6 425</w:t>
      </w:r>
      <w:r w:rsidRPr="005E36EF">
        <w:noBreakHyphen/>
        <w:t>7 125 MHz et 10-10,5 GHz, ou des parties de ces bandes, sont identifiées pour les IMT à l'échelle régionale ou nationale, sous réserve du respect de certaines conditions pour assurer la protection des services existants, tels que le service de radiolocalisation ou le service fixe par satellite. Une certaine souplesse a été conservée pour pouvoir décider au niveau national ou régional de désigner la bande des 6</w:t>
      </w:r>
      <w:r w:rsidR="00A761EF" w:rsidRPr="005E36EF">
        <w:t> </w:t>
      </w:r>
      <w:r w:rsidRPr="005E36EF">
        <w:t xml:space="preserve">GHz pour les réseaux </w:t>
      </w:r>
      <w:r w:rsidR="0049529E" w:rsidRPr="005E36EF">
        <w:t>locaux hertziens (</w:t>
      </w:r>
      <w:r w:rsidRPr="005E36EF">
        <w:t>RLAN</w:t>
      </w:r>
      <w:r w:rsidR="0049529E" w:rsidRPr="005E36EF">
        <w:t>)</w:t>
      </w:r>
      <w:r w:rsidRPr="005E36EF">
        <w:t xml:space="preserve"> ou les IMT.</w:t>
      </w:r>
    </w:p>
    <w:p w14:paraId="2C40A865" w14:textId="77777777" w:rsidR="003301D0" w:rsidRPr="005E36EF" w:rsidRDefault="003301D0" w:rsidP="00A761EF">
      <w:pPr>
        <w:keepNext/>
        <w:keepLines/>
      </w:pPr>
      <w:r w:rsidRPr="005E36EF">
        <w:lastRenderedPageBreak/>
        <w:t>La CMR-23 a également attribué la bande 470-694 MHz au service mobile en Région 1 pour améliorer la connectivité dans les zones rurales et urbaines, à condition de ne pas nuire au service de radiodiffusion. La bande 614-694 MHz est identifiée pour les IMT dans certains pays de la Région 1.</w:t>
      </w:r>
    </w:p>
    <w:p w14:paraId="4788E8BB" w14:textId="77777777" w:rsidR="003301D0" w:rsidRPr="005E36EF" w:rsidRDefault="003301D0" w:rsidP="003301D0">
      <w:r w:rsidRPr="005E36EF">
        <w:t>En outre, la CMR-23 a notamment assigné les bandes de fréquences 1 710-1 980 MHz et 2 110-2 160 MHz pour les stations placées sur des plates-formes à haute altitude en tant que stations de base des Télécommunications mobiles internationales (HIBS) à l'échelle mondiale, ainsi que d'autres bandes de fréquences à l'échelle régionale, avec un total de 801 MHz de spectre. Cette assignation facilitera le développement des stations HIBS pour étendre la connectivité large bande et les télécommunications dans les communautés mal desservies, notamment les communications en vue du retour à la normale après une catastrophe.</w:t>
      </w:r>
    </w:p>
    <w:p w14:paraId="6A55370E" w14:textId="77777777" w:rsidR="003301D0" w:rsidRPr="005E36EF" w:rsidRDefault="003301D0" w:rsidP="003301D0">
      <w:pPr>
        <w:pStyle w:val="Headingb"/>
        <w:tabs>
          <w:tab w:val="clear" w:pos="567"/>
        </w:tabs>
        <w:ind w:left="0" w:firstLine="0"/>
      </w:pPr>
      <w:r w:rsidRPr="005E36EF">
        <w:t>Modernisation du SMDSM et fournisseur supplémentaire de services par satellite du SMDSM</w:t>
      </w:r>
    </w:p>
    <w:p w14:paraId="622E0E38" w14:textId="424F9DB7" w:rsidR="003301D0" w:rsidRPr="005E36EF" w:rsidRDefault="003301D0" w:rsidP="003301D0">
      <w:r w:rsidRPr="005E36EF">
        <w:t xml:space="preserve">La CMR-23 a intégré dans le Règlement des radiocommunications les résultats de la modernisation du Système mondial de détresse et de sécurité en mer (SMDSM), ce qui permet d'aligner le </w:t>
      </w:r>
      <w:r w:rsidR="00743296" w:rsidRPr="005E36EF">
        <w:t xml:space="preserve">Règlement des radiocommunications </w:t>
      </w:r>
      <w:r w:rsidRPr="005E36EF">
        <w:t xml:space="preserve">sur les décisions récentes de </w:t>
      </w:r>
      <w:r w:rsidR="003F2157" w:rsidRPr="005E36EF">
        <w:t xml:space="preserve">l'Organisation maritime internationale (OMI) </w:t>
      </w:r>
      <w:r w:rsidRPr="005E36EF">
        <w:t>et d'inclure plusieurs technologies émergentes. Le nouveau système de connexion automatique (ACS) assurera un accès fiable aux liaisons radioélectriques pour les marins. L'introduction du système numérique de données de navigation (NAVDAT) contribuera à fournir aux navires des alertes météorologiques et de navigation actualisées. L'utilisation des émetteurs AIS</w:t>
      </w:r>
      <w:r w:rsidRPr="005E36EF">
        <w:noBreakHyphen/>
        <w:t>SART (recherche et sauvetage – système d'identification automatique) facilitera la localisation des engins en détresse pour les besoins des opérations de sauvetage.</w:t>
      </w:r>
    </w:p>
    <w:p w14:paraId="1BE45708" w14:textId="77777777" w:rsidR="003301D0" w:rsidRPr="005E36EF" w:rsidRDefault="003301D0" w:rsidP="003301D0">
      <w:r w:rsidRPr="005E36EF">
        <w:t>La Conférence a reconnu provisoirement le système du service de messagerie par satellite BeiDou en vue de son utilisation dans le cadre du SMDSM, sous réserve que la coordination avec les réseaux existants et l'élimination des brouillages soient menées à bonne fin.</w:t>
      </w:r>
    </w:p>
    <w:p w14:paraId="21EB9BD5" w14:textId="77777777" w:rsidR="003301D0" w:rsidRPr="005E36EF" w:rsidRDefault="003301D0" w:rsidP="003301D0">
      <w:pPr>
        <w:rPr>
          <w:b/>
          <w:bCs/>
        </w:rPr>
      </w:pPr>
      <w:r w:rsidRPr="005E36EF">
        <w:rPr>
          <w:b/>
          <w:bCs/>
        </w:rPr>
        <w:t>Passage au numérique en ce qui concerne les fréquences aéronautiques dans la bande d'ondes décamétriques</w:t>
      </w:r>
    </w:p>
    <w:p w14:paraId="66C6109F" w14:textId="3D16AC6E" w:rsidR="003301D0" w:rsidRPr="005E36EF" w:rsidRDefault="003301D0" w:rsidP="003301D0">
      <w:r w:rsidRPr="005E36EF">
        <w:t>La CMR-23 a ajouté des dispositions dans le Plan de fréquences aéronautiques pour le service mobile aéronautique (R) dans les bandes d'ondes décamétriques figurant dans l'Appendice </w:t>
      </w:r>
      <w:r w:rsidRPr="005E36EF">
        <w:rPr>
          <w:b/>
          <w:bCs/>
        </w:rPr>
        <w:t>27</w:t>
      </w:r>
      <w:r w:rsidRPr="005E36EF">
        <w:t xml:space="preserve"> du </w:t>
      </w:r>
      <w:r w:rsidR="00F81F44" w:rsidRPr="005E36EF">
        <w:t>Règlement des radiocommunications</w:t>
      </w:r>
      <w:r w:rsidRPr="005E36EF">
        <w:t>, afin de permettre l'introduction de nouveaux systèmes numériques large bande en ondes décamétriques.</w:t>
      </w:r>
    </w:p>
    <w:p w14:paraId="57788039" w14:textId="77777777" w:rsidR="003301D0" w:rsidRPr="005E36EF" w:rsidRDefault="003301D0" w:rsidP="003301D0">
      <w:pPr>
        <w:keepNext/>
        <w:rPr>
          <w:b/>
          <w:bCs/>
        </w:rPr>
      </w:pPr>
      <w:r w:rsidRPr="005E36EF">
        <w:rPr>
          <w:b/>
          <w:bCs/>
        </w:rPr>
        <w:t>Spectre pour les applications aéronautiques non liées à la sécurité</w:t>
      </w:r>
    </w:p>
    <w:p w14:paraId="44DBEA17" w14:textId="77777777" w:rsidR="003301D0" w:rsidRPr="005E36EF" w:rsidRDefault="003301D0" w:rsidP="003301D0">
      <w:pPr>
        <w:keepLines/>
      </w:pPr>
      <w:r w:rsidRPr="005E36EF">
        <w:t>La CMR-23 a fait des attributions au service mobile aéronautique (OR) dans les bandes de fréquences 15,41-15,7 GHz à titre secondaire et 22-22,2 GHz à titre primaire dans la Région 1 et dans certains pays de la Région 3, sous réserve qu'aucun brouillage ne soit causé aux services existants.</w:t>
      </w:r>
    </w:p>
    <w:p w14:paraId="43B056F6" w14:textId="77777777" w:rsidR="003301D0" w:rsidRPr="005E36EF" w:rsidRDefault="003301D0" w:rsidP="003301D0">
      <w:pPr>
        <w:rPr>
          <w:b/>
          <w:bCs/>
        </w:rPr>
      </w:pPr>
      <w:r w:rsidRPr="005E36EF">
        <w:rPr>
          <w:b/>
          <w:bCs/>
        </w:rPr>
        <w:t>Services par satellite</w:t>
      </w:r>
    </w:p>
    <w:p w14:paraId="129E7544" w14:textId="77777777" w:rsidR="00A761EF" w:rsidRPr="005E36EF" w:rsidRDefault="003301D0" w:rsidP="003301D0">
      <w:r w:rsidRPr="005E36EF">
        <w:t xml:space="preserve">La CMR-23 a adopté les conditions réglementaires, opérationnelles et techniques dans lesquelles les stations terriennes en mouvement (ESIM) peuvent communiquer avec des stations spatiales géostationnaires (OSG) du service fixe par satellite dans la bande de </w:t>
      </w:r>
      <w:r w:rsidR="00A761EF" w:rsidRPr="005E36EF">
        <w:br w:type="page"/>
      </w:r>
    </w:p>
    <w:p w14:paraId="5F04F6B4" w14:textId="55F4278F" w:rsidR="003301D0" w:rsidRPr="005E36EF" w:rsidRDefault="003301D0" w:rsidP="003301D0">
      <w:r w:rsidRPr="005E36EF">
        <w:lastRenderedPageBreak/>
        <w:t>fréquences 12,75-13,25 GHz ou avec des systèmes à satellites non géostationnaires (non OSG) dans la gamme de fréquences des 30/20 GHz. Cette décision permettra d'accroître la largeur de bande disponible pour la connectivité des navires ou des avions.</w:t>
      </w:r>
    </w:p>
    <w:p w14:paraId="5C794156" w14:textId="6D04E22B" w:rsidR="003301D0" w:rsidRPr="005E36EF" w:rsidRDefault="003301D0" w:rsidP="003301D0">
      <w:r w:rsidRPr="005E36EF">
        <w:t xml:space="preserve">La CMR-23 a également mis au point un nouveau mécanisme permettant d'exploiter des liaisons inter-satellites dans la gamme de fréquences des </w:t>
      </w:r>
      <w:r w:rsidR="00A6508C" w:rsidRPr="005E36EF">
        <w:t>20-30</w:t>
      </w:r>
      <w:r w:rsidRPr="005E36EF">
        <w:t xml:space="preserve"> GHz, qui permettra de transférer plus rapidement les données recueillies par des capteurs scientifiques ou expérimentaux vers le sol.</w:t>
      </w:r>
    </w:p>
    <w:p w14:paraId="32CC7A4D" w14:textId="77777777" w:rsidR="003301D0" w:rsidRPr="005E36EF" w:rsidRDefault="003301D0" w:rsidP="00081994">
      <w:pPr>
        <w:keepNext/>
        <w:keepLines/>
      </w:pPr>
      <w:r w:rsidRPr="005E36EF">
        <w:t>La CMR-23 a affiné le cadre réglementaire concernant la mise en service et la méthode par étape pour le déploiement de constellations de satellites non OSG dans certaines bandes de fréquences et certains services. En particulier, la CMR-23 a adopté un ensemble de tolérances orbitales autour des valeurs notifiées et a approuvé un mécanisme postérieur aux étapes. Cette approche permettra de mieux vérifier l'exactitude du Fichier de référence international des fréquences par rapport au déploiement effectif de systèmes à satellites non OSG. En prenant ces décisions, la CMR-23 a renforcé l'équilibre trouvé par la CMR</w:t>
      </w:r>
      <w:r w:rsidRPr="005E36EF">
        <w:noBreakHyphen/>
        <w:t>19 entre la nécessité d'éviter toute mise en réserve de fréquences, d'assurer le bon fonctionnement des mécanismes de coordination, de notification et d'inscription, et de tenir compte des exigences opérationnelles liées au déploiement d'un système non géostationnaires.</w:t>
      </w:r>
    </w:p>
    <w:p w14:paraId="697CB1B0" w14:textId="6B7A7FC0" w:rsidR="003301D0" w:rsidRPr="005E36EF" w:rsidRDefault="003301D0" w:rsidP="003301D0">
      <w:r w:rsidRPr="005E36EF">
        <w:t xml:space="preserve">La CMR-23 a également adopté des mesures renforçant l'accès équitable aux ressources spectrales et orbitales, en garantissant la protection à long terme des </w:t>
      </w:r>
      <w:r w:rsidR="00A94CD4" w:rsidRPr="005E36EF">
        <w:t xml:space="preserve">utilisations </w:t>
      </w:r>
      <w:r w:rsidRPr="005E36EF">
        <w:t>planifiées</w:t>
      </w:r>
      <w:r w:rsidR="00A94CD4" w:rsidRPr="005E36EF">
        <w:t xml:space="preserve"> à l'échelle nationale</w:t>
      </w:r>
      <w:r w:rsidRPr="005E36EF">
        <w:t xml:space="preserve"> dans </w:t>
      </w:r>
      <w:r w:rsidR="008601BB" w:rsidRPr="005E36EF">
        <w:t>le service de radiodiffusion par satellite (SRS), les liaisons de connexion du SRS et le service fixe par satellite (SFS)</w:t>
      </w:r>
      <w:r w:rsidR="00C4395C" w:rsidRPr="005E36EF">
        <w:t>,</w:t>
      </w:r>
      <w:r w:rsidR="008601BB" w:rsidRPr="005E36EF">
        <w:t xml:space="preserve"> </w:t>
      </w:r>
      <w:r w:rsidRPr="005E36EF">
        <w:t xml:space="preserve">et en </w:t>
      </w:r>
      <w:r w:rsidR="00FD54BF" w:rsidRPr="005E36EF">
        <w:t>permettant à de</w:t>
      </w:r>
      <w:r w:rsidRPr="005E36EF">
        <w:t xml:space="preserve"> nouveaux pays ou des pays n'utilisant pas encore les Listes</w:t>
      </w:r>
      <w:r w:rsidR="00CC0CE2" w:rsidRPr="005E36EF">
        <w:t xml:space="preserve"> officielles de l'UIT-R</w:t>
      </w:r>
      <w:r w:rsidR="00FD54BF" w:rsidRPr="005E36EF">
        <w:t xml:space="preserve"> de consulter plus facilement les Appendices </w:t>
      </w:r>
      <w:r w:rsidR="00FD54BF" w:rsidRPr="005E36EF">
        <w:rPr>
          <w:b/>
          <w:bCs/>
        </w:rPr>
        <w:t>30</w:t>
      </w:r>
      <w:r w:rsidR="00FD54BF" w:rsidRPr="005E36EF">
        <w:t xml:space="preserve">, </w:t>
      </w:r>
      <w:r w:rsidR="00FD54BF" w:rsidRPr="005E36EF">
        <w:rPr>
          <w:b/>
          <w:bCs/>
        </w:rPr>
        <w:t xml:space="preserve">30A </w:t>
      </w:r>
      <w:r w:rsidR="00FD54BF" w:rsidRPr="005E36EF">
        <w:t xml:space="preserve">et </w:t>
      </w:r>
      <w:r w:rsidR="00FD54BF" w:rsidRPr="005E36EF">
        <w:rPr>
          <w:b/>
          <w:bCs/>
        </w:rPr>
        <w:t>30B</w:t>
      </w:r>
      <w:r w:rsidRPr="005E36EF">
        <w:t>. Dans le même ordre d'idées, la CMR-23 a décidé de remplacer les ressources planifiées du SRS pour 41 pays qui avaient précédemment des ressources dégradées dans le Plan pour le SRS ou dans le Plan des liaisons de connexion du SRS et a décidé d'inclure dans les Plans pour le SFS de nouveaux allotissements nationaux pour neuf pays.</w:t>
      </w:r>
    </w:p>
    <w:p w14:paraId="6FB9A558" w14:textId="77777777" w:rsidR="003301D0" w:rsidRPr="005E36EF" w:rsidRDefault="003301D0" w:rsidP="003301D0">
      <w:pPr>
        <w:rPr>
          <w:b/>
          <w:bCs/>
        </w:rPr>
      </w:pPr>
      <w:r w:rsidRPr="005E36EF">
        <w:rPr>
          <w:b/>
          <w:bCs/>
        </w:rPr>
        <w:t>Appui aux services scientifiques</w:t>
      </w:r>
    </w:p>
    <w:p w14:paraId="40091D33" w14:textId="6047300F" w:rsidR="003301D0" w:rsidRPr="005E36EF" w:rsidRDefault="003301D0" w:rsidP="003301D0">
      <w:r w:rsidRPr="005E36EF">
        <w:t xml:space="preserve">La CMR-23 a attribué la bande de fréquences 40-50 MHz pour les capteurs du </w:t>
      </w:r>
      <w:r w:rsidR="00797926" w:rsidRPr="005E36EF">
        <w:t>s</w:t>
      </w:r>
      <w:r w:rsidR="005A1C2D" w:rsidRPr="005E36EF">
        <w:t>ervice d'exploration de la Terre par satellite (</w:t>
      </w:r>
      <w:r w:rsidRPr="005E36EF">
        <w:t>SETS</w:t>
      </w:r>
      <w:r w:rsidR="005A1C2D" w:rsidRPr="005E36EF">
        <w:t>)</w:t>
      </w:r>
      <w:r w:rsidRPr="005E36EF">
        <w:t xml:space="preserve"> (active) afin d'améliorer les capacités d'observation de l'épaisseur de glace dans les régions polaires.</w:t>
      </w:r>
    </w:p>
    <w:p w14:paraId="38B20DA9" w14:textId="77777777" w:rsidR="003301D0" w:rsidRPr="005E36EF" w:rsidRDefault="003301D0" w:rsidP="003301D0">
      <w:r w:rsidRPr="005E36EF">
        <w:t>La CMR-23 a procédé au relèvement au statut primaire de l'attribution au service de recherche spatiale dans la bande de fréquences 14,8-15,35 GHz, afin d'améliorer le statut réglementaire des systèmes à satellites relais de données utilisant cette bande de fréquences.</w:t>
      </w:r>
    </w:p>
    <w:p w14:paraId="21C2E7F6" w14:textId="77777777" w:rsidR="003301D0" w:rsidRPr="005E36EF" w:rsidRDefault="003301D0" w:rsidP="003301D0">
      <w:r w:rsidRPr="005E36EF">
        <w:t>La CMR-23 a réorganisé les attributions au SETS (passive) dans la gamme de fréquences 231,5</w:t>
      </w:r>
      <w:r w:rsidRPr="005E36EF">
        <w:noBreakHyphen/>
        <w:t>252 GHz pour s'assurer qu'elles correspondent aux besoins les plus récents en matière d'observation des systèmes de télédétection. Cette réorganisation a supposé la modification en conséquence des attributions aux services fixe et mobile.</w:t>
      </w:r>
    </w:p>
    <w:p w14:paraId="4D497A7E" w14:textId="77777777" w:rsidR="003301D0" w:rsidRPr="005E36EF" w:rsidRDefault="003301D0" w:rsidP="00797926">
      <w:pPr>
        <w:keepNext/>
        <w:keepLines/>
      </w:pPr>
      <w:r w:rsidRPr="005E36EF">
        <w:lastRenderedPageBreak/>
        <w:t>Concernant la météorologie spatiale, la CMR-23 a conclu que les capteurs de météorologie spatiale peuvent fonctionner dans le cadre du service des auxiliaires de la météorologie, dans les attributions spécifiques au sous-ensemble du service MetAids (météorologie spatiale). Les études se poursuivront jusqu'à la CMR-27 en vue de définir les bandes de fréquences appropriées pour ces attributions.</w:t>
      </w:r>
    </w:p>
    <w:p w14:paraId="16ED2179" w14:textId="77777777" w:rsidR="003301D0" w:rsidRPr="005E36EF" w:rsidRDefault="003301D0" w:rsidP="003301D0">
      <w:r w:rsidRPr="005E36EF">
        <w:t>Enfin, la CMR-23 a adopté une limite de densité de p.i.r.e. par station spatiale non OSG visant à protéger les capteurs du SETS (passive) dans la bande de fréquences 36-37 GHz vis</w:t>
      </w:r>
      <w:r w:rsidRPr="005E36EF">
        <w:noBreakHyphen/>
        <w:t>à</w:t>
      </w:r>
      <w:r w:rsidRPr="005E36EF">
        <w:noBreakHyphen/>
        <w:t>vis des systèmes du SFS non OSG fonctionnant dans la bande de fréquences 37,5</w:t>
      </w:r>
      <w:r w:rsidRPr="005E36EF">
        <w:noBreakHyphen/>
        <w:t>38 GHz.</w:t>
      </w:r>
    </w:p>
    <w:p w14:paraId="2229CF70" w14:textId="77777777" w:rsidR="003301D0" w:rsidRPr="005E36EF" w:rsidRDefault="003301D0" w:rsidP="003301D0">
      <w:pPr>
        <w:rPr>
          <w:b/>
          <w:bCs/>
        </w:rPr>
      </w:pPr>
      <w:r w:rsidRPr="005E36EF">
        <w:rPr>
          <w:b/>
          <w:bCs/>
        </w:rPr>
        <w:t>Palestine</w:t>
      </w:r>
    </w:p>
    <w:p w14:paraId="3907C32B" w14:textId="77777777" w:rsidR="003301D0" w:rsidRPr="005E36EF" w:rsidRDefault="003301D0" w:rsidP="003301D0">
      <w:r w:rsidRPr="005E36EF">
        <w:t>La CMR-23 a pris des mesures dans le cadre de la Résolution 12 (Rév.CMR-23) pour garantir une assistance et un appui continus, en vue de permettre à la Palestine de gérer et d'exploiter ses ressources en termes de fréquences radioélectriques; de moderniser ses réseaux de télécommunication, notamment en construisant et en exploitant des réseaux 4G et 5G; d'obtenir et de gérer les fréquences nécessaires pour les liaisons hyperfréquences, que l'on considère comme indispensables au fonctionnement des services 4G et 5G; d'étendre, d'installer, de posséder, de gérer et d'exploiter des réseaux de télécommunication large bande à fibres optiques (et des liaisons à fibres optiques) entre les gouvernorats et les grandes villes, pour garantir une transformation numérique plus robuste; d'obtenir des fréquences en ondes métriques et décimétriques pour les services de télécommunication fixes et mobiles; et d'obtenir des fréquences MF pour le service de radiodiffusion.</w:t>
      </w:r>
    </w:p>
    <w:p w14:paraId="79D72D65" w14:textId="77777777" w:rsidR="003301D0" w:rsidRPr="005E36EF" w:rsidRDefault="003301D0" w:rsidP="003301D0">
      <w:r w:rsidRPr="005E36EF">
        <w:t>En outre, la version révisée de la Résolution prie instamment les parties concernées de faciliter l'importation et le déploiement d'équipements pour la mise en œuvre de l'accord signé le 27 décembre 2022, en ce qui concerne l'exploitation des services 4G et 5G, et de permettre à la Palestine d'établir ses propres réseaux passerelles internationaux, y compris des stations terriennes par satellite, des câbles sous-marins ainsi que des systèmes à fibres optiques (et hyperfréquences), conformément à l'Accord intérimaire.</w:t>
      </w:r>
    </w:p>
    <w:p w14:paraId="4EF587A8" w14:textId="77777777" w:rsidR="003301D0" w:rsidRPr="005E36EF" w:rsidRDefault="003301D0" w:rsidP="003301D0">
      <w:pPr>
        <w:pStyle w:val="Heading2"/>
      </w:pPr>
      <w:bookmarkStart w:id="6" w:name="_Toc166500730"/>
      <w:r w:rsidRPr="005E36EF">
        <w:t>2.2</w:t>
      </w:r>
      <w:r w:rsidRPr="005E36EF">
        <w:tab/>
        <w:t>AR-23</w:t>
      </w:r>
      <w:bookmarkEnd w:id="6"/>
    </w:p>
    <w:p w14:paraId="3C621D8F" w14:textId="77777777" w:rsidR="003301D0" w:rsidRPr="005E36EF" w:rsidRDefault="003301D0" w:rsidP="003301D0">
      <w:r w:rsidRPr="005E36EF">
        <w:t>L'AR-23 s'est tenue en présence de 566 participants représentant 95 Administrations et 41 Membres de Secteur, 1 établissement universitaire et 2 institutions spécialisées des Nations Unies. L'AR-23, qui fixe les orientations futures dans le domaine des systèmes de radiocommunication et des technologies de l'information et de la communication, a établi les programmes de travail futurs de l'UIT-R et approuvé un ensemble de Recommandations et de Résolutions de l'UIT-R qui auront des incidences à l'échelle mondiale sur les technologies de radiocommunication de demain.</w:t>
      </w:r>
    </w:p>
    <w:p w14:paraId="1B14D583" w14:textId="77777777" w:rsidR="003301D0" w:rsidRPr="005E36EF" w:rsidRDefault="003301D0" w:rsidP="003301D0">
      <w:pPr>
        <w:pStyle w:val="Headingb"/>
      </w:pPr>
      <w:r w:rsidRPr="005E36EF">
        <w:t>Principaux résultats de l'AR-23</w:t>
      </w:r>
    </w:p>
    <w:p w14:paraId="094FBEE9" w14:textId="77777777" w:rsidR="003301D0" w:rsidRPr="005E36EF" w:rsidRDefault="003301D0" w:rsidP="003301D0">
      <w:r w:rsidRPr="005E36EF">
        <w:t>Au total, l'AR-23 a révisé 26 Résolutions de l'UIT-R, notamment:</w:t>
      </w:r>
    </w:p>
    <w:p w14:paraId="6A6853BD" w14:textId="774AEDDA" w:rsidR="00EA4C7F" w:rsidRPr="005E36EF" w:rsidRDefault="001660AB" w:rsidP="00EA4C7F">
      <w:pPr>
        <w:pStyle w:val="enumlev1"/>
      </w:pPr>
      <w:r w:rsidRPr="005E36EF">
        <w:t>•</w:t>
      </w:r>
      <w:r w:rsidR="00EA4C7F" w:rsidRPr="005E36EF">
        <w:tab/>
        <w:t xml:space="preserve">La </w:t>
      </w:r>
      <w:hyperlink r:id="rId23" w:history="1">
        <w:r w:rsidR="00EA4C7F" w:rsidRPr="005E36EF">
          <w:rPr>
            <w:rStyle w:val="Hyperlink"/>
            <w:b/>
            <w:bCs/>
          </w:rPr>
          <w:t>Résolution</w:t>
        </w:r>
        <w:r w:rsidR="008762A3" w:rsidRPr="005E36EF">
          <w:rPr>
            <w:rStyle w:val="Hyperlink"/>
            <w:b/>
            <w:bCs/>
          </w:rPr>
          <w:t xml:space="preserve"> UIT-R</w:t>
        </w:r>
        <w:r w:rsidR="00EA4C7F" w:rsidRPr="005E36EF">
          <w:rPr>
            <w:rStyle w:val="Hyperlink"/>
            <w:b/>
            <w:bCs/>
          </w:rPr>
          <w:t xml:space="preserve"> 1</w:t>
        </w:r>
      </w:hyperlink>
      <w:r w:rsidR="00EA4C7F" w:rsidRPr="005E36EF">
        <w:t>, intitulée "Méthodes de travail de l'Assemblée des radiocommunications, des commissions d'études des radiocommunications, du Groupe consultatif des radiocommunications et d'autres groupes du Secteur des radiocommunications", a été révisée.</w:t>
      </w:r>
    </w:p>
    <w:p w14:paraId="3F615D51" w14:textId="0CA6740D" w:rsidR="00EA4C7F" w:rsidRPr="005E36EF" w:rsidRDefault="001660AB" w:rsidP="00EA4C7F">
      <w:pPr>
        <w:pStyle w:val="enumlev1"/>
      </w:pPr>
      <w:r w:rsidRPr="005E36EF">
        <w:t>•</w:t>
      </w:r>
      <w:r w:rsidR="00EA4C7F" w:rsidRPr="005E36EF">
        <w:tab/>
        <w:t xml:space="preserve">La structure des </w:t>
      </w:r>
      <w:r w:rsidR="00867BF5" w:rsidRPr="005E36EF">
        <w:t>C</w:t>
      </w:r>
      <w:r w:rsidR="00EA4C7F" w:rsidRPr="005E36EF">
        <w:t>ommissions d'études de l'UIT-R a été maintenue.</w:t>
      </w:r>
    </w:p>
    <w:p w14:paraId="1545B63C" w14:textId="7AFDF115" w:rsidR="00EA4C7F" w:rsidRPr="005E36EF" w:rsidRDefault="001660AB" w:rsidP="00EA4C7F">
      <w:pPr>
        <w:pStyle w:val="enumlev1"/>
      </w:pPr>
      <w:r w:rsidRPr="005E36EF">
        <w:lastRenderedPageBreak/>
        <w:t>•</w:t>
      </w:r>
      <w:r w:rsidR="00EA4C7F" w:rsidRPr="005E36EF">
        <w:tab/>
        <w:t xml:space="preserve">L'AR-23 a approuvé le programme de travail et les Questions des commissions d'études des radiocommunications (voir la </w:t>
      </w:r>
      <w:hyperlink r:id="rId24" w:history="1">
        <w:r w:rsidR="00EA4C7F" w:rsidRPr="005E36EF">
          <w:rPr>
            <w:rStyle w:val="Hyperlink"/>
            <w:b/>
            <w:bCs/>
          </w:rPr>
          <w:t>Résolution UIT-R 5</w:t>
        </w:r>
      </w:hyperlink>
      <w:r w:rsidR="00EA4C7F" w:rsidRPr="005E36EF">
        <w:t>) ainsi que quatre</w:t>
      </w:r>
      <w:r w:rsidR="008762A3" w:rsidRPr="005E36EF">
        <w:t> </w:t>
      </w:r>
      <w:r w:rsidR="00EA4C7F" w:rsidRPr="005E36EF">
        <w:t>Recommandations UIT-R.</w:t>
      </w:r>
    </w:p>
    <w:p w14:paraId="2E6CCC0D" w14:textId="314D41C0" w:rsidR="00EA4C7F" w:rsidRPr="005E36EF" w:rsidRDefault="001660AB" w:rsidP="00EA4C7F">
      <w:pPr>
        <w:pStyle w:val="enumlev1"/>
      </w:pPr>
      <w:r w:rsidRPr="005E36EF">
        <w:t>•</w:t>
      </w:r>
      <w:r w:rsidR="00EA4C7F" w:rsidRPr="005E36EF">
        <w:tab/>
        <w:t xml:space="preserve">La </w:t>
      </w:r>
      <w:hyperlink r:id="rId25" w:history="1">
        <w:r w:rsidR="00EA4C7F" w:rsidRPr="005E36EF">
          <w:rPr>
            <w:rStyle w:val="Hyperlink"/>
            <w:b/>
            <w:bCs/>
          </w:rPr>
          <w:t xml:space="preserve">Résolution </w:t>
        </w:r>
        <w:r w:rsidR="008762A3" w:rsidRPr="005E36EF">
          <w:rPr>
            <w:rStyle w:val="Hyperlink"/>
            <w:b/>
            <w:bCs/>
          </w:rPr>
          <w:t xml:space="preserve">UIT-R </w:t>
        </w:r>
        <w:r w:rsidR="00EA4C7F" w:rsidRPr="005E36EF">
          <w:rPr>
            <w:rStyle w:val="Hyperlink"/>
            <w:b/>
            <w:bCs/>
          </w:rPr>
          <w:t>56</w:t>
        </w:r>
      </w:hyperlink>
      <w:r w:rsidR="00EA4C7F" w:rsidRPr="005E36EF">
        <w:t>, intitulée "Appellations pour les Télécommunications mobiles internationales" a également été largement modifiée afin d'inclure le terme "IMT</w:t>
      </w:r>
      <w:r w:rsidR="008762A3" w:rsidRPr="005E36EF">
        <w:noBreakHyphen/>
      </w:r>
      <w:r w:rsidR="00EA4C7F" w:rsidRPr="005E36EF">
        <w:t>2030", ainsi qu'une référence à la Recommandation UIT-R M.2160 qui décrit le cadre et les objectifs généraux du développement futur des "IMT à l'horizon 2030 et au</w:t>
      </w:r>
      <w:r w:rsidR="008762A3" w:rsidRPr="005E36EF">
        <w:noBreakHyphen/>
      </w:r>
      <w:r w:rsidR="00EA4C7F" w:rsidRPr="005E36EF">
        <w:t>delà".</w:t>
      </w:r>
    </w:p>
    <w:p w14:paraId="1EDCE7AA" w14:textId="621FD9F1" w:rsidR="00EA4C7F" w:rsidRPr="005E36EF" w:rsidRDefault="001660AB" w:rsidP="00EA4C7F">
      <w:pPr>
        <w:pStyle w:val="enumlev1"/>
      </w:pPr>
      <w:r w:rsidRPr="005E36EF">
        <w:t>•</w:t>
      </w:r>
      <w:r w:rsidR="00EA4C7F" w:rsidRPr="005E36EF">
        <w:tab/>
        <w:t xml:space="preserve">La </w:t>
      </w:r>
      <w:hyperlink r:id="rId26" w:history="1">
        <w:r w:rsidR="00EA4C7F" w:rsidRPr="005E36EF">
          <w:rPr>
            <w:rStyle w:val="Hyperlink"/>
            <w:b/>
            <w:bCs/>
          </w:rPr>
          <w:t xml:space="preserve">Résolution </w:t>
        </w:r>
        <w:r w:rsidR="008762A3" w:rsidRPr="005E36EF">
          <w:rPr>
            <w:rStyle w:val="Hyperlink"/>
            <w:b/>
            <w:bCs/>
          </w:rPr>
          <w:t xml:space="preserve">UIT-R </w:t>
        </w:r>
        <w:r w:rsidR="00EA4C7F" w:rsidRPr="005E36EF">
          <w:rPr>
            <w:rStyle w:val="Hyperlink"/>
            <w:b/>
            <w:bCs/>
          </w:rPr>
          <w:t>65</w:t>
        </w:r>
      </w:hyperlink>
      <w:r w:rsidR="008762A3" w:rsidRPr="005E36EF">
        <w:t>,</w:t>
      </w:r>
      <w:r w:rsidR="00EA4C7F" w:rsidRPr="005E36EF">
        <w:t xml:space="preserve"> intitulée "Principes applicables au processus de développement futur des IMT-2020 et des IMT-2030" a également été révisée pour inclure les mêmes concepts que dans la Résolution 56 de l'UIT-R.</w:t>
      </w:r>
    </w:p>
    <w:p w14:paraId="1BB02F8A" w14:textId="77777777" w:rsidR="00EA4C7F" w:rsidRPr="005E36EF" w:rsidRDefault="00EA4C7F" w:rsidP="00EA4C7F">
      <w:pPr>
        <w:keepNext/>
        <w:keepLines/>
      </w:pPr>
      <w:r w:rsidRPr="005E36EF">
        <w:t>En outre, quatre nouvelles Résolutions UIT-R ont été approuvées:</w:t>
      </w:r>
    </w:p>
    <w:p w14:paraId="511C7F3F" w14:textId="76F0ED96" w:rsidR="00EA4C7F" w:rsidRPr="005E36EF" w:rsidRDefault="001660AB" w:rsidP="00EA4C7F">
      <w:pPr>
        <w:pStyle w:val="enumlev1"/>
        <w:keepNext/>
        <w:keepLines/>
      </w:pPr>
      <w:r w:rsidRPr="005E36EF">
        <w:t>•</w:t>
      </w:r>
      <w:r w:rsidR="00EA4C7F" w:rsidRPr="005E36EF">
        <w:tab/>
      </w:r>
      <w:hyperlink r:id="rId27" w:history="1">
        <w:r w:rsidR="00EA4C7F" w:rsidRPr="005E36EF">
          <w:rPr>
            <w:rStyle w:val="Hyperlink"/>
            <w:b/>
            <w:bCs/>
          </w:rPr>
          <w:t>Résolution UIT-R 72</w:t>
        </w:r>
      </w:hyperlink>
      <w:r w:rsidR="00EA4C7F" w:rsidRPr="005E36EF">
        <w:t xml:space="preserve"> – Promotion de l'égalité et de l'équité hommes-femmes et réduction de l'écart entre les hommes et les femmes en ce qui concerne la contribution et la participation aux activités de l'UIT-R.</w:t>
      </w:r>
    </w:p>
    <w:p w14:paraId="4D4A83FB" w14:textId="0886F895" w:rsidR="00EA4C7F" w:rsidRPr="005E36EF" w:rsidRDefault="001660AB" w:rsidP="00EA4C7F">
      <w:pPr>
        <w:pStyle w:val="enumlev1"/>
      </w:pPr>
      <w:r w:rsidRPr="005E36EF">
        <w:t>•</w:t>
      </w:r>
      <w:r w:rsidR="00EA4C7F" w:rsidRPr="005E36EF">
        <w:tab/>
      </w:r>
      <w:hyperlink r:id="rId28" w:history="1">
        <w:r w:rsidR="00EA4C7F" w:rsidRPr="005E36EF">
          <w:rPr>
            <w:rStyle w:val="Hyperlink"/>
            <w:b/>
            <w:bCs/>
          </w:rPr>
          <w:t>Résolution U</w:t>
        </w:r>
        <w:r w:rsidR="00867BF5" w:rsidRPr="005E36EF">
          <w:rPr>
            <w:rStyle w:val="Hyperlink"/>
            <w:b/>
            <w:bCs/>
          </w:rPr>
          <w:t>IT</w:t>
        </w:r>
        <w:r w:rsidR="00EA4C7F" w:rsidRPr="005E36EF">
          <w:rPr>
            <w:rStyle w:val="Hyperlink"/>
            <w:b/>
            <w:bCs/>
          </w:rPr>
          <w:t>-R 73</w:t>
        </w:r>
      </w:hyperlink>
      <w:r w:rsidR="00EA4C7F" w:rsidRPr="005E36EF">
        <w:t xml:space="preserve"> – Utilisation des technologies des Télécommunications mobiles internationales pour le large bande hertzien fixe dans les bandes de fréquences attribuées au service fixe à titre primaire.</w:t>
      </w:r>
    </w:p>
    <w:p w14:paraId="3EB603D5" w14:textId="0B53F3D3" w:rsidR="00EA4C7F" w:rsidRPr="005E36EF" w:rsidRDefault="001660AB" w:rsidP="00EA4C7F">
      <w:pPr>
        <w:pStyle w:val="enumlev1"/>
      </w:pPr>
      <w:r w:rsidRPr="005E36EF">
        <w:t>•</w:t>
      </w:r>
      <w:r w:rsidR="00EA4C7F" w:rsidRPr="005E36EF">
        <w:tab/>
      </w:r>
      <w:hyperlink r:id="rId29" w:history="1">
        <w:r w:rsidR="00EA4C7F" w:rsidRPr="005E36EF">
          <w:rPr>
            <w:rStyle w:val="Hyperlink"/>
            <w:b/>
            <w:bCs/>
          </w:rPr>
          <w:t>Résolution UIT-R 74</w:t>
        </w:r>
      </w:hyperlink>
      <w:r w:rsidR="00EA4C7F" w:rsidRPr="005E36EF">
        <w:t xml:space="preserve"> – Activités relatives à l'utilisation durable des ressources que sont le spectre des fréquences radioélectriques et les orbites de satellites associées utilisées par les services spatiaux.</w:t>
      </w:r>
    </w:p>
    <w:p w14:paraId="67BDDF70" w14:textId="184D987E" w:rsidR="00EA4C7F" w:rsidRPr="005E36EF" w:rsidRDefault="001660AB" w:rsidP="00EA4C7F">
      <w:pPr>
        <w:pStyle w:val="enumlev1"/>
      </w:pPr>
      <w:r w:rsidRPr="005E36EF">
        <w:t>•</w:t>
      </w:r>
      <w:r w:rsidR="00EA4C7F" w:rsidRPr="005E36EF">
        <w:tab/>
      </w:r>
      <w:hyperlink r:id="rId30" w:history="1">
        <w:r w:rsidR="00EA4C7F" w:rsidRPr="005E36EF">
          <w:rPr>
            <w:rStyle w:val="Hyperlink"/>
            <w:b/>
            <w:bCs/>
          </w:rPr>
          <w:t>Résolution UIT-R 75</w:t>
        </w:r>
      </w:hyperlink>
      <w:r w:rsidR="00EA4C7F" w:rsidRPr="005E36EF">
        <w:t xml:space="preserve"> – Renforcement de la coordination et de la coopération entre les trois Secteurs de l'UIT sur des questions d'intérêt mutuel. Cette nouvelle Résolution contient le texte fusionné des Résolutions UIT-R 6, 7 et 48, qui ont été supprimées en conséquence.</w:t>
      </w:r>
    </w:p>
    <w:p w14:paraId="6B1FDF19" w14:textId="55C09C00" w:rsidR="005934B5" w:rsidRPr="005E36EF" w:rsidRDefault="00EA4C7F" w:rsidP="00EA4C7F">
      <w:r w:rsidRPr="005E36EF">
        <w:t xml:space="preserve">Les décisions de l'AR-23 présentant un intérêt pour la CMR-23 sont consignées dans le Document </w:t>
      </w:r>
      <w:hyperlink r:id="rId31" w:history="1">
        <w:r w:rsidRPr="005E36EF">
          <w:rPr>
            <w:rStyle w:val="Hyperlink"/>
          </w:rPr>
          <w:t>WRC-23/217</w:t>
        </w:r>
      </w:hyperlink>
      <w:r w:rsidRPr="005E36EF">
        <w:t>.</w:t>
      </w:r>
    </w:p>
    <w:p w14:paraId="1F0983F9" w14:textId="397E1445" w:rsidR="00EA4C7F" w:rsidRPr="005E36EF" w:rsidRDefault="00EA4C7F" w:rsidP="00EA4C7F">
      <w:pPr>
        <w:pStyle w:val="Heading1"/>
      </w:pPr>
      <w:bookmarkStart w:id="7" w:name="_Toc163049286"/>
      <w:bookmarkStart w:id="8" w:name="_Toc137211288"/>
      <w:bookmarkStart w:id="9" w:name="_Toc166500731"/>
      <w:bookmarkStart w:id="10" w:name="_Toc37860454"/>
      <w:bookmarkStart w:id="11" w:name="_Toc37861215"/>
      <w:bookmarkStart w:id="12" w:name="_Toc37943334"/>
      <w:bookmarkStart w:id="13" w:name="_Toc2074337837"/>
      <w:r w:rsidRPr="005E36EF">
        <w:t>3</w:t>
      </w:r>
      <w:r w:rsidRPr="005E36EF">
        <w:tab/>
      </w:r>
      <w:r w:rsidR="00691B21" w:rsidRPr="005E36EF">
        <w:t>P</w:t>
      </w:r>
      <w:r w:rsidRPr="005E36EF">
        <w:t>ortée des travaux de l'UIT</w:t>
      </w:r>
      <w:bookmarkEnd w:id="7"/>
      <w:bookmarkEnd w:id="8"/>
      <w:r w:rsidR="001142F1" w:rsidRPr="005E36EF">
        <w:t xml:space="preserve">: </w:t>
      </w:r>
      <w:r w:rsidR="00691B21" w:rsidRPr="005E36EF">
        <w:t xml:space="preserve">progrès accomplis </w:t>
      </w:r>
      <w:r w:rsidR="00FA1D7A" w:rsidRPr="005E36EF">
        <w:t>en vue de</w:t>
      </w:r>
      <w:r w:rsidR="00691B21" w:rsidRPr="005E36EF">
        <w:t xml:space="preserve"> la réalisation du Programme Connect 2030</w:t>
      </w:r>
      <w:bookmarkEnd w:id="9"/>
    </w:p>
    <w:p w14:paraId="4B189D1B" w14:textId="0C20B268" w:rsidR="00EA4C7F" w:rsidRPr="005E36EF" w:rsidRDefault="001142F1" w:rsidP="00EA4C7F">
      <w:r w:rsidRPr="005E36EF">
        <w:t>Le nouveau Plan stratégique de l'Union pour la période 2024-2027 est</w:t>
      </w:r>
      <w:r w:rsidR="00EA4C7F" w:rsidRPr="005E36EF">
        <w:t xml:space="preserve"> axé sur deux buts stratégiques primordiaux: la connectivité universelle et la transformation numérique durable.</w:t>
      </w:r>
    </w:p>
    <w:p w14:paraId="0A4FF0C0" w14:textId="0D9E2D4D" w:rsidR="00EA4C7F" w:rsidRPr="005E36EF" w:rsidRDefault="00EA4C7F" w:rsidP="00EA4C7F">
      <w:pPr>
        <w:pStyle w:val="Heading2"/>
      </w:pPr>
      <w:bookmarkStart w:id="14" w:name="_Toc163049287"/>
      <w:bookmarkStart w:id="15" w:name="_Toc166500732"/>
      <w:r w:rsidRPr="005E36EF">
        <w:t>3.1</w:t>
      </w:r>
      <w:r w:rsidRPr="005E36EF">
        <w:tab/>
        <w:t>Plan stratégique de l'UIT pour la période 2020-2023</w:t>
      </w:r>
      <w:bookmarkEnd w:id="14"/>
      <w:r w:rsidR="004B136F" w:rsidRPr="005E36EF">
        <w:t xml:space="preserve">: </w:t>
      </w:r>
      <w:r w:rsidR="00883D7C" w:rsidRPr="005E36EF">
        <w:t>résultats définitifs</w:t>
      </w:r>
      <w:bookmarkEnd w:id="15"/>
    </w:p>
    <w:p w14:paraId="37D3A45B" w14:textId="2E9F6F3F" w:rsidR="00EA4C7F" w:rsidRPr="005E36EF" w:rsidRDefault="00EA4C7F" w:rsidP="00EA4C7F">
      <w:r w:rsidRPr="005E36EF">
        <w:t xml:space="preserve">On trouvera dans la présente section les principaux résultats obtenus et les progrès accomplis </w:t>
      </w:r>
      <w:r w:rsidR="004B136F" w:rsidRPr="005E36EF">
        <w:t>en ce qui concerne</w:t>
      </w:r>
      <w:r w:rsidRPr="005E36EF">
        <w:t xml:space="preserve"> les</w:t>
      </w:r>
      <w:r w:rsidR="004B136F" w:rsidRPr="005E36EF">
        <w:t xml:space="preserve"> principaux</w:t>
      </w:r>
      <w:r w:rsidRPr="005E36EF">
        <w:t xml:space="preserve"> buts et </w:t>
      </w:r>
      <w:r w:rsidR="00270742" w:rsidRPr="005E36EF">
        <w:t xml:space="preserve">les </w:t>
      </w:r>
      <w:r w:rsidRPr="005E36EF">
        <w:t>cibles</w:t>
      </w:r>
      <w:r w:rsidR="00C166C2" w:rsidRPr="005E36EF">
        <w:t xml:space="preserve"> précises</w:t>
      </w:r>
      <w:r w:rsidR="0005634C" w:rsidRPr="005E36EF">
        <w:t xml:space="preserve"> </w:t>
      </w:r>
      <w:r w:rsidR="00C166C2" w:rsidRPr="005E36EF">
        <w:t xml:space="preserve">définis </w:t>
      </w:r>
      <w:r w:rsidRPr="005E36EF">
        <w:t>dans le Plan stratégique de l'Union pour la période 2020-2023, que les États Membres se sont engagés à atteindre d'ici 2023 conformément à la Résolution 200 (Rév. Bucarest, 2022) de la Conférence de plénipotentiaires</w:t>
      </w:r>
      <w:r w:rsidR="00BE689C" w:rsidRPr="005E36EF">
        <w:t xml:space="preserve">, qui constitue l'itération la plus récente du </w:t>
      </w:r>
      <w:r w:rsidRPr="005E36EF">
        <w:t>Programme</w:t>
      </w:r>
      <w:r w:rsidR="00AF527C" w:rsidRPr="005E36EF">
        <w:t xml:space="preserve"> </w:t>
      </w:r>
      <w:r w:rsidRPr="005E36EF">
        <w:t xml:space="preserve">Connect 2030. Tous les diagrammes pertinents figurent sur les tableaux de bord disponibles </w:t>
      </w:r>
      <w:hyperlink r:id="rId32" w:history="1">
        <w:r w:rsidRPr="005E36EF">
          <w:rPr>
            <w:rStyle w:val="Hyperlink"/>
          </w:rPr>
          <w:t>ici</w:t>
        </w:r>
      </w:hyperlink>
      <w:r w:rsidRPr="005E36EF">
        <w:t>.</w:t>
      </w:r>
    </w:p>
    <w:p w14:paraId="4D551026" w14:textId="77777777" w:rsidR="00EA4C7F" w:rsidRPr="005E36EF" w:rsidRDefault="00EA4C7F" w:rsidP="00EA4C7F">
      <w:pPr>
        <w:pStyle w:val="Heading3"/>
      </w:pPr>
      <w:bookmarkStart w:id="16" w:name="_Toc165445589"/>
      <w:bookmarkStart w:id="17" w:name="_Toc165445952"/>
      <w:bookmarkStart w:id="18" w:name="_Toc166500733"/>
      <w:r w:rsidRPr="005E36EF">
        <w:lastRenderedPageBreak/>
        <w:t>3.1.1</w:t>
      </w:r>
      <w:r w:rsidRPr="005E36EF">
        <w:tab/>
        <w:t>Croissance (accès abordable à l'Internet)</w:t>
      </w:r>
      <w:bookmarkEnd w:id="16"/>
      <w:bookmarkEnd w:id="17"/>
      <w:bookmarkEnd w:id="18"/>
    </w:p>
    <w:p w14:paraId="53595A85" w14:textId="0A8E691A" w:rsidR="00EA4C7F" w:rsidRPr="005E36EF" w:rsidRDefault="00EA4C7F" w:rsidP="00EA4C7F">
      <w:r w:rsidRPr="005E36EF">
        <w:rPr>
          <w:b/>
          <w:bCs/>
        </w:rPr>
        <w:t>Accès</w:t>
      </w:r>
      <w:r w:rsidRPr="005E36EF">
        <w:t xml:space="preserve"> – À la fin de 2023, environ 67% de la population mondiale, soit 5,4 milliards de personnes, étaient connectées à l'Internet, ce qui représente une hausse de 4,7%</w:t>
      </w:r>
      <w:r w:rsidR="00326F1F" w:rsidRPr="005E36EF">
        <w:t> </w:t>
      </w:r>
      <w:r w:rsidRPr="005E36EF">
        <w:t xml:space="preserve">depuis 2022, par rapport aux 3,5% enregistrés entre 2021 et 2022. Le nombre de personnes non connectées a diminué pour atteindre environ 2,6 milliards de personnes, soit 33% de la population mondiale. L'utilisation de l'Internet dans les pays à revenu élevé a atteint 93% en 2023. Alors que 167 pays </w:t>
      </w:r>
      <w:r w:rsidR="00716BBB" w:rsidRPr="005E36EF">
        <w:t>disposaient de</w:t>
      </w:r>
      <w:r w:rsidRPr="005E36EF">
        <w:t xml:space="preserve"> plans ou de stratégies numériques pour le large bande en 2023, ce chiffre a stagné depuis 2019 et a diminué par rapport à 2022 (170 pays). Des efforts supplémentaires sont nécessaires pour encourager les quelque 20 à 30 pays restants à élaborer et à adopter leurs plans nationaux sur le large bande.</w:t>
      </w:r>
    </w:p>
    <w:p w14:paraId="25F27C8E" w14:textId="77777777" w:rsidR="00EA4C7F" w:rsidRPr="005E36EF" w:rsidDel="00E946D6" w:rsidRDefault="00EA4C7F" w:rsidP="008762A3">
      <w:pPr>
        <w:keepNext/>
        <w:keepLines/>
      </w:pPr>
      <w:r w:rsidRPr="005E36EF">
        <w:rPr>
          <w:b/>
          <w:bCs/>
        </w:rPr>
        <w:t>Accessibilité financière</w:t>
      </w:r>
      <w:r w:rsidRPr="005E36EF">
        <w:t xml:space="preserve"> – La tendance à la baisse des prix des TIC s'est poursuivie en 2023, le prix du large bande mobile pour les données uniquement étant devenu plus abordable à l'échelle mondiale et pour toutes les catégories de revenus. Entre 2017 (année de référence) et 2023, on a observé une baisse de 36% des prix mesurés en termes de RNB par habitant dans les pays pour lesquels des données sont disponibles.</w:t>
      </w:r>
    </w:p>
    <w:p w14:paraId="62A11E10" w14:textId="4CE98EEB" w:rsidR="00EA4C7F" w:rsidRPr="005E36EF" w:rsidRDefault="00EA4C7F" w:rsidP="00EA4C7F">
      <w:r w:rsidRPr="005E36EF">
        <w:t xml:space="preserve">S'agissant de la croissance du nombre d'abonnements, la Cible 1.5 </w:t>
      </w:r>
      <w:r w:rsidR="003562F6" w:rsidRPr="005E36EF">
        <w:t xml:space="preserve">du Plan stratégique de l'Union pour la période 2020-2023 </w:t>
      </w:r>
      <w:r w:rsidRPr="005E36EF">
        <w:t>consistait en une augmentation de 50% entre 2017 et</w:t>
      </w:r>
      <w:r w:rsidR="00AF527C" w:rsidRPr="005E36EF">
        <w:t> </w:t>
      </w:r>
      <w:r w:rsidRPr="005E36EF">
        <w:t>2023. Les abonnements au large bande fixe ont augmenté de 45,6% au cours de cette période. Les taux de croissance varient selon le niveau de revenu: 56,5% pour les pays à faible revenu, 100,8% pour les pays à revenu intermédiaire de la tranche inférieure, 56,7%</w:t>
      </w:r>
      <w:r w:rsidR="00AF527C" w:rsidRPr="005E36EF">
        <w:t> </w:t>
      </w:r>
      <w:r w:rsidRPr="005E36EF">
        <w:t>pour les pays à revenu intermédiaire de la tranche supérieure et 20,4% pour les pays à revenu élevé. Le nombre d'abonnements au large bande mobile a progressé de 48,2%, avec des taux de croissance variables, de 130,3% pour les pays à faible revenu, de 99,9%</w:t>
      </w:r>
      <w:r w:rsidR="00AF527C" w:rsidRPr="005E36EF">
        <w:t> </w:t>
      </w:r>
      <w:r w:rsidRPr="005E36EF">
        <w:t>pour les pays à revenu intermédiaire de la tranche inférieure, de 31,6%</w:t>
      </w:r>
      <w:r w:rsidR="00326F1F" w:rsidRPr="005E36EF">
        <w:t> </w:t>
      </w:r>
      <w:r w:rsidRPr="005E36EF">
        <w:t>pour les pays à revenu intermédiaire de la tranche supérieure et de 31,1% pour les pays à revenu élevé. Bien que la cible pour cet indicateur n'ait pas été atteinte, les abonnements au large bande ont augmenté de manière significative, en particulier dans les pays à faible revenu.</w:t>
      </w:r>
    </w:p>
    <w:p w14:paraId="5A0B3AC8" w14:textId="77777777" w:rsidR="00EA4C7F" w:rsidRPr="005E36EF" w:rsidRDefault="00EA4C7F" w:rsidP="00EA4C7F">
      <w:pPr>
        <w:pStyle w:val="Heading3"/>
      </w:pPr>
      <w:bookmarkStart w:id="19" w:name="_Toc165445590"/>
      <w:bookmarkStart w:id="20" w:name="_Toc165445953"/>
      <w:bookmarkStart w:id="21" w:name="_Toc166500734"/>
      <w:r w:rsidRPr="005E36EF">
        <w:t>3.1.2</w:t>
      </w:r>
      <w:r w:rsidRPr="005E36EF">
        <w:tab/>
        <w:t>Inclusion (réduire les disparités)</w:t>
      </w:r>
      <w:bookmarkEnd w:id="19"/>
      <w:bookmarkEnd w:id="20"/>
      <w:bookmarkEnd w:id="21"/>
    </w:p>
    <w:p w14:paraId="7BDAE4DE" w14:textId="39247E1D" w:rsidR="00EA4C7F" w:rsidRPr="005E36EF" w:rsidRDefault="00EA4C7F" w:rsidP="00EA4C7F">
      <w:r w:rsidRPr="005E36EF">
        <w:rPr>
          <w:b/>
          <w:bCs/>
        </w:rPr>
        <w:t>Accès</w:t>
      </w:r>
      <w:r w:rsidRPr="005E36EF">
        <w:t xml:space="preserve"> – Dans les pays à faible revenu, 27% de la population utilise l'Internet, contre 24%</w:t>
      </w:r>
      <w:r w:rsidR="00326F1F" w:rsidRPr="005E36EF">
        <w:t> </w:t>
      </w:r>
      <w:r w:rsidRPr="005E36EF">
        <w:t>en 2022. Dans les pays à faible revenu, la part des internautes a augmenté de 44%</w:t>
      </w:r>
      <w:r w:rsidR="00326F1F" w:rsidRPr="005E36EF">
        <w:t> </w:t>
      </w:r>
      <w:r w:rsidRPr="005E36EF">
        <w:t xml:space="preserve">depuis 2020 et de 14% au cours de la seule année écoulée. Dans les pays à revenu faible ou intermédiaire (un ensemble de pays similaire à celui des précédents </w:t>
      </w:r>
      <w:r w:rsidRPr="005E36EF">
        <w:rPr>
          <w:i/>
          <w:iCs/>
        </w:rPr>
        <w:t>pays en développement</w:t>
      </w:r>
      <w:r w:rsidRPr="005E36EF">
        <w:t>), 63% de la population utilisait l'Internet en 2023. Toutefois, d'importants écarts subsistent en matière d'utilisation de l'Internet entre les régions. Les internautes représentent à peine 37% de la population africaine. La connectivité universelle demeure également une perspective lointaine dans les pays les moins avancés (PMA) et les pays en développement sans littoral (PDSL), où seulement 35% et 39% de la population est connectée, respectivement.</w:t>
      </w:r>
    </w:p>
    <w:p w14:paraId="178B0D2A" w14:textId="77777777" w:rsidR="00EA4C7F" w:rsidRPr="005E36EF" w:rsidRDefault="00EA4C7F" w:rsidP="00EA4C7F">
      <w:r w:rsidRPr="005E36EF">
        <w:rPr>
          <w:b/>
          <w:bCs/>
        </w:rPr>
        <w:t>Accessibilité financière</w:t>
      </w:r>
      <w:r w:rsidRPr="005E36EF">
        <w:t xml:space="preserve"> – Malgré la tendance à la baisse des prix, le manque d'accessibilité financière continue d'être un obstacle majeur à l'accès à l'Internet, en particulier dans les pays à faible revenu. Toutefois, sur la base du nombre de pays disposant de données pour la période allant de 2017 (année de référence) à 2023, l'écart entre les pays à revenu élevé et les pays à revenu intermédiaire de la tranche inférieure a été réduit de 42%.</w:t>
      </w:r>
    </w:p>
    <w:p w14:paraId="4C84C91E" w14:textId="77777777" w:rsidR="00EA4C7F" w:rsidRPr="005E36EF" w:rsidRDefault="00EA4C7F" w:rsidP="00EA4C7F">
      <w:r w:rsidRPr="005E36EF">
        <w:rPr>
          <w:b/>
          <w:bCs/>
        </w:rPr>
        <w:lastRenderedPageBreak/>
        <w:t>Considérations hommes-femmes</w:t>
      </w:r>
      <w:r w:rsidRPr="005E36EF">
        <w:t xml:space="preserve"> – Dans le monde, 70% des hommes et 65% des femmes utilisaient l'Internet en 2023, soit près de 250 millions d'hommes de plus que de femmes. Le score de parité entre les sexes est passé de 0,90 en 2019 à 0,92 en 2023, ce qui indique que la parité progresse. Cependant, des disparités importantes subsistent, en particulier en Afrique, où les hommes seraient plus de 30% de plus que les femmes à utiliser l'Internet. Malgré les progrès récents, les pays les moins avancés et les pays en développement sans littoral rencontrent également des difficultés pour parvenir à la parité hommes-femmes. Depuis 2019, les pays en développement sans littoral n'ont fait que des progrès limités vers la parité hommes-femmes. En ce qui concerne la possession d'un téléphone, les femmes sont 8% moins susceptibles de posséder un téléphone mobile que les hommes: le nombre de femmes qui ne possèdent pas de téléphone mobile dépasse de 35% le nombre d'hommes dans la même situation.</w:t>
      </w:r>
    </w:p>
    <w:p w14:paraId="1D245AF8" w14:textId="77777777" w:rsidR="00EA4C7F" w:rsidRPr="005E36EF" w:rsidRDefault="00EA4C7F" w:rsidP="00EA4C7F">
      <w:r w:rsidRPr="005E36EF">
        <w:rPr>
          <w:b/>
          <w:bCs/>
        </w:rPr>
        <w:t>Accessibilité</w:t>
      </w:r>
      <w:r w:rsidRPr="005E36EF">
        <w:t xml:space="preserve"> – Le nombre de pays ayant mis en place un cadre réglementaire pour garantir l'accessibilité des TIC pour les personnes en situation de handicap a presque doublé, passant de 61 en 2018 à 117 en 2023.</w:t>
      </w:r>
    </w:p>
    <w:p w14:paraId="16C2921F" w14:textId="77777777" w:rsidR="00EA4C7F" w:rsidRPr="005E36EF" w:rsidRDefault="00EA4C7F" w:rsidP="00EA4C7F">
      <w:pPr>
        <w:pStyle w:val="Heading3"/>
      </w:pPr>
      <w:bookmarkStart w:id="22" w:name="_Toc165445591"/>
      <w:bookmarkStart w:id="23" w:name="_Toc165445954"/>
      <w:bookmarkStart w:id="24" w:name="_Toc166500735"/>
      <w:r w:rsidRPr="005E36EF">
        <w:t>3.1.3</w:t>
      </w:r>
      <w:r w:rsidRPr="005E36EF">
        <w:tab/>
        <w:t>Durabilité</w:t>
      </w:r>
      <w:bookmarkEnd w:id="22"/>
      <w:bookmarkEnd w:id="23"/>
      <w:bookmarkEnd w:id="24"/>
    </w:p>
    <w:p w14:paraId="416C6150" w14:textId="77777777" w:rsidR="00EA4C7F" w:rsidRPr="005E36EF" w:rsidRDefault="00EA4C7F" w:rsidP="00EA4C7F">
      <w:r w:rsidRPr="005E36EF">
        <w:t>Dans l'ensemble, davantage de données sont nécessaires pour évaluer pleinement les progrès accomplis dans la réalisation des objectifs de l'UIT en matière de développement durable.</w:t>
      </w:r>
    </w:p>
    <w:p w14:paraId="75DE20C9" w14:textId="3B944FAB" w:rsidR="00EA4C7F" w:rsidRPr="005E36EF" w:rsidRDefault="00EA4C7F" w:rsidP="00EA4C7F">
      <w:r w:rsidRPr="005E36EF">
        <w:t xml:space="preserve">Le </w:t>
      </w:r>
      <w:r w:rsidRPr="005E36EF">
        <w:rPr>
          <w:u w:val="single"/>
        </w:rPr>
        <w:t>taux de recyclage des déchets d'équipements électriques et électroniques</w:t>
      </w:r>
      <w:r w:rsidRPr="005E36EF">
        <w:t xml:space="preserve"> (DEEE) dans le monde a été évalué à 20% en 2017 et à environ 17% en 2019, avant la crise liée au COVID</w:t>
      </w:r>
      <w:r w:rsidRPr="005E36EF">
        <w:noBreakHyphen/>
        <w:t xml:space="preserve">19. En </w:t>
      </w:r>
      <w:r w:rsidR="00AD3169" w:rsidRPr="005E36EF">
        <w:t>2022</w:t>
      </w:r>
      <w:r w:rsidRPr="005E36EF">
        <w:t xml:space="preserve">, ce pourcentage est passé à 22,3% (voir le dernier rapport </w:t>
      </w:r>
      <w:r w:rsidR="00C01FA5" w:rsidRPr="005E36EF">
        <w:t>"</w:t>
      </w:r>
      <w:hyperlink r:id="rId33" w:history="1">
        <w:r w:rsidRPr="005E36EF">
          <w:rPr>
            <w:rStyle w:val="Hyperlink"/>
          </w:rPr>
          <w:t>Global E</w:t>
        </w:r>
        <w:r w:rsidRPr="005E36EF">
          <w:rPr>
            <w:rStyle w:val="Hyperlink"/>
          </w:rPr>
          <w:noBreakHyphen/>
          <w:t>Waste Monitor</w:t>
        </w:r>
      </w:hyperlink>
      <w:r w:rsidR="00C01FA5" w:rsidRPr="005E36EF">
        <w:t xml:space="preserve">" </w:t>
      </w:r>
      <w:r w:rsidRPr="005E36EF">
        <w:t>(</w:t>
      </w:r>
      <w:r w:rsidRPr="005E36EF">
        <w:rPr>
          <w:i/>
          <w:iCs/>
        </w:rPr>
        <w:t>Suivi des déchets d'équipements électriques et électroniques à</w:t>
      </w:r>
      <w:r w:rsidR="001660AB" w:rsidRPr="005E36EF">
        <w:rPr>
          <w:i/>
          <w:iCs/>
        </w:rPr>
        <w:t> </w:t>
      </w:r>
      <w:r w:rsidRPr="005E36EF">
        <w:rPr>
          <w:i/>
          <w:iCs/>
        </w:rPr>
        <w:t>l'échelle mondiale</w:t>
      </w:r>
      <w:r w:rsidRPr="005E36EF">
        <w:t>)). Cela représente une avancée encourageante, mais qui reste encore loin de l'objectif de 30%: le taux de collecte et de recyclage formels devrait augmenter à un rythme beaucoup plus rapide pour atteindre cet objectif. En outre, un nombre record de 53,6 millions de tonnes métriques (Mt) de DEEE (produits mis au rebut comportant une batterie ou une prise, tels que les ordinateurs et les téléphones mobiles) auraient été générés dans le monde en 2019, soit une augmentation de 9,2 Mt en cinq ans. Selon les prévisions établies dans un nouveau rapport, les DEEE atteindraient 74,7 Mt d'ici à 2030 à</w:t>
      </w:r>
      <w:r w:rsidR="001660AB" w:rsidRPr="005E36EF">
        <w:t> </w:t>
      </w:r>
      <w:r w:rsidRPr="005E36EF">
        <w:t>l'échelle mondiale, soit près du double du chiffre pour 2014, en raison des taux de consommation électrique et électronique plus élevés, des cycles de vie plus courts des appareils et des options de réparation limitées. Le rapport anticipe une baisse du taux de collecte et de recyclage répertoriés, qui passera de 22,3% en 2022 à 20% d'ici à 2030, en raison de l'écart croissant entre les efforts de recyclage et la croissance exponentielle de la production des DEEE dans le monde.</w:t>
      </w:r>
    </w:p>
    <w:p w14:paraId="659CC058" w14:textId="77777777" w:rsidR="00EA4C7F" w:rsidRPr="005E36EF" w:rsidRDefault="00EA4C7F" w:rsidP="00EA4C7F">
      <w:r w:rsidRPr="005E36EF">
        <w:t>Par ailleurs, des progrès satisfaisants ont été accomplis en ce qui concerne l'objectif fixé, consistant à ce que 50% des pays (soit environ 97 pays) se dotent d'une politique, d'une législation ou d'une réglementation en matière de DEEE d'ici à 2023, le nombre étant passé de 48 pays en 2016 à environ 81 pays en 2023.</w:t>
      </w:r>
    </w:p>
    <w:p w14:paraId="498BDD97" w14:textId="27936D09" w:rsidR="00EA4C7F" w:rsidRPr="005E36EF" w:rsidRDefault="00EA4C7F" w:rsidP="00EA4C7F">
      <w:r w:rsidRPr="005E36EF">
        <w:t xml:space="preserve">S'agissant des </w:t>
      </w:r>
      <w:r w:rsidRPr="005E36EF">
        <w:rPr>
          <w:u w:val="single"/>
        </w:rPr>
        <w:t>incidences climatiques</w:t>
      </w:r>
      <w:r w:rsidRPr="005E36EF">
        <w:t xml:space="preserve"> (aspect pour lequel la cible du Plan stratégique pour 2020-2023 est axée sur la réduction nette des émissions de gaz à effet de serre résultant de l'utilisation des télécommunications/TIC), l'UIT a élaboré des normes sur la base de cibles fondées sur des données scientifiques </w:t>
      </w:r>
      <w:r w:rsidR="00C41C6D" w:rsidRPr="005E36EF">
        <w:t>pour permettre au</w:t>
      </w:r>
      <w:r w:rsidRPr="005E36EF">
        <w:t xml:space="preserve"> secteur des TIC </w:t>
      </w:r>
      <w:r w:rsidR="00EF3B84" w:rsidRPr="005E36EF">
        <w:t xml:space="preserve">de parvenir </w:t>
      </w:r>
      <w:r w:rsidRPr="005E36EF">
        <w:t xml:space="preserve">à zéro émission nette </w:t>
      </w:r>
      <w:r w:rsidR="009E3908" w:rsidRPr="005E36EF">
        <w:t xml:space="preserve">et mesurer l'effet positif des solutions TIC </w:t>
      </w:r>
      <w:r w:rsidR="0002073F" w:rsidRPr="005E36EF">
        <w:t>en vue de</w:t>
      </w:r>
      <w:r w:rsidR="009E3908" w:rsidRPr="005E36EF">
        <w:t xml:space="preserve"> réduire </w:t>
      </w:r>
      <w:r w:rsidR="009E3908" w:rsidRPr="005E36EF">
        <w:lastRenderedPageBreak/>
        <w:t xml:space="preserve">les émissions GES dans d'autres secteurs </w:t>
      </w:r>
      <w:r w:rsidRPr="005E36EF">
        <w:t xml:space="preserve">(normes de la série L visées </w:t>
      </w:r>
      <w:r w:rsidR="0002073F" w:rsidRPr="005E36EF">
        <w:t>à la section</w:t>
      </w:r>
      <w:r w:rsidRPr="005E36EF">
        <w:t xml:space="preserve"> 1). Cependant, ces normes n'ont pas encore été systématiquement appliquées pour mesurer les progrès accomplis.</w:t>
      </w:r>
      <w:r w:rsidR="00C21CE5" w:rsidRPr="005E36EF">
        <w:t xml:space="preserve"> Des travaux sont menés actuellement en vue d'élaborer une méthode normalisée applicable au développement d'une base de données sur les émissions GES aux niveaux national et mondial et sur les facteurs d'émission.</w:t>
      </w:r>
      <w:r w:rsidR="00674FBB" w:rsidRPr="005E36EF">
        <w:t xml:space="preserve"> En outre, l'UIT, </w:t>
      </w:r>
      <w:r w:rsidR="00986486" w:rsidRPr="005E36EF">
        <w:t>aux côtés de 40</w:t>
      </w:r>
      <w:r w:rsidR="00AF527C" w:rsidRPr="005E36EF">
        <w:t> </w:t>
      </w:r>
      <w:r w:rsidR="00986486" w:rsidRPr="005E36EF">
        <w:t xml:space="preserve">partenaires comprenant des gouvernements, des entreprises, des membres de la société civile et d'autres institutions des Nations Unies, a lancé l'initiative dite de l'Action du secteur du numérique pour l'environnement à la COP28, afin d'intensifier la lutte contre les changements climatiques grâce au numérique. </w:t>
      </w:r>
      <w:r w:rsidR="00343D19" w:rsidRPr="005E36EF">
        <w:t>À cet égard, il</w:t>
      </w:r>
      <w:r w:rsidR="00986486" w:rsidRPr="005E36EF">
        <w:t xml:space="preserve"> convient de mentionner en particulier le Groupe de travail sur la mise en œuvre de normes vertes.</w:t>
      </w:r>
    </w:p>
    <w:p w14:paraId="15C0B9BB" w14:textId="68B6023A" w:rsidR="00EA4C7F" w:rsidRPr="005E36EF" w:rsidRDefault="00EA4C7F" w:rsidP="00EA4C7F">
      <w:r w:rsidRPr="005E36EF">
        <w:t xml:space="preserve">Dans l'intervalle, les données tirées d'un </w:t>
      </w:r>
      <w:hyperlink r:id="rId34" w:history="1">
        <w:r w:rsidRPr="005E36EF">
          <w:rPr>
            <w:rStyle w:val="Hyperlink"/>
          </w:rPr>
          <w:t>rapport conjoint</w:t>
        </w:r>
      </w:hyperlink>
      <w:r w:rsidRPr="005E36EF">
        <w:t xml:space="preserve"> de l'UIT et de la Banque mondiale (contribution à l'Action numérique verte) constituent une ressource utile. Le rapport fournit des données complètes sur les émissions de GES et la consommation d'énergie pour le secteur des TIC</w:t>
      </w:r>
      <w:r w:rsidR="007B3D35" w:rsidRPr="005E36EF">
        <w:t xml:space="preserve"> dans 30 pays au</w:t>
      </w:r>
      <w:r w:rsidR="00396B17" w:rsidRPr="005E36EF">
        <w:t>x</w:t>
      </w:r>
      <w:r w:rsidR="007B3D35" w:rsidRPr="005E36EF">
        <w:t xml:space="preserve"> niveau</w:t>
      </w:r>
      <w:r w:rsidR="00396B17" w:rsidRPr="005E36EF">
        <w:t>x</w:t>
      </w:r>
      <w:r w:rsidR="007B3D35" w:rsidRPr="005E36EF">
        <w:t xml:space="preserve"> d'émission </w:t>
      </w:r>
      <w:r w:rsidR="00935E81" w:rsidRPr="005E36EF">
        <w:t xml:space="preserve">les plus </w:t>
      </w:r>
      <w:r w:rsidR="007B3D35" w:rsidRPr="005E36EF">
        <w:t>élevé</w:t>
      </w:r>
      <w:r w:rsidR="00396B17" w:rsidRPr="005E36EF">
        <w:t>s</w:t>
      </w:r>
      <w:r w:rsidRPr="005E36EF">
        <w:t>, en particulier pour les télécommunications et les centres de données. Les derniers résultats montrent que les émissions totales des télécommunications (millions de tonnes de CO2) sont restées stables, passant de 135 en 2020 à 133 en 2023.</w:t>
      </w:r>
      <w:r w:rsidR="007545A1" w:rsidRPr="005E36EF">
        <w:t xml:space="preserve"> Le rapport contient également des études de cas de plusieurs pays qui rendent compte des émissions et de la consommation d'énergie des TIC, l'objectif étant d'examiner de près les approches réglementaires et les incidences politiques déduites des données.</w:t>
      </w:r>
    </w:p>
    <w:p w14:paraId="1DA2068A" w14:textId="77777777" w:rsidR="00EA4C7F" w:rsidRPr="005E36EF" w:rsidRDefault="00EA4C7F" w:rsidP="00EA4C7F">
      <w:r w:rsidRPr="005E36EF">
        <w:t xml:space="preserve">En ce qui concerne la cible en matière de </w:t>
      </w:r>
      <w:r w:rsidRPr="005E36EF">
        <w:rPr>
          <w:u w:val="single"/>
        </w:rPr>
        <w:t>cybersécurité</w:t>
      </w:r>
      <w:r w:rsidRPr="005E36EF">
        <w:t xml:space="preserve"> ("L'état de préparation des pays en matière de cybersécurité, avec des capacités essentielles (existence d'une stratégie, d'équipes nationales d'intervention en cas d'incident/d'urgence informatique et d'une législation) sera renforcé"), le pourcentage de pays qui ont mis en place une équipe CIRT/CERT a augmenté pour passer d'environ 55% en 2018 à 65% en 2022, tandis que le nombre de pays disposant de stratégies et de plans d'action nationaux en matière de cybersécurité a atteint 127 pays en 2023, contre 107 en 2020.</w:t>
      </w:r>
    </w:p>
    <w:p w14:paraId="6BE19A2C" w14:textId="77777777" w:rsidR="00EA4C7F" w:rsidRPr="005E36EF" w:rsidRDefault="00EA4C7F" w:rsidP="00EA4C7F">
      <w:r w:rsidRPr="005E36EF">
        <w:t xml:space="preserve">Le pourcentage de pays disposant d'un plan national de télécommunications d'urgence dans le cadre de leurs </w:t>
      </w:r>
      <w:r w:rsidRPr="005E36EF">
        <w:rPr>
          <w:u w:val="single"/>
        </w:rPr>
        <w:t>stratégies nationale et locale de réduction des risques de catastrophe</w:t>
      </w:r>
      <w:r w:rsidRPr="005E36EF">
        <w:t xml:space="preserve"> est passé de 66% en 2020 à 83% en 2023, ce qui constitue un pourcentage très important, mais largement en-deçà de l'objectif pour 2023 ("Tous les pays").</w:t>
      </w:r>
    </w:p>
    <w:p w14:paraId="48E4731C" w14:textId="77777777" w:rsidR="00EA4C7F" w:rsidRPr="005E36EF" w:rsidRDefault="00EA4C7F" w:rsidP="00EA4C7F">
      <w:pPr>
        <w:pStyle w:val="Heading3"/>
      </w:pPr>
      <w:bookmarkStart w:id="25" w:name="_Toc165445592"/>
      <w:bookmarkStart w:id="26" w:name="_Toc165445955"/>
      <w:bookmarkStart w:id="27" w:name="_Toc166500736"/>
      <w:r w:rsidRPr="005E36EF">
        <w:t>3.1.4</w:t>
      </w:r>
      <w:r w:rsidRPr="005E36EF">
        <w:tab/>
        <w:t>Innovation</w:t>
      </w:r>
      <w:bookmarkEnd w:id="25"/>
      <w:bookmarkEnd w:id="26"/>
      <w:bookmarkEnd w:id="27"/>
    </w:p>
    <w:p w14:paraId="7F20CD03" w14:textId="77777777" w:rsidR="00EA4C7F" w:rsidRPr="005E36EF" w:rsidRDefault="00EA4C7F" w:rsidP="00EA4C7F">
      <w:r w:rsidRPr="005E36EF">
        <w:t>La cible pour 2023 visant à évaluer les progrès accomplis dans la réalisation de cet objectif est la suivante: "Tous les pays devraient être dotés de politiques/stratégies encourageant l'innovation centrée sur les télécommunications/TIC". Les données collectées font référence au "nombre de pays qui ont mis en place des politiques/stratégies visant à promouvoir l'innovation", et non spécifiquement à l'innovation "centrée sur les télécommunications/TIC". Dans ce contexte, le nombre de pays est passé de 66 en 2016 à 97 (environ 50% des pays) en 2023, ce qui laisse encore une marge importante avant que la cible ne concerne "tous" les pays (c'est-à-dire plus de 90-95%).</w:t>
      </w:r>
      <w:bookmarkStart w:id="28" w:name="_Hlk132102230"/>
      <w:bookmarkEnd w:id="28"/>
    </w:p>
    <w:p w14:paraId="2865F61C" w14:textId="77777777" w:rsidR="00EA4C7F" w:rsidRPr="005E36EF" w:rsidRDefault="00EA4C7F" w:rsidP="00AF527C">
      <w:pPr>
        <w:pStyle w:val="Heading3"/>
      </w:pPr>
      <w:bookmarkStart w:id="29" w:name="_Toc165445593"/>
      <w:bookmarkStart w:id="30" w:name="_Toc165445956"/>
      <w:bookmarkStart w:id="31" w:name="_Toc166500737"/>
      <w:r w:rsidRPr="005E36EF">
        <w:lastRenderedPageBreak/>
        <w:t>3.1.5</w:t>
      </w:r>
      <w:r w:rsidRPr="005E36EF">
        <w:tab/>
        <w:t>Partenariats</w:t>
      </w:r>
      <w:bookmarkEnd w:id="29"/>
      <w:bookmarkEnd w:id="30"/>
      <w:bookmarkEnd w:id="31"/>
    </w:p>
    <w:p w14:paraId="6A9F5A20" w14:textId="670C892B" w:rsidR="00EA4C7F" w:rsidRPr="005E36EF" w:rsidRDefault="00EA4C7F" w:rsidP="00AF527C">
      <w:pPr>
        <w:keepNext/>
        <w:keepLines/>
      </w:pPr>
      <w:r w:rsidRPr="005E36EF">
        <w:t>Des mesures qualitatives tirées de l'enquête annuelle de l'UIT auprès des membres ont été utilisées pour évaluer "L'efficacité des partenariats avec les parties prenantes et la coopération avec d'autres organisations et entités de l'environnement des télécommunications/TIC".</w:t>
      </w:r>
    </w:p>
    <w:p w14:paraId="7E51622D" w14:textId="69F27BB8" w:rsidR="00EA4C7F" w:rsidRPr="005E36EF" w:rsidRDefault="00EA4C7F" w:rsidP="00EA4C7F">
      <w:r w:rsidRPr="005E36EF">
        <w:t>Les résultats de l'enquête donnent à penser que les membres accordent une grande importance aux partenariats/à la collaboration, et de plus en plus depuis 2019 (en 2023, 61% des membres ont indiqué qu'ils y étaient favorables ou très favorables). Ils estiment également que leur organisation bénéficie de synergies accrues en travaillant avec d'autres (environ 70% en 2023).</w:t>
      </w:r>
    </w:p>
    <w:p w14:paraId="1681220E" w14:textId="065A7149" w:rsidR="00991E0C" w:rsidRPr="005E36EF" w:rsidRDefault="00F15402" w:rsidP="00EA4C7F">
      <w:r w:rsidRPr="005E36EF">
        <w:t>En particulier, dans le nouveau Plan stratégique de l'UIT pour la période 2024-2027, l'innovation et les partenariats ne sont plus considérés comme des buts, mais plutôt comme des moyens essentiels pour atteindre les buts stratégiques de l'UIT visant la connectivité universelle et la transformation numérique durable.</w:t>
      </w:r>
    </w:p>
    <w:p w14:paraId="13304F69" w14:textId="3E909780" w:rsidR="00EA4C7F" w:rsidRPr="005E36EF" w:rsidRDefault="00EA4C7F" w:rsidP="00EA4C7F">
      <w:pPr>
        <w:pStyle w:val="Heading2"/>
      </w:pPr>
      <w:bookmarkStart w:id="32" w:name="_Toc163049288"/>
      <w:bookmarkStart w:id="33" w:name="_Toc166500738"/>
      <w:r w:rsidRPr="005E36EF">
        <w:t>3.2</w:t>
      </w:r>
      <w:r w:rsidRPr="005E36EF">
        <w:tab/>
        <w:t xml:space="preserve">Analyse comparative des cibles du Plan stratégique </w:t>
      </w:r>
      <w:r w:rsidR="00890BD3" w:rsidRPr="005E36EF">
        <w:t xml:space="preserve">de l'UIT </w:t>
      </w:r>
      <w:r w:rsidRPr="005E36EF">
        <w:t>pour la période</w:t>
      </w:r>
      <w:r w:rsidR="00AF527C" w:rsidRPr="005E36EF">
        <w:t> </w:t>
      </w:r>
      <w:r w:rsidRPr="005E36EF">
        <w:t>2024</w:t>
      </w:r>
      <w:r w:rsidR="00AF527C" w:rsidRPr="005E36EF">
        <w:noBreakHyphen/>
      </w:r>
      <w:r w:rsidRPr="005E36EF">
        <w:t>2027</w:t>
      </w:r>
      <w:bookmarkEnd w:id="32"/>
      <w:bookmarkEnd w:id="33"/>
    </w:p>
    <w:p w14:paraId="3F633ABF" w14:textId="77777777" w:rsidR="00EA4C7F" w:rsidRPr="005E36EF" w:rsidRDefault="00EA4C7F" w:rsidP="00990526">
      <w:pPr>
        <w:spacing w:after="120"/>
      </w:pPr>
      <w:r w:rsidRPr="005E36EF">
        <w:t>Le Plan stratégique pour la période 2024-2027 comprend 12 cibles stratégiques, sept pour le but stratégique sur la connectivité universelle et cinq pour celui sur la transformation numérique durable, comme suit:</w:t>
      </w:r>
    </w:p>
    <w:tbl>
      <w:tblPr>
        <w:tblStyle w:val="TableGrid"/>
        <w:tblW w:w="9351" w:type="dxa"/>
        <w:tblLayout w:type="fixed"/>
        <w:tblLook w:val="04A0" w:firstRow="1" w:lastRow="0" w:firstColumn="1" w:lastColumn="0" w:noHBand="0" w:noVBand="1"/>
      </w:tblPr>
      <w:tblGrid>
        <w:gridCol w:w="1730"/>
        <w:gridCol w:w="7621"/>
      </w:tblGrid>
      <w:tr w:rsidR="00EA4C7F" w:rsidRPr="005E36EF" w14:paraId="29330200" w14:textId="77777777" w:rsidTr="001660AB">
        <w:trPr>
          <w:tblHeader/>
        </w:trPr>
        <w:tc>
          <w:tcPr>
            <w:tcW w:w="1730" w:type="dxa"/>
            <w:shd w:val="clear" w:color="auto" w:fill="auto"/>
          </w:tcPr>
          <w:p w14:paraId="5CD195CA" w14:textId="77777777" w:rsidR="00EA4C7F" w:rsidRPr="005E36EF" w:rsidRDefault="00EA4C7F" w:rsidP="0067037F">
            <w:pPr>
              <w:pStyle w:val="Tablehead"/>
            </w:pPr>
            <w:r w:rsidRPr="005E36EF">
              <w:t>But</w:t>
            </w:r>
          </w:p>
        </w:tc>
        <w:tc>
          <w:tcPr>
            <w:tcW w:w="7621" w:type="dxa"/>
            <w:shd w:val="clear" w:color="auto" w:fill="auto"/>
          </w:tcPr>
          <w:p w14:paraId="6F6C4F81" w14:textId="77777777" w:rsidR="00EA4C7F" w:rsidRPr="005E36EF" w:rsidRDefault="00EA4C7F" w:rsidP="0067037F">
            <w:pPr>
              <w:pStyle w:val="Tablehead"/>
            </w:pPr>
            <w:r w:rsidRPr="005E36EF">
              <w:t>Cible</w:t>
            </w:r>
          </w:p>
        </w:tc>
      </w:tr>
      <w:tr w:rsidR="00EA4C7F" w:rsidRPr="005E36EF" w14:paraId="45E41F4A" w14:textId="77777777" w:rsidTr="0067037F">
        <w:tc>
          <w:tcPr>
            <w:tcW w:w="1730" w:type="dxa"/>
            <w:vMerge w:val="restart"/>
          </w:tcPr>
          <w:p w14:paraId="24E0707A" w14:textId="77777777" w:rsidR="00EA4C7F" w:rsidRPr="005E36EF" w:rsidRDefault="00EA4C7F" w:rsidP="0067037F">
            <w:pPr>
              <w:pStyle w:val="Tabletext"/>
            </w:pPr>
            <w:r w:rsidRPr="005E36EF">
              <w:t>Connectivité universelle</w:t>
            </w:r>
          </w:p>
        </w:tc>
        <w:tc>
          <w:tcPr>
            <w:tcW w:w="7621" w:type="dxa"/>
          </w:tcPr>
          <w:p w14:paraId="5147ADD2" w14:textId="77777777" w:rsidR="00EA4C7F" w:rsidRPr="005E36EF" w:rsidRDefault="00EA4C7F" w:rsidP="0067037F">
            <w:pPr>
              <w:pStyle w:val="Tabletext"/>
            </w:pPr>
            <w:r w:rsidRPr="005E36EF">
              <w:t>1.1: Couverture large bande universelle</w:t>
            </w:r>
          </w:p>
        </w:tc>
      </w:tr>
      <w:tr w:rsidR="00EA4C7F" w:rsidRPr="005E36EF" w14:paraId="046D5B36" w14:textId="77777777" w:rsidTr="0067037F">
        <w:tc>
          <w:tcPr>
            <w:tcW w:w="1730" w:type="dxa"/>
            <w:vMerge/>
          </w:tcPr>
          <w:p w14:paraId="5B913718" w14:textId="77777777" w:rsidR="00EA4C7F" w:rsidRPr="005E36EF" w:rsidRDefault="00EA4C7F" w:rsidP="0067037F">
            <w:pPr>
              <w:pStyle w:val="Tabletext"/>
            </w:pPr>
          </w:p>
        </w:tc>
        <w:tc>
          <w:tcPr>
            <w:tcW w:w="7621" w:type="dxa"/>
          </w:tcPr>
          <w:p w14:paraId="6CFB6C0F" w14:textId="77777777" w:rsidR="00EA4C7F" w:rsidRPr="005E36EF" w:rsidRDefault="00EA4C7F" w:rsidP="0067037F">
            <w:pPr>
              <w:pStyle w:val="Tabletext"/>
            </w:pPr>
            <w:r w:rsidRPr="005E36EF">
              <w:t>1.2: Services large bande pour tous à un coût abordable</w:t>
            </w:r>
          </w:p>
        </w:tc>
      </w:tr>
      <w:tr w:rsidR="00EA4C7F" w:rsidRPr="005E36EF" w14:paraId="7C0949FE" w14:textId="77777777" w:rsidTr="0067037F">
        <w:tc>
          <w:tcPr>
            <w:tcW w:w="1730" w:type="dxa"/>
            <w:vMerge/>
          </w:tcPr>
          <w:p w14:paraId="7250DF7C" w14:textId="77777777" w:rsidR="00EA4C7F" w:rsidRPr="005E36EF" w:rsidRDefault="00EA4C7F" w:rsidP="0067037F">
            <w:pPr>
              <w:pStyle w:val="Tabletext"/>
            </w:pPr>
          </w:p>
        </w:tc>
        <w:tc>
          <w:tcPr>
            <w:tcW w:w="7621" w:type="dxa"/>
          </w:tcPr>
          <w:p w14:paraId="239A9315" w14:textId="77777777" w:rsidR="00EA4C7F" w:rsidRPr="005E36EF" w:rsidRDefault="00EA4C7F" w:rsidP="0067037F">
            <w:pPr>
              <w:pStyle w:val="Tabletext"/>
            </w:pPr>
            <w:r w:rsidRPr="005E36EF">
              <w:t>1.3: Accès de tous les ménages au large bande</w:t>
            </w:r>
          </w:p>
        </w:tc>
      </w:tr>
      <w:tr w:rsidR="00EA4C7F" w:rsidRPr="005E36EF" w14:paraId="4A10AEA2" w14:textId="77777777" w:rsidTr="0067037F">
        <w:tc>
          <w:tcPr>
            <w:tcW w:w="1730" w:type="dxa"/>
            <w:vMerge/>
          </w:tcPr>
          <w:p w14:paraId="0B688C6A" w14:textId="77777777" w:rsidR="00EA4C7F" w:rsidRPr="005E36EF" w:rsidRDefault="00EA4C7F" w:rsidP="0067037F">
            <w:pPr>
              <w:pStyle w:val="Tabletext"/>
            </w:pPr>
          </w:p>
        </w:tc>
        <w:tc>
          <w:tcPr>
            <w:tcW w:w="7621" w:type="dxa"/>
          </w:tcPr>
          <w:p w14:paraId="44DF6ACA" w14:textId="77777777" w:rsidR="00EA4C7F" w:rsidRPr="005E36EF" w:rsidRDefault="00EA4C7F" w:rsidP="0067037F">
            <w:pPr>
              <w:pStyle w:val="Tabletext"/>
            </w:pPr>
            <w:r w:rsidRPr="005E36EF">
              <w:t>1.4: Possession de dispositifs utilisant l'Internet et accès à ces dispositifs</w:t>
            </w:r>
          </w:p>
        </w:tc>
      </w:tr>
      <w:tr w:rsidR="00EA4C7F" w:rsidRPr="005E36EF" w14:paraId="22CBFE03" w14:textId="77777777" w:rsidTr="0067037F">
        <w:tc>
          <w:tcPr>
            <w:tcW w:w="1730" w:type="dxa"/>
            <w:vMerge/>
          </w:tcPr>
          <w:p w14:paraId="7D08623A" w14:textId="77777777" w:rsidR="00EA4C7F" w:rsidRPr="005E36EF" w:rsidRDefault="00EA4C7F" w:rsidP="0067037F">
            <w:pPr>
              <w:pStyle w:val="Tabletext"/>
            </w:pPr>
          </w:p>
        </w:tc>
        <w:tc>
          <w:tcPr>
            <w:tcW w:w="7621" w:type="dxa"/>
          </w:tcPr>
          <w:p w14:paraId="45AD420E" w14:textId="77777777" w:rsidR="00EA4C7F" w:rsidRPr="005E36EF" w:rsidRDefault="00EA4C7F" w:rsidP="0067037F">
            <w:pPr>
              <w:pStyle w:val="Tabletext"/>
            </w:pPr>
            <w:r w:rsidRPr="005E36EF">
              <w:t>1.5: Accès à l'Internet dans toutes les écoles</w:t>
            </w:r>
          </w:p>
        </w:tc>
      </w:tr>
      <w:tr w:rsidR="00EA4C7F" w:rsidRPr="005E36EF" w14:paraId="28907276" w14:textId="77777777" w:rsidTr="0067037F">
        <w:tc>
          <w:tcPr>
            <w:tcW w:w="1730" w:type="dxa"/>
            <w:vMerge/>
          </w:tcPr>
          <w:p w14:paraId="06DC7449" w14:textId="77777777" w:rsidR="00EA4C7F" w:rsidRPr="005E36EF" w:rsidRDefault="00EA4C7F" w:rsidP="0067037F">
            <w:pPr>
              <w:pStyle w:val="Tabletext"/>
            </w:pPr>
          </w:p>
        </w:tc>
        <w:tc>
          <w:tcPr>
            <w:tcW w:w="7621" w:type="dxa"/>
          </w:tcPr>
          <w:p w14:paraId="5265DB07" w14:textId="77777777" w:rsidR="00EA4C7F" w:rsidRPr="005E36EF" w:rsidRDefault="00EA4C7F" w:rsidP="0067037F">
            <w:pPr>
              <w:pStyle w:val="Tabletext"/>
            </w:pPr>
            <w:r w:rsidRPr="005E36EF">
              <w:t>1.6: Amélioration de l'état de préparation des pays en matière de cybersécurité (avec des capacités essentielles: existence d'une stratégie, d'équipes nationales d'intervention en cas d'incident/d'urgence informatique et d'une législation)</w:t>
            </w:r>
          </w:p>
        </w:tc>
      </w:tr>
      <w:tr w:rsidR="00EA4C7F" w:rsidRPr="005E36EF" w14:paraId="53D9DE9B" w14:textId="77777777" w:rsidTr="0067037F">
        <w:tc>
          <w:tcPr>
            <w:tcW w:w="1730" w:type="dxa"/>
            <w:vMerge/>
            <w:tcBorders>
              <w:bottom w:val="single" w:sz="4" w:space="0" w:color="auto"/>
            </w:tcBorders>
          </w:tcPr>
          <w:p w14:paraId="4883E751" w14:textId="77777777" w:rsidR="00EA4C7F" w:rsidRPr="005E36EF" w:rsidRDefault="00EA4C7F" w:rsidP="0067037F">
            <w:pPr>
              <w:pStyle w:val="Tabletext"/>
            </w:pPr>
          </w:p>
        </w:tc>
        <w:tc>
          <w:tcPr>
            <w:tcW w:w="7621" w:type="dxa"/>
          </w:tcPr>
          <w:p w14:paraId="074DEF16" w14:textId="77777777" w:rsidR="00EA4C7F" w:rsidRPr="005E36EF" w:rsidRDefault="00EA4C7F" w:rsidP="0067037F">
            <w:pPr>
              <w:pStyle w:val="Tabletext"/>
            </w:pPr>
            <w:r w:rsidRPr="005E36EF">
              <w:t>1.7: Accès universel à l'Internet pour toutes les personnes</w:t>
            </w:r>
          </w:p>
        </w:tc>
      </w:tr>
      <w:tr w:rsidR="00EA4C7F" w:rsidRPr="005E36EF" w14:paraId="550ED8CB" w14:textId="77777777" w:rsidTr="0067037F">
        <w:tc>
          <w:tcPr>
            <w:tcW w:w="1730" w:type="dxa"/>
            <w:vMerge w:val="restart"/>
            <w:tcBorders>
              <w:bottom w:val="single" w:sz="4" w:space="0" w:color="auto"/>
            </w:tcBorders>
          </w:tcPr>
          <w:p w14:paraId="683DC250" w14:textId="77777777" w:rsidR="00EA4C7F" w:rsidRPr="005E36EF" w:rsidRDefault="00EA4C7F" w:rsidP="0067037F">
            <w:pPr>
              <w:pStyle w:val="Tabletext"/>
            </w:pPr>
            <w:r w:rsidRPr="005E36EF">
              <w:t>Transformation numérique durable</w:t>
            </w:r>
          </w:p>
        </w:tc>
        <w:tc>
          <w:tcPr>
            <w:tcW w:w="7621" w:type="dxa"/>
          </w:tcPr>
          <w:p w14:paraId="24546762" w14:textId="77777777" w:rsidR="00EA4C7F" w:rsidRPr="005E36EF" w:rsidRDefault="00EA4C7F" w:rsidP="0067037F">
            <w:pPr>
              <w:pStyle w:val="Tabletext"/>
            </w:pPr>
            <w:r w:rsidRPr="005E36EF">
              <w:t>2.1: Réduction de toutes les fractures numériques (en particulier entre les hommes et les femmes, en fonction de l'âge et entre les zones urbaines et les zones rurales)</w:t>
            </w:r>
          </w:p>
        </w:tc>
      </w:tr>
      <w:tr w:rsidR="00EA4C7F" w:rsidRPr="005E36EF" w14:paraId="3293AEFD" w14:textId="77777777" w:rsidTr="0067037F">
        <w:tc>
          <w:tcPr>
            <w:tcW w:w="1730" w:type="dxa"/>
            <w:vMerge/>
            <w:tcBorders>
              <w:bottom w:val="single" w:sz="4" w:space="0" w:color="auto"/>
            </w:tcBorders>
          </w:tcPr>
          <w:p w14:paraId="359FB472" w14:textId="77777777" w:rsidR="00EA4C7F" w:rsidRPr="005E36EF" w:rsidRDefault="00EA4C7F" w:rsidP="0067037F">
            <w:pPr>
              <w:pStyle w:val="Tabletext"/>
            </w:pPr>
          </w:p>
        </w:tc>
        <w:tc>
          <w:tcPr>
            <w:tcW w:w="7621" w:type="dxa"/>
          </w:tcPr>
          <w:p w14:paraId="4ADA44F1" w14:textId="77777777" w:rsidR="00EA4C7F" w:rsidRPr="005E36EF" w:rsidRDefault="00EA4C7F" w:rsidP="0067037F">
            <w:pPr>
              <w:pStyle w:val="Tabletext"/>
            </w:pPr>
            <w:r w:rsidRPr="005E36EF">
              <w:t>2.2: La majorité des personnes sont dotées de compétences numériques</w:t>
            </w:r>
          </w:p>
        </w:tc>
      </w:tr>
      <w:tr w:rsidR="00EA4C7F" w:rsidRPr="005E36EF" w14:paraId="42B0BE49" w14:textId="77777777" w:rsidTr="0067037F">
        <w:tc>
          <w:tcPr>
            <w:tcW w:w="1730" w:type="dxa"/>
            <w:vMerge/>
            <w:tcBorders>
              <w:bottom w:val="single" w:sz="4" w:space="0" w:color="auto"/>
            </w:tcBorders>
          </w:tcPr>
          <w:p w14:paraId="66ACE6CA" w14:textId="77777777" w:rsidR="00EA4C7F" w:rsidRPr="005E36EF" w:rsidRDefault="00EA4C7F" w:rsidP="0067037F">
            <w:pPr>
              <w:pStyle w:val="Tabletext"/>
            </w:pPr>
          </w:p>
        </w:tc>
        <w:tc>
          <w:tcPr>
            <w:tcW w:w="7621" w:type="dxa"/>
          </w:tcPr>
          <w:p w14:paraId="121ECD25" w14:textId="77777777" w:rsidR="00EA4C7F" w:rsidRPr="005E36EF" w:rsidRDefault="00EA4C7F" w:rsidP="0067037F">
            <w:pPr>
              <w:pStyle w:val="Tabletext"/>
            </w:pPr>
            <w:r w:rsidRPr="005E36EF">
              <w:t>2.3: Utilisation universelle des services Internet par les entreprises</w:t>
            </w:r>
          </w:p>
        </w:tc>
      </w:tr>
      <w:tr w:rsidR="00EA4C7F" w:rsidRPr="005E36EF" w14:paraId="66580C6C" w14:textId="77777777" w:rsidTr="0067037F">
        <w:tc>
          <w:tcPr>
            <w:tcW w:w="1730" w:type="dxa"/>
            <w:vMerge/>
            <w:tcBorders>
              <w:bottom w:val="single" w:sz="4" w:space="0" w:color="auto"/>
            </w:tcBorders>
          </w:tcPr>
          <w:p w14:paraId="1180D90E" w14:textId="77777777" w:rsidR="00EA4C7F" w:rsidRPr="005E36EF" w:rsidRDefault="00EA4C7F" w:rsidP="0067037F">
            <w:pPr>
              <w:pStyle w:val="Tabletext"/>
            </w:pPr>
          </w:p>
        </w:tc>
        <w:tc>
          <w:tcPr>
            <w:tcW w:w="7621" w:type="dxa"/>
          </w:tcPr>
          <w:p w14:paraId="17139C18" w14:textId="77777777" w:rsidR="00EA4C7F" w:rsidRPr="005E36EF" w:rsidRDefault="00EA4C7F" w:rsidP="0067037F">
            <w:pPr>
              <w:pStyle w:val="Tabletext"/>
            </w:pPr>
            <w:r w:rsidRPr="005E36EF">
              <w:t>2.4: La majorité des personnes ont accès aux services publics en ligne</w:t>
            </w:r>
          </w:p>
        </w:tc>
      </w:tr>
      <w:tr w:rsidR="00EA4C7F" w:rsidRPr="005E36EF" w14:paraId="737EBB52" w14:textId="77777777" w:rsidTr="0067037F">
        <w:tc>
          <w:tcPr>
            <w:tcW w:w="1730" w:type="dxa"/>
            <w:vMerge/>
            <w:tcBorders>
              <w:bottom w:val="single" w:sz="4" w:space="0" w:color="auto"/>
            </w:tcBorders>
          </w:tcPr>
          <w:p w14:paraId="5AE184EB" w14:textId="77777777" w:rsidR="00EA4C7F" w:rsidRPr="005E36EF" w:rsidRDefault="00EA4C7F" w:rsidP="0067037F">
            <w:pPr>
              <w:pStyle w:val="Tabletext"/>
            </w:pPr>
          </w:p>
        </w:tc>
        <w:tc>
          <w:tcPr>
            <w:tcW w:w="7621" w:type="dxa"/>
          </w:tcPr>
          <w:p w14:paraId="18B5049D" w14:textId="77777777" w:rsidR="00EA4C7F" w:rsidRPr="005E36EF" w:rsidRDefault="00EA4C7F" w:rsidP="0067037F">
            <w:pPr>
              <w:pStyle w:val="Tabletext"/>
            </w:pPr>
            <w:r w:rsidRPr="005E36EF">
              <w:t>2.5: Amélioration significative de la contribution des TIC à l'action en faveur du climat et de l'environnement</w:t>
            </w:r>
          </w:p>
        </w:tc>
      </w:tr>
    </w:tbl>
    <w:p w14:paraId="5FE53325" w14:textId="77777777" w:rsidR="00EA4C7F" w:rsidRPr="005E36EF" w:rsidRDefault="00EA4C7F" w:rsidP="00AF527C">
      <w:pPr>
        <w:keepNext/>
        <w:keepLines/>
        <w:spacing w:before="240"/>
      </w:pPr>
      <w:r w:rsidRPr="005E36EF">
        <w:lastRenderedPageBreak/>
        <w:t>L'analyse des données existantes révèle l'existence d'indicateurs des progrès accomplis en vue d'atteindre de nombreuses cibles. De nouvelles données doivent encore être recueillies pour d'autres cibles. Le § 3.2.1 ci-après traite de la disponibilité des données concernant le but stratégique relatif à la connectivité universelle, et le paragraphe 3.2.2, du but stratégique relatif à la transformation numérique durable.</w:t>
      </w:r>
    </w:p>
    <w:p w14:paraId="76E8041B" w14:textId="77777777" w:rsidR="00EA4C7F" w:rsidRPr="005E36EF" w:rsidRDefault="00EA4C7F" w:rsidP="00EA4C7F">
      <w:pPr>
        <w:pStyle w:val="Heading3"/>
      </w:pPr>
      <w:bookmarkStart w:id="34" w:name="_Toc163049289"/>
      <w:bookmarkStart w:id="35" w:name="_Toc166500739"/>
      <w:r w:rsidRPr="005E36EF">
        <w:t>3.2.1</w:t>
      </w:r>
      <w:r w:rsidRPr="005E36EF">
        <w:tab/>
        <w:t>Cibles stratégiques liées à la connectivité universelle</w:t>
      </w:r>
      <w:bookmarkEnd w:id="34"/>
      <w:bookmarkEnd w:id="35"/>
    </w:p>
    <w:p w14:paraId="3DF26EB4" w14:textId="77777777" w:rsidR="00EA4C7F" w:rsidRPr="005E36EF" w:rsidRDefault="00EA4C7F" w:rsidP="00EA4C7F">
      <w:r w:rsidRPr="005E36EF">
        <w:t xml:space="preserve">Des données sur la </w:t>
      </w:r>
      <w:r w:rsidRPr="005E36EF">
        <w:rPr>
          <w:i/>
          <w:iCs/>
        </w:rPr>
        <w:t>couverture large bande</w:t>
      </w:r>
      <w:r w:rsidRPr="005E36EF">
        <w:t xml:space="preserve"> et l'accessibilité financière de cette technologie sont disponibles (Cibles 1.1 et 1.2).</w:t>
      </w:r>
    </w:p>
    <w:p w14:paraId="188DC2A4" w14:textId="77777777" w:rsidR="00EA4C7F" w:rsidRPr="005E36EF" w:rsidRDefault="00EA4C7F" w:rsidP="00EA4C7F">
      <w:r w:rsidRPr="005E36EF">
        <w:t>S'agissant de l'</w:t>
      </w:r>
      <w:r w:rsidRPr="005E36EF">
        <w:rPr>
          <w:i/>
          <w:iCs/>
        </w:rPr>
        <w:t>accès de tous les ménages au large bande</w:t>
      </w:r>
      <w:r w:rsidRPr="005E36EF">
        <w:t xml:space="preserve"> (Cible 1.3), seuls 57 États Membres ont communiqué des données pour 2020 ou les années suivantes, ce qui indique une faible disponibilité des données. Dans la mesure où l'Internet large bande s'est imposé comme la référence pour l'accès à l'Internet dans une grande partie du monde, une mesure indirecte pourrait être la proportion des ménages disposant d'un accès à l'Internet. L'UIT travaille actuellement en coordination avec la Division de la population du Département des affaires économiques et sociales des Nations Unies afin de collecter ces données dans le futur, mais il ne faut pas s'attendre à disposer d'un ensemble de données comparables à l'échelle mondiale sur le nombre de ménages avant 2027, </w:t>
      </w:r>
      <w:r w:rsidRPr="005E36EF">
        <w:rPr>
          <w:i/>
          <w:iCs/>
        </w:rPr>
        <w:t>a minima</w:t>
      </w:r>
      <w:r w:rsidRPr="005E36EF">
        <w:t>.</w:t>
      </w:r>
    </w:p>
    <w:p w14:paraId="1170B97D" w14:textId="77777777" w:rsidR="00EA4C7F" w:rsidRPr="005E36EF" w:rsidRDefault="00EA4C7F" w:rsidP="00EA4C7F">
      <w:r w:rsidRPr="005E36EF">
        <w:t xml:space="preserve">Les smartphones ou téléphones intelligents étant le principal dispositif d'accès à l'Internet, les données sur la </w:t>
      </w:r>
      <w:r w:rsidRPr="005E36EF">
        <w:rPr>
          <w:i/>
          <w:iCs/>
        </w:rPr>
        <w:t>possession de dispositifs utilisant l'Internet et l'accès à ces dispositifs</w:t>
      </w:r>
      <w:r w:rsidRPr="005E36EF">
        <w:t xml:space="preserve"> (Cible 1.4) peuvent être mesurées en fonction de la proportion de particuliers possédant un téléphone intelligent. Dans ce cas également, les données disponibles sont insuffisantes pour mesurer cette cible au niveau mondial, dans la mesure où seuls 32 États Membres ont fourni des données sur cet indicateur pour 2020 ou les années suivantes. En parallèle, des données sur la proportion de particuliers possédant un téléphone mobile sont disponibles et diffusées régulièrement dans le </w:t>
      </w:r>
      <w:hyperlink r:id="rId35" w:history="1">
        <w:r w:rsidRPr="005E36EF">
          <w:rPr>
            <w:rStyle w:val="Hyperlink"/>
          </w:rPr>
          <w:t>rapport annuel "Faits et chiffres"</w:t>
        </w:r>
      </w:hyperlink>
      <w:r w:rsidRPr="005E36EF">
        <w:t>. Toutefois, ces données englobent également les dispositifs non connectés à l'Internet.</w:t>
      </w:r>
    </w:p>
    <w:p w14:paraId="2C88B4D2" w14:textId="77777777" w:rsidR="00EA4C7F" w:rsidRPr="005E36EF" w:rsidRDefault="00EA4C7F" w:rsidP="001660AB">
      <w:pPr>
        <w:keepNext/>
        <w:keepLines/>
      </w:pPr>
      <w:r w:rsidRPr="005E36EF">
        <w:t>En ce qui concerne l'état de préparation des pays en matière de cybersécurité, l'UIT a fourni des données sur les pays dotés d'équipes CIRT (évaluations, création et/ou améliorations), sur les pays qui ont bénéficié des programmes de cyberexercices de l'UIT et sur les pays dotés de stratégies et de plans d'action nationaux en matière de cybersécurité. Une bonne base de référence est donc disponible pour évaluer les progrès accomplis en vue d'atteindre cette cible.</w:t>
      </w:r>
    </w:p>
    <w:p w14:paraId="138DAFE9" w14:textId="41581571" w:rsidR="00EA4C7F" w:rsidRPr="005E36EF" w:rsidRDefault="00EA4C7F" w:rsidP="00EA4C7F">
      <w:r w:rsidRPr="005E36EF">
        <w:t xml:space="preserve">La question de la disponibilité de données sur l'accès des particuliers à l'Internet a été traitée au § 3.1.1. Cette cible est donc bien couverte. Les données sont disponibles et l'évaluation des progrès peut être réalisée dès la première année d'entrée en vigueur du nouveau </w:t>
      </w:r>
      <w:r w:rsidR="001D0FEE" w:rsidRPr="005E36EF">
        <w:t xml:space="preserve">plan </w:t>
      </w:r>
      <w:r w:rsidRPr="005E36EF">
        <w:t>stratégique (2024).</w:t>
      </w:r>
    </w:p>
    <w:p w14:paraId="3DA24C65" w14:textId="77777777" w:rsidR="00EA4C7F" w:rsidRPr="005E36EF" w:rsidRDefault="00EA4C7F" w:rsidP="00EA4C7F">
      <w:pPr>
        <w:pStyle w:val="Heading3"/>
      </w:pPr>
      <w:bookmarkStart w:id="36" w:name="_Toc163049290"/>
      <w:bookmarkStart w:id="37" w:name="_Toc166500740"/>
      <w:r w:rsidRPr="005E36EF">
        <w:t>3.2.2</w:t>
      </w:r>
      <w:r w:rsidRPr="005E36EF">
        <w:tab/>
      </w:r>
      <w:bookmarkEnd w:id="36"/>
      <w:r w:rsidRPr="005E36EF">
        <w:t>Transformation numérique durable</w:t>
      </w:r>
      <w:bookmarkEnd w:id="37"/>
    </w:p>
    <w:p w14:paraId="165994DD" w14:textId="77777777" w:rsidR="00EA4C7F" w:rsidRPr="005E36EF" w:rsidRDefault="00EA4C7F" w:rsidP="00EA4C7F">
      <w:r w:rsidRPr="005E36EF">
        <w:t>Pour évaluer les progrès accomplis en vue d'atteindre la Cible 2.1 (</w:t>
      </w:r>
      <w:r w:rsidRPr="005E36EF">
        <w:rPr>
          <w:i/>
          <w:iCs/>
        </w:rPr>
        <w:t>réduction de toutes les fractures numériques</w:t>
      </w:r>
      <w:r w:rsidRPr="005E36EF">
        <w:t>), une quantité importante de données est nécessaire. À l'heure actuelle, on dispose de données sur les disparités hommes-femmes (voir le § 3.1.2 ci</w:t>
      </w:r>
      <w:r w:rsidRPr="005E36EF">
        <w:noBreakHyphen/>
        <w:t xml:space="preserve">dessus), ainsi que de données sur l'accès à l'Internet, ventilées par âge, par zone (urbaine/rurale) et par niveau de développement. Cette cible est donc bien couverte, et les données disponibles devraient permettre d'évaluer correctement les progrès accomplis. Il </w:t>
      </w:r>
      <w:r w:rsidRPr="005E36EF">
        <w:lastRenderedPageBreak/>
        <w:t>faudrait accentuer les efforts pour évaluer correctement les progrès accomplis en vue de combler les écarts concernant les jeunes, les populations autochtones, les personnes âgées, les habitants des zones rurales, etc.</w:t>
      </w:r>
    </w:p>
    <w:p w14:paraId="05B0916B" w14:textId="392C294C" w:rsidR="00EA4C7F" w:rsidRPr="005E36EF" w:rsidRDefault="00EA4C7F" w:rsidP="00EA4C7F">
      <w:r w:rsidRPr="005E36EF">
        <w:t xml:space="preserve">La mesure des progrès réalisés en matière de compétences numériques (Cible 2.2: </w:t>
      </w:r>
      <w:r w:rsidRPr="005E36EF">
        <w:rPr>
          <w:i/>
          <w:iCs/>
        </w:rPr>
        <w:t>la majorité des personnes sont dotées de compétences numériques</w:t>
      </w:r>
      <w:r w:rsidRPr="005E36EF">
        <w:t xml:space="preserve">) présente deux défis distincts. Le premier tient au fait que les "compétences numériques" sont un concept global, qui ne peut être mesuré par un seul indicateur. Par conséquent, les questions adressées aux individus visent à déterminer s'ils participent à un large éventail d'activités. Le </w:t>
      </w:r>
      <w:hyperlink r:id="rId36" w:history="1">
        <w:r w:rsidRPr="005E36EF">
          <w:rPr>
            <w:rStyle w:val="Hyperlink"/>
          </w:rPr>
          <w:t>Groupe d'experts de l'UIT sur les indicateurs relatifs à l'utilisation des TIC par les ménages</w:t>
        </w:r>
      </w:hyperlink>
      <w:r w:rsidRPr="005E36EF">
        <w:t xml:space="preserve"> (EGH) a récemment recommandé plusieurs améliorations à apporter à la mesure des compétences numériques que les pays mettent en œuvre. Les activités sont désormais organisées en cinq</w:t>
      </w:r>
      <w:r w:rsidR="00034105" w:rsidRPr="005E36EF">
        <w:t> </w:t>
      </w:r>
      <w:r w:rsidRPr="005E36EF">
        <w:t xml:space="preserve">domaines de compétence: 1) communication et collaboration; 2) maîtrise de l'information et des données; 3) création de contenu numérique; 4) résolution de problèmes; et 5) sécurité. En 2024, pour la première fois, des données seront recueillies sur la proportion de personnes possédant des compétences </w:t>
      </w:r>
      <w:r w:rsidRPr="005E36EF">
        <w:rPr>
          <w:i/>
          <w:iCs/>
        </w:rPr>
        <w:t>élémentaires</w:t>
      </w:r>
      <w:r w:rsidRPr="005E36EF">
        <w:t xml:space="preserve"> et </w:t>
      </w:r>
      <w:r w:rsidRPr="005E36EF">
        <w:rPr>
          <w:i/>
          <w:iCs/>
        </w:rPr>
        <w:t>élémentaires supérieures</w:t>
      </w:r>
      <w:r w:rsidRPr="005E36EF">
        <w:t xml:space="preserve"> pour chacun de ces domaines de compétence. Le deuxième défi tient, une fois de plus, à la disponibilité des données – moins de la moitié des États Membres ont fourni suffisamment de données pour mesurer les compétences numériques.</w:t>
      </w:r>
    </w:p>
    <w:p w14:paraId="61C77303" w14:textId="021E01AE" w:rsidR="00EA4C7F" w:rsidRPr="005E36EF" w:rsidRDefault="00EA4C7F" w:rsidP="00EA4C7F">
      <w:r w:rsidRPr="005E36EF">
        <w:t>En ce qui concerne l'</w:t>
      </w:r>
      <w:r w:rsidRPr="005E36EF">
        <w:rPr>
          <w:i/>
          <w:iCs/>
        </w:rPr>
        <w:t>utilisation des services Internet par les entreprises</w:t>
      </w:r>
      <w:r w:rsidRPr="005E36EF">
        <w:t xml:space="preserve"> (Cible 2.3), la CNUCED dispose de données pertinentes, et l'évaluation peut donc être faite. Par ailleurs, la disponibilité des données pour la Cible 2.4 (</w:t>
      </w:r>
      <w:r w:rsidRPr="005E36EF">
        <w:rPr>
          <w:i/>
          <w:iCs/>
        </w:rPr>
        <w:t>la majorité des personnes ont accès aux services publics en ligne</w:t>
      </w:r>
      <w:r w:rsidRPr="005E36EF">
        <w:t>) demeure médiocre. Les données concernant l'année 2020 et les années suivantes pour cet indicateur ne sont disponibles que pour 46 États Membres. L'UIT continue d'insister sur l'importance de cet indicateur et encourage les États Membres à inclure cette question dans leurs futures enquêtes sur les TIC auprès des ménages.</w:t>
      </w:r>
    </w:p>
    <w:p w14:paraId="3B941C52" w14:textId="073C7D04" w:rsidR="00EA4C7F" w:rsidRPr="005E36EF" w:rsidRDefault="00EA4C7F" w:rsidP="00EA4C7F">
      <w:r w:rsidRPr="005E36EF">
        <w:t xml:space="preserve">En ce qui concerne la Cible 2.5, la </w:t>
      </w:r>
      <w:r w:rsidRPr="005E36EF">
        <w:rPr>
          <w:i/>
          <w:iCs/>
        </w:rPr>
        <w:t>contribution des TIC à l'action en faveur du climat et de l'environnement</w:t>
      </w:r>
      <w:r w:rsidRPr="005E36EF">
        <w:t>, la disponibilité de données pertinentes, ainsi que les projets pour la collecte des données manquantes dans le futur, ont déjà été examinés au § 3.1.3.</w:t>
      </w:r>
    </w:p>
    <w:p w14:paraId="3E5FE27C" w14:textId="77777777" w:rsidR="00416430" w:rsidRPr="005E36EF" w:rsidRDefault="00416430" w:rsidP="00416430">
      <w:pPr>
        <w:pStyle w:val="Heading1"/>
      </w:pPr>
      <w:bookmarkStart w:id="38" w:name="_Toc163049291"/>
      <w:bookmarkStart w:id="39" w:name="_Toc166500741"/>
      <w:r w:rsidRPr="005E36EF">
        <w:t>4</w:t>
      </w:r>
      <w:r w:rsidRPr="005E36EF">
        <w:tab/>
        <w:t xml:space="preserve">Principaux thèmes de travail </w:t>
      </w:r>
      <w:bookmarkStart w:id="40" w:name="_Toc37860456"/>
      <w:bookmarkStart w:id="41" w:name="_Toc37861217"/>
      <w:bookmarkStart w:id="42" w:name="_Toc37943336"/>
      <w:bookmarkEnd w:id="38"/>
      <w:r w:rsidRPr="005E36EF">
        <w:t>de l'UIT</w:t>
      </w:r>
      <w:bookmarkEnd w:id="39"/>
    </w:p>
    <w:p w14:paraId="7F808237" w14:textId="77777777" w:rsidR="00416430" w:rsidRPr="005E36EF" w:rsidRDefault="00416430" w:rsidP="00416430">
      <w:r w:rsidRPr="005E36EF">
        <w:t>Les travaux de l'UIT ont continué d'être axés essentiellement sur la gestion du spectre des fréquences radioélectriques dans le monde, l'élaboration de normes pour des technologies inclusives et durables; la promotion de technologies émergentes au service de l'humanité et la prise en compte de l'impact climatique et environnemental que produit l'adoption de plus en plus rapide des technologies. Les projets et initiatives actuellement menés par l'UIT visent à renforcer la coopération en matière de cybersécurité, à assurer un accès numérique inclusif et équitable et à établir des partenariats efficaces pour atteindre les Objectifs de développement durable fixés par les Nations Unies. Une grande partie de ce travail est effectuée dans le cadre d'ateliers approfondis ainsi que de réunions internationales de haut niveau.</w:t>
      </w:r>
    </w:p>
    <w:p w14:paraId="001069A7" w14:textId="77777777" w:rsidR="00416430" w:rsidRPr="005E36EF" w:rsidRDefault="00416430" w:rsidP="008F2F65">
      <w:pPr>
        <w:pStyle w:val="Heading2"/>
      </w:pPr>
      <w:bookmarkStart w:id="43" w:name="_Toc581462974"/>
      <w:bookmarkStart w:id="44" w:name="_Toc163049292"/>
      <w:bookmarkStart w:id="45" w:name="_Toc166500742"/>
      <w:r w:rsidRPr="005E36EF">
        <w:lastRenderedPageBreak/>
        <w:t>4.1</w:t>
      </w:r>
      <w:r w:rsidRPr="005E36EF">
        <w:tab/>
        <w:t>Réglementation et gestion du spectre/des orbites</w:t>
      </w:r>
      <w:bookmarkEnd w:id="40"/>
      <w:bookmarkEnd w:id="41"/>
      <w:bookmarkEnd w:id="42"/>
      <w:bookmarkEnd w:id="43"/>
      <w:bookmarkEnd w:id="44"/>
      <w:bookmarkEnd w:id="45"/>
    </w:p>
    <w:p w14:paraId="10B1CDEA" w14:textId="77777777" w:rsidR="00416430" w:rsidRPr="005E36EF" w:rsidRDefault="00416430" w:rsidP="008F2F65">
      <w:pPr>
        <w:keepNext/>
        <w:keepLines/>
      </w:pPr>
      <w:bookmarkStart w:id="46" w:name="_Toc37860457"/>
      <w:bookmarkStart w:id="47" w:name="_Toc37861218"/>
      <w:bookmarkStart w:id="48" w:name="_Toc37943337"/>
      <w:r w:rsidRPr="005E36EF">
        <w:t>L'UIT tient à jour le Règlement des radiocommunications, principal traité international régissant l'utilisation du spectre des fréquences radioélectriques et des orbites de satellites pour tous les types de communications hertziennes. En faisant respecter la réglementation et en facilitant la coopération internationale en la matière, l'organisation favorise l'accès équitable au spectre et aux orbites et leur utilisation rationnelle, dans la mesure où il s'agit de ressources naturelles limitées. Par l'intermédiaire de l'UIT, les administrations nationales s'entendent sur les assignations et la gestion des fréquences radioélectriques, tout en maintenant une coordination continue pour éviter les brouillages radioélectriques préjudiciables. L'UIT et son Bureau des radiocommunications mènent à bien ces activités, en fournissant aux États Membres du monde entier des données et des compétences spécialisées sur les communications sur terre, en mer, dans les airs et dans l'espace.</w:t>
      </w:r>
    </w:p>
    <w:p w14:paraId="10353DDD" w14:textId="77777777" w:rsidR="00416430" w:rsidRPr="005E36EF" w:rsidRDefault="00416430" w:rsidP="00416430">
      <w:pPr>
        <w:pStyle w:val="Headingb"/>
        <w:tabs>
          <w:tab w:val="clear" w:pos="567"/>
        </w:tabs>
        <w:ind w:left="0" w:firstLine="0"/>
      </w:pPr>
      <w:r w:rsidRPr="005E36EF">
        <w:t>Résultats du traitement des fiches de notification (services spatiaux) et des autres activités connexes</w:t>
      </w:r>
    </w:p>
    <w:p w14:paraId="6592FCBA" w14:textId="38038AC6" w:rsidR="00416430" w:rsidRPr="005E36EF" w:rsidRDefault="00416430" w:rsidP="00416430">
      <w:r w:rsidRPr="005E36EF">
        <w:t xml:space="preserve">De 2019 à 2023, 5 556 demandes de coordination et de notification ont été traitées (1 147 en 2023). En ce qui concerne les Plans pour la radiodiffusion par satellite et les liaisons de connexion associées, 506 demandes ont également été traitées (113 en 2023, dont 82 demandes au titre de la Résolution 559 (CMR-19)). S'agissant du Plan pour le service fixe par satellite, 281 demandes ont été traitées pendant la même période. On trouvera dans les tableaux de bord disponibles </w:t>
      </w:r>
      <w:hyperlink r:id="rId37" w:history="1">
        <w:r w:rsidRPr="005E36EF">
          <w:rPr>
            <w:rStyle w:val="Hyperlink"/>
          </w:rPr>
          <w:t>ici</w:t>
        </w:r>
      </w:hyperlink>
      <w:r w:rsidRPr="005E36EF">
        <w:t xml:space="preserve"> les chiffres exacts, par année.</w:t>
      </w:r>
    </w:p>
    <w:p w14:paraId="52F6511E" w14:textId="77777777" w:rsidR="00416430" w:rsidRPr="005E36EF" w:rsidRDefault="00416430" w:rsidP="00416430">
      <w:pPr>
        <w:pStyle w:val="Headingb"/>
      </w:pPr>
      <w:r w:rsidRPr="005E36EF">
        <w:t>Résultats du traitement des fiches de notification (services de Terre)</w:t>
      </w:r>
    </w:p>
    <w:p w14:paraId="4E92C297" w14:textId="77777777" w:rsidR="00416430" w:rsidRPr="005E36EF" w:rsidRDefault="00416430" w:rsidP="00416430">
      <w:r w:rsidRPr="005E36EF">
        <w:t xml:space="preserve">En ce qui concerne les fiches de notification pour les services de Terre, tous les résultats peuvent être consultés dans le tableau de bord disponible </w:t>
      </w:r>
      <w:hyperlink r:id="rId38" w:history="1">
        <w:r w:rsidRPr="005E36EF">
          <w:rPr>
            <w:rStyle w:val="Hyperlink"/>
          </w:rPr>
          <w:t>ici</w:t>
        </w:r>
      </w:hyperlink>
      <w:r w:rsidRPr="005E36EF">
        <w:t>.</w:t>
      </w:r>
    </w:p>
    <w:p w14:paraId="6F3FFAC3" w14:textId="77777777" w:rsidR="00416430" w:rsidRPr="005E36EF" w:rsidRDefault="00416430" w:rsidP="00416430">
      <w:r w:rsidRPr="005E36EF">
        <w:t>Par exemple, en 2023, 71 083 fiches de notification ont été inscrites dans le Fichier de référence (25 263 dans les Plans), 58 322 examens des conclusions pour les stations de Terre ont été inscrits dans le Fichier de référence, 9 442 notifications concernant des stations côtières et des stations de navire ont été reçues aux fins de l'inscription dans la base de données maritime de l'UIT et plus de 5 500 rapports de brouillages préjudiciables ont été traités.</w:t>
      </w:r>
    </w:p>
    <w:p w14:paraId="0483F7DD" w14:textId="33A0F1E2" w:rsidR="00416430" w:rsidRPr="005E36EF" w:rsidRDefault="00416430" w:rsidP="00103B6B">
      <w:pPr>
        <w:pStyle w:val="Headingb"/>
        <w:keepNext w:val="0"/>
        <w:keepLines w:val="0"/>
      </w:pPr>
      <w:r w:rsidRPr="005E36EF">
        <w:t>Amélioration du logiciel de l'UIT-R</w:t>
      </w:r>
    </w:p>
    <w:p w14:paraId="55C897D9" w14:textId="77777777" w:rsidR="00416430" w:rsidRPr="005E36EF" w:rsidRDefault="00416430" w:rsidP="00103B6B">
      <w:r w:rsidRPr="005E36EF">
        <w:t>Le Bureau des radiocommunications (BR) continue de produire des applications logicielles et des bases de données pour faciliter au mieux l'utilisation des produits du Secteur des radiocommunications de l'UIT (UIT-R) par les membres de l'UIT. En 2022, le BR a mis à jour le logiciel qui permet aux utilisateurs de consulter et d'analyser le Tableau d'attribution des bandes de fréquences qui figure dans l'Article 5 du Règlement des radiocommunications, mais aussi d'avoir accès à d'autres textes, notamment les Résolutions de la CMR, les Recommandations UIT-R citées comme référence et les Règles de procédure. Cette application permet d'extraire des règlements régionaux ou nationaux en vue de la présentation de Tableaux régionaux ou nationaux d'attribution des bandes de fréquences.</w:t>
      </w:r>
    </w:p>
    <w:p w14:paraId="0B765360" w14:textId="4646E697" w:rsidR="00416430" w:rsidRPr="005E36EF" w:rsidRDefault="00416430" w:rsidP="00103B6B">
      <w:pPr>
        <w:pStyle w:val="Headingb"/>
      </w:pPr>
      <w:r w:rsidRPr="005E36EF">
        <w:lastRenderedPageBreak/>
        <w:t>Progrès accomplis concernant les services de Terre</w:t>
      </w:r>
    </w:p>
    <w:p w14:paraId="556940CC" w14:textId="389F434B" w:rsidR="00416430" w:rsidRPr="005E36EF" w:rsidRDefault="00416430" w:rsidP="00103B6B">
      <w:pPr>
        <w:keepNext/>
        <w:keepLines/>
      </w:pPr>
      <w:r w:rsidRPr="005E36EF">
        <w:t xml:space="preserve">Les progrès réalisés en ce qui concerne les services de Terre peuvent être consultés </w:t>
      </w:r>
      <w:hyperlink r:id="rId39" w:history="1">
        <w:r w:rsidR="001D0FEE" w:rsidRPr="005E36EF">
          <w:t>à</w:t>
        </w:r>
      </w:hyperlink>
      <w:r w:rsidR="001D0FEE" w:rsidRPr="005E36EF">
        <w:t xml:space="preserve"> l'adresse </w:t>
      </w:r>
      <w:hyperlink r:id="rId40">
        <w:r w:rsidR="001D0FEE" w:rsidRPr="005E36EF">
          <w:rPr>
            <w:rStyle w:val="Hyperlink"/>
            <w:rFonts w:eastAsia="Calibri"/>
            <w:szCs w:val="24"/>
          </w:rPr>
          <w:t>https://www.itu.int/en/ITU-R/terrestrial/Pages/default.aspx</w:t>
        </w:r>
      </w:hyperlink>
      <w:r w:rsidRPr="005E36EF">
        <w:t xml:space="preserve">. On trouvera également dans le Document </w:t>
      </w:r>
      <w:hyperlink r:id="rId41" w:history="1">
        <w:r w:rsidRPr="005E36EF">
          <w:rPr>
            <w:rStyle w:val="Hyperlink"/>
          </w:rPr>
          <w:t>C23/35</w:t>
        </w:r>
      </w:hyperlink>
      <w:r w:rsidRPr="005E36EF">
        <w:t xml:space="preserve"> des détails sur l'analyse des améliorations particulières.</w:t>
      </w:r>
    </w:p>
    <w:p w14:paraId="41E7B16B" w14:textId="77777777" w:rsidR="00416430" w:rsidRPr="005E36EF" w:rsidRDefault="00416430" w:rsidP="00416430">
      <w:pPr>
        <w:pStyle w:val="Headingb"/>
        <w:tabs>
          <w:tab w:val="clear" w:pos="567"/>
        </w:tabs>
        <w:ind w:left="0" w:firstLine="0"/>
      </w:pPr>
      <w:r w:rsidRPr="005E36EF">
        <w:t>Progrès accomplis dans la mise en œuvre de la feuille de route sur les systèmes informatiques du BR pour les services spatiaux (19ème réunion du GCR, 2012)</w:t>
      </w:r>
    </w:p>
    <w:p w14:paraId="708E3181" w14:textId="77777777" w:rsidR="00416430" w:rsidRPr="005E36EF" w:rsidRDefault="00416430" w:rsidP="00416430">
      <w:pPr>
        <w:pStyle w:val="enumlev1"/>
      </w:pPr>
      <w:r w:rsidRPr="005E36EF">
        <w:t>•</w:t>
      </w:r>
      <w:r w:rsidRPr="005E36EF">
        <w:rPr>
          <w:b/>
          <w:bCs/>
        </w:rPr>
        <w:tab/>
      </w:r>
      <w:r w:rsidRPr="005E36EF">
        <w:t>Réécriture des logiciels existants pour les examens techniques: une version modernisée du logiciel PXT est en cours d'homologation et la migration des composants de GIMS Fortran est en cours.</w:t>
      </w:r>
    </w:p>
    <w:p w14:paraId="1A0E27B0" w14:textId="77777777" w:rsidR="00416430" w:rsidRPr="005E36EF" w:rsidRDefault="00416430" w:rsidP="00416430">
      <w:pPr>
        <w:pStyle w:val="enumlev1"/>
      </w:pPr>
      <w:r w:rsidRPr="005E36EF">
        <w:t>•</w:t>
      </w:r>
      <w:r w:rsidRPr="005E36EF">
        <w:rPr>
          <w:b/>
          <w:bCs/>
        </w:rPr>
        <w:tab/>
      </w:r>
      <w:r w:rsidRPr="005E36EF">
        <w:t>Conception et développement du Système d'information pour les services spatiaux du BR (BR SIS): l'élaboration du système BRSIS-Capture est en cours, la migration de la base de données SNS sur Ingres vers SQL Server devrait être achevée d'ici la fin 2024 et SNS Online et SNL Online devraient être remplacées par Space Explorer d'ici à la mi</w:t>
      </w:r>
      <w:r w:rsidRPr="005E36EF">
        <w:noBreakHyphen/>
        <w:t>2024.</w:t>
      </w:r>
    </w:p>
    <w:p w14:paraId="2C154E4D" w14:textId="77777777" w:rsidR="00416430" w:rsidRPr="005E36EF" w:rsidRDefault="00416430" w:rsidP="00416430">
      <w:r w:rsidRPr="005E36EF">
        <w:rPr>
          <w:b/>
          <w:bCs/>
        </w:rPr>
        <w:t>Résultats des activités concernant les applications pour les services spatiaux</w:t>
      </w:r>
    </w:p>
    <w:p w14:paraId="48699EC3" w14:textId="77777777" w:rsidR="00416430" w:rsidRPr="005E36EF" w:rsidRDefault="00416430" w:rsidP="00416430">
      <w:pPr>
        <w:pStyle w:val="enumlev1"/>
      </w:pPr>
      <w:r w:rsidRPr="005E36EF">
        <w:t>•</w:t>
      </w:r>
      <w:r w:rsidRPr="005E36EF">
        <w:rPr>
          <w:b/>
          <w:bCs/>
        </w:rPr>
        <w:tab/>
      </w:r>
      <w:r w:rsidRPr="005E36EF">
        <w:t>Système de soumission électronique (mise en œuvre de la Résolution 908 (Rév.CMR</w:t>
      </w:r>
      <w:r w:rsidRPr="005E36EF">
        <w:noBreakHyphen/>
        <w:t>15)):</w:t>
      </w:r>
    </w:p>
    <w:p w14:paraId="16FC80EC" w14:textId="77777777" w:rsidR="00416430" w:rsidRPr="005E36EF" w:rsidRDefault="00416430" w:rsidP="00416430">
      <w:pPr>
        <w:pStyle w:val="enumlev2"/>
      </w:pPr>
      <w:r w:rsidRPr="005E36EF">
        <w:t>–</w:t>
      </w:r>
      <w:r w:rsidRPr="005E36EF">
        <w:tab/>
        <w:t>Septembre 2023: création d'un nouveau statut "Publiée dans la BR IFIC": lorsqu'une fiche de notification est publiée dans une Section spéciale ou dans la Partie I-S d'une BR IFIC (services spatiaux) conformément au Règlement des radiocommunications, le statut de cette fiche de notification dans le système de soumission électronique passera de "Published As-Received" (publiée telle que reçue) à "Published in BR IFIC" (publiée dans la BR IFIC).</w:t>
      </w:r>
    </w:p>
    <w:p w14:paraId="6FEAAEA8" w14:textId="77777777" w:rsidR="00416430" w:rsidRPr="005E36EF" w:rsidRDefault="00416430" w:rsidP="00416430">
      <w:pPr>
        <w:pStyle w:val="enumlev2"/>
      </w:pPr>
      <w:r w:rsidRPr="005E36EF">
        <w:t>–</w:t>
      </w:r>
      <w:r w:rsidRPr="005E36EF">
        <w:tab/>
        <w:t>Octobre 2023: nouvel outil d'examen en ligne visant à aider les administrations (ou les opérateurs) à vérifier la conformité aux limites de puissance surfacique et de p.i.r.e. définies dans le Règlement des radiocommunications lorsqu'elles soumettent leurs fiches de notification de réseaux à satellite au Bureau (ou à des administrations).</w:t>
      </w:r>
    </w:p>
    <w:p w14:paraId="193B4377" w14:textId="77777777" w:rsidR="00416430" w:rsidRPr="005E36EF" w:rsidRDefault="00416430" w:rsidP="00416430">
      <w:pPr>
        <w:pStyle w:val="enumlev2"/>
      </w:pPr>
      <w:r w:rsidRPr="005E36EF">
        <w:t>–</w:t>
      </w:r>
      <w:r w:rsidRPr="005E36EF">
        <w:tab/>
        <w:t xml:space="preserve">Décembre 2023: pour répondre aux besoins immédiats concernant les nouvelles soumissions sur la base des décisions de la CMR-23, le système a été modifié pour accepter les éléments de données adoptés par la CMR-23 et qui sont entrés en vigueur à la fin de la Conférence </w:t>
      </w:r>
      <w:r w:rsidRPr="005E36EF">
        <w:rPr>
          <w:i/>
          <w:iCs/>
        </w:rPr>
        <w:t>en</w:t>
      </w:r>
      <w:r w:rsidRPr="005E36EF">
        <w:t xml:space="preserve"> raison de la Règle de procédure relative à la recevabilité.</w:t>
      </w:r>
    </w:p>
    <w:p w14:paraId="1197FD62" w14:textId="77777777" w:rsidR="00416430" w:rsidRPr="005E36EF" w:rsidRDefault="00416430" w:rsidP="00416430">
      <w:pPr>
        <w:pStyle w:val="enumlev1"/>
      </w:pPr>
      <w:r w:rsidRPr="005E36EF">
        <w:t>•</w:t>
      </w:r>
      <w:r w:rsidRPr="005E36EF">
        <w:tab/>
        <w:t>Système de communication électronique (mise en œuvre de la Résolution 907 (Rév.CMR-15)): la nouvelle fonction d'intégration au système de soumission électronique, qui facilitera le suivi de correspondance entre le Bureau et l'administration notificatrice concernant les échanges relatifs à la recevabilité, est en cours de mise au point et devrait être installée en 2024.</w:t>
      </w:r>
    </w:p>
    <w:p w14:paraId="0EE04137" w14:textId="77777777" w:rsidR="00416430" w:rsidRPr="005E36EF" w:rsidRDefault="00416430" w:rsidP="00416430">
      <w:pPr>
        <w:pStyle w:val="enumlev1"/>
      </w:pPr>
      <w:r w:rsidRPr="005E36EF">
        <w:t>•</w:t>
      </w:r>
      <w:r w:rsidRPr="005E36EF">
        <w:tab/>
        <w:t>Passage de la BR IFIC (services spatiaux) d'un format DVD à un mécanisme en ligne: l'application web BR IFIC (services spatiaux) est entrée en production en janvier 2024.</w:t>
      </w:r>
      <w:bookmarkEnd w:id="46"/>
      <w:bookmarkEnd w:id="47"/>
      <w:bookmarkEnd w:id="48"/>
    </w:p>
    <w:p w14:paraId="4C329FB0" w14:textId="77777777" w:rsidR="00416430" w:rsidRPr="005E36EF" w:rsidRDefault="00416430" w:rsidP="00416430">
      <w:pPr>
        <w:pStyle w:val="Heading2"/>
      </w:pPr>
      <w:bookmarkStart w:id="49" w:name="_Toc166500743"/>
      <w:r w:rsidRPr="005E36EF">
        <w:lastRenderedPageBreak/>
        <w:t>4.2</w:t>
      </w:r>
      <w:r w:rsidRPr="005E36EF">
        <w:tab/>
        <w:t>Technologies émergentes: élaborer des cadres pour une transformation numérique durable</w:t>
      </w:r>
      <w:bookmarkEnd w:id="49"/>
    </w:p>
    <w:p w14:paraId="4D25126E" w14:textId="77777777" w:rsidR="00416430" w:rsidRPr="005E36EF" w:rsidRDefault="00416430" w:rsidP="00416430">
      <w:pPr>
        <w:spacing w:after="240"/>
      </w:pPr>
      <w:r w:rsidRPr="005E36EF">
        <w:t>Dans le cadre de ses travaux visant à accélérer le développement technologique, l'UIT s'est intéressée de près à l'intelligence artificielle (IA), aux technologies d'information quantique et au potentiel du métavers, ou des mondes virtuels, pour favoriser une transformation numérique inclusive et durable dans le monde entier.</w:t>
      </w:r>
    </w:p>
    <w:tbl>
      <w:tblPr>
        <w:tblStyle w:val="TableGrid"/>
        <w:tblW w:w="0" w:type="auto"/>
        <w:tblLook w:val="04A0" w:firstRow="1" w:lastRow="0" w:firstColumn="1" w:lastColumn="0" w:noHBand="0" w:noVBand="1"/>
      </w:tblPr>
      <w:tblGrid>
        <w:gridCol w:w="9061"/>
      </w:tblGrid>
      <w:tr w:rsidR="00416430" w:rsidRPr="005E36EF" w14:paraId="03EFA533" w14:textId="77777777" w:rsidTr="003631C1">
        <w:tc>
          <w:tcPr>
            <w:tcW w:w="9061" w:type="dxa"/>
          </w:tcPr>
          <w:p w14:paraId="2240EA97" w14:textId="77777777" w:rsidR="00416430" w:rsidRPr="005E36EF" w:rsidRDefault="00416430" w:rsidP="003631C1">
            <w:pPr>
              <w:jc w:val="center"/>
              <w:rPr>
                <w:b/>
                <w:bCs/>
                <w:sz w:val="28"/>
                <w:szCs w:val="28"/>
              </w:rPr>
            </w:pPr>
            <w:r w:rsidRPr="005E36EF">
              <w:rPr>
                <w:b/>
                <w:bCs/>
                <w:sz w:val="28"/>
                <w:szCs w:val="28"/>
              </w:rPr>
              <w:t>Des résultats concrets</w:t>
            </w:r>
          </w:p>
          <w:p w14:paraId="2F747A86" w14:textId="77777777" w:rsidR="00416430" w:rsidRPr="005E36EF" w:rsidRDefault="00416430" w:rsidP="003631C1">
            <w:pPr>
              <w:rPr>
                <w:b/>
                <w:bCs/>
              </w:rPr>
            </w:pPr>
            <w:r w:rsidRPr="005E36EF">
              <w:rPr>
                <w:b/>
                <w:bCs/>
              </w:rPr>
              <w:t>Utilisation des télécommunications d'urgence en Papouasie-Nouvelle-Guinée</w:t>
            </w:r>
          </w:p>
          <w:p w14:paraId="228D2E17" w14:textId="77777777" w:rsidR="00416430" w:rsidRPr="005E36EF" w:rsidRDefault="00416430" w:rsidP="003631C1">
            <w:r w:rsidRPr="005E36EF">
              <w:t>L'UIT a fourni des équipements de télécommunication par satellite essentiels aux interventions humanitaires en Papouasie-Nouvelle-Guinée pour remédier aux dégâts causés par l'éruption du Mont Bagana en juillet 2023. La fourniture de téléphones satellitaires Iridium et de terminaux BGAN d'Inmarsat a contribué à rétablir des communications essentielles et facilité la coordination des opérations d'évacuation pour les communautés à risque. Les technologies numériques jouent un rôle essentiel en ce qu'elles facilitent la circulation rapide des informations dans le sillage des catastrophes, ce qui permet de réduire les risques et de sauver des vies.</w:t>
            </w:r>
          </w:p>
          <w:p w14:paraId="1D2DDFCE" w14:textId="77777777" w:rsidR="00416430" w:rsidRPr="005E36EF" w:rsidRDefault="001A6AF2" w:rsidP="003631C1">
            <w:pPr>
              <w:spacing w:after="120"/>
            </w:pPr>
            <w:hyperlink r:id="rId42" w:history="1">
              <w:r w:rsidR="00416430" w:rsidRPr="005E36EF">
                <w:rPr>
                  <w:rStyle w:val="Hyperlink"/>
                </w:rPr>
                <w:t>En savoir plus sur le déploiement des équipements fournis par l'UIT</w:t>
              </w:r>
            </w:hyperlink>
            <w:r w:rsidR="00416430" w:rsidRPr="005E36EF">
              <w:t>.</w:t>
            </w:r>
          </w:p>
        </w:tc>
      </w:tr>
    </w:tbl>
    <w:p w14:paraId="1BA15452" w14:textId="77777777" w:rsidR="00416430" w:rsidRPr="005E36EF" w:rsidRDefault="00416430" w:rsidP="00416430">
      <w:pPr>
        <w:pStyle w:val="Heading3"/>
        <w:spacing w:before="240"/>
      </w:pPr>
      <w:bookmarkStart w:id="50" w:name="_Toc165445600"/>
      <w:bookmarkStart w:id="51" w:name="_Toc165445963"/>
      <w:bookmarkStart w:id="52" w:name="_Toc166500744"/>
      <w:r w:rsidRPr="005E36EF">
        <w:t>4.2.1</w:t>
      </w:r>
      <w:r w:rsidRPr="005E36EF">
        <w:tab/>
        <w:t>Intelligence artificielle</w:t>
      </w:r>
      <w:bookmarkEnd w:id="50"/>
      <w:bookmarkEnd w:id="51"/>
      <w:bookmarkEnd w:id="52"/>
    </w:p>
    <w:p w14:paraId="172C8982" w14:textId="77777777" w:rsidR="00416430" w:rsidRPr="005E36EF" w:rsidRDefault="00416430" w:rsidP="00416430">
      <w:r w:rsidRPr="005E36EF">
        <w:t>L'UIT offre à toutes les parties prenantes une tribune mondiale pour surmonter les difficultés liées au développement sûr et inclusif des applications et technologies d'IA et tirer parti des possibilités qu'elles offrent.</w:t>
      </w:r>
    </w:p>
    <w:p w14:paraId="22A41127" w14:textId="77777777" w:rsidR="00416430" w:rsidRPr="005E36EF" w:rsidRDefault="00416430" w:rsidP="00416430">
      <w:r w:rsidRPr="005E36EF">
        <w:t>L'essor de systèmes d'IA de plus en plus performants apporte son lot de risques et de possibilités. Les outils d'IA peuvent améliorer la vie et les moyens de subsistance des personnes, renforcer la réponse mondiale aux changements climatiques et favoriser le développement durable pour tous. Pourtant, avec des milliards de personnes en marge du numérique, la révolution de l'IA risque de creuser les inégalités à l'échelle mondiale.</w:t>
      </w:r>
    </w:p>
    <w:p w14:paraId="0B32BF3E" w14:textId="77777777" w:rsidR="00416430" w:rsidRPr="005E36EF" w:rsidRDefault="00416430" w:rsidP="00416430">
      <w:r w:rsidRPr="005E36EF">
        <w:t>L'UIT mène notamment les travaux suivants dans le domaine de l'IA:</w:t>
      </w:r>
    </w:p>
    <w:p w14:paraId="34DF583C" w14:textId="77777777" w:rsidR="00416430" w:rsidRPr="005E36EF" w:rsidRDefault="00416430" w:rsidP="00416430">
      <w:pPr>
        <w:pStyle w:val="enumlev1"/>
      </w:pPr>
      <w:r w:rsidRPr="005E36EF">
        <w:t>•</w:t>
      </w:r>
      <w:r w:rsidRPr="005E36EF">
        <w:tab/>
      </w:r>
      <w:r w:rsidRPr="005E36EF">
        <w:rPr>
          <w:u w:val="single"/>
        </w:rPr>
        <w:t>Normalisation de l'IA</w:t>
      </w:r>
      <w:r w:rsidRPr="005E36EF">
        <w:t xml:space="preserve">, y compris les </w:t>
      </w:r>
      <w:hyperlink r:id="rId43" w:history="1">
        <w:r w:rsidRPr="005E36EF">
          <w:rPr>
            <w:rStyle w:val="Hyperlink"/>
          </w:rPr>
          <w:t>groupes spécialisés pertinents de l'UIT-T</w:t>
        </w:r>
      </w:hyperlink>
      <w:r w:rsidRPr="005E36EF">
        <w:t xml:space="preserve"> (voir le § 4.2 pour plus de précisions).</w:t>
      </w:r>
    </w:p>
    <w:p w14:paraId="7748BDCD" w14:textId="77777777" w:rsidR="00416430" w:rsidRPr="005E36EF" w:rsidRDefault="00416430" w:rsidP="00416430">
      <w:pPr>
        <w:pStyle w:val="enumlev1"/>
      </w:pPr>
      <w:r w:rsidRPr="005E36EF">
        <w:t>•</w:t>
      </w:r>
      <w:r w:rsidRPr="005E36EF">
        <w:tab/>
      </w:r>
      <w:hyperlink r:id="rId44" w:history="1">
        <w:r w:rsidRPr="005E36EF">
          <w:rPr>
            <w:rStyle w:val="Hyperlink"/>
          </w:rPr>
          <w:t>Sommet mondial sur l'IA au service du bien social</w:t>
        </w:r>
      </w:hyperlink>
      <w:r w:rsidRPr="005E36EF">
        <w:t>.</w:t>
      </w:r>
    </w:p>
    <w:p w14:paraId="3CA650AB" w14:textId="77777777" w:rsidR="00416430" w:rsidRPr="005E36EF" w:rsidRDefault="00416430" w:rsidP="00416430">
      <w:pPr>
        <w:pStyle w:val="enumlev1"/>
      </w:pPr>
      <w:r w:rsidRPr="005E36EF">
        <w:t>•</w:t>
      </w:r>
      <w:r w:rsidRPr="005E36EF">
        <w:tab/>
        <w:t xml:space="preserve">Concours sur l'IA et l'apprentissage automatique ("Défis"): au cours de la période considérée, les concours ont porté sur les </w:t>
      </w:r>
      <w:hyperlink r:id="rId45" w:history="1">
        <w:r w:rsidRPr="005E36EF">
          <w:rPr>
            <w:rStyle w:val="Hyperlink"/>
          </w:rPr>
          <w:t>réseaux de communication</w:t>
        </w:r>
      </w:hyperlink>
      <w:r w:rsidRPr="005E36EF">
        <w:t>, l'</w:t>
      </w:r>
      <w:hyperlink r:id="rId46" w:history="1">
        <w:r w:rsidRPr="005E36EF">
          <w:rPr>
            <w:rStyle w:val="Hyperlink"/>
          </w:rPr>
          <w:t>analyse de données géospatiales</w:t>
        </w:r>
      </w:hyperlink>
      <w:r w:rsidRPr="005E36EF">
        <w:t xml:space="preserve">, les </w:t>
      </w:r>
      <w:hyperlink r:id="rId47" w:history="1">
        <w:r w:rsidRPr="005E36EF">
          <w:rPr>
            <w:rStyle w:val="Hyperlink"/>
          </w:rPr>
          <w:t>changements climatiques</w:t>
        </w:r>
      </w:hyperlink>
      <w:r w:rsidRPr="005E36EF">
        <w:t xml:space="preserve"> et </w:t>
      </w:r>
      <w:hyperlink r:id="rId48" w:history="1">
        <w:r w:rsidRPr="005E36EF">
          <w:rPr>
            <w:rStyle w:val="Hyperlink"/>
          </w:rPr>
          <w:t>l'énergie de fusion</w:t>
        </w:r>
      </w:hyperlink>
      <w:r w:rsidRPr="005E36EF">
        <w:t>.</w:t>
      </w:r>
    </w:p>
    <w:p w14:paraId="537178E0" w14:textId="77777777" w:rsidR="00416430" w:rsidRPr="005E36EF" w:rsidRDefault="00416430" w:rsidP="00416430">
      <w:r w:rsidRPr="005E36EF">
        <w:t>L'influence de l'IA et de l'apprentissage automatique sur les travaux de normalisation de l'UIT ne cesse de croître, notamment en ce qui concerne l'orchestration et la gestion des réseaux, le multimédia, l'évaluation de la qualité de service, l'efficacité énergétique, les protocoles et les spécifications de test, les réseaux futurs, les réseaux câblés, l'exploitation et la maintenance des réseaux, la sécurité, la santé numérique, la mobilité intelligente, l'agriculture numérique et la gestion des catastrophes.</w:t>
      </w:r>
    </w:p>
    <w:p w14:paraId="43371187" w14:textId="77777777" w:rsidR="00416430" w:rsidRPr="005E36EF" w:rsidRDefault="00416430" w:rsidP="00416430">
      <w:r w:rsidRPr="005E36EF">
        <w:lastRenderedPageBreak/>
        <w:t>La communauté mondiale et inclusive de l'IA au service du bien social, composée d'acteurs du secteur privé, de la société civile et d'institutions publiques, se réunit tout au long de l'année pour se pencher sur des questions liées à l'IA, à l'apprentissage automatique et aux outils d'interface machine-cerveau.</w:t>
      </w:r>
    </w:p>
    <w:p w14:paraId="32A82DF4" w14:textId="77777777" w:rsidR="00416430" w:rsidRPr="005E36EF" w:rsidRDefault="00416430" w:rsidP="00416430">
      <w:r w:rsidRPr="005E36EF">
        <w:t>Parallèlement, les participants aux discussions sur la gouvernance, menées sous l'égide de l'UIT, ont commencé à approfondir leurs réflexions sur la manière de gérer les risques, y compris le risque d'aggravation de la fracture numérique, et de faire en sorte que l'IA profite à l'humanité tout entière.</w:t>
      </w:r>
    </w:p>
    <w:p w14:paraId="78F7AF2C" w14:textId="77777777" w:rsidR="00416430" w:rsidRPr="005E36EF" w:rsidRDefault="00416430" w:rsidP="00416430">
      <w:pPr>
        <w:pStyle w:val="Heading3"/>
      </w:pPr>
      <w:bookmarkStart w:id="53" w:name="_Toc165445601"/>
      <w:bookmarkStart w:id="54" w:name="_Toc165445964"/>
      <w:bookmarkStart w:id="55" w:name="_Toc166500745"/>
      <w:r w:rsidRPr="005E36EF">
        <w:t>4.2.2</w:t>
      </w:r>
      <w:r w:rsidRPr="005E36EF">
        <w:tab/>
        <w:t>Technologies de l'information quantique</w:t>
      </w:r>
      <w:bookmarkEnd w:id="53"/>
      <w:bookmarkEnd w:id="54"/>
      <w:bookmarkEnd w:id="55"/>
    </w:p>
    <w:p w14:paraId="51081A67" w14:textId="77777777" w:rsidR="00416430" w:rsidRPr="005E36EF" w:rsidRDefault="00416430" w:rsidP="00416430">
      <w:r w:rsidRPr="005E36EF">
        <w:t>Les travaux de normalisation de l'UIT portent sur les aspects de réseau et de sécurité des technologies de l'information quantique, l'accent étant mis initialement sur la distribution de clés quantiques (QKD), un moyen de cryptage et d'authentification quantique sécurisé. Les normes de l'UIT relatives aux réseaux QKD permettront d'intégrer les technologies QKD dans les réseaux TIC à grande échelle et assureront la sécurité des réseaux QKD.</w:t>
      </w:r>
    </w:p>
    <w:p w14:paraId="3EE9BF27" w14:textId="77777777" w:rsidR="00416430" w:rsidRPr="005E36EF" w:rsidRDefault="00416430" w:rsidP="00416430">
      <w:pPr>
        <w:pStyle w:val="Heading3"/>
      </w:pPr>
      <w:bookmarkStart w:id="56" w:name="_Toc165445602"/>
      <w:bookmarkStart w:id="57" w:name="_Toc165445965"/>
      <w:bookmarkStart w:id="58" w:name="_Toc166500746"/>
      <w:r w:rsidRPr="005E36EF">
        <w:t>4.2.3</w:t>
      </w:r>
      <w:r w:rsidRPr="005E36EF">
        <w:tab/>
        <w:t>Métavers</w:t>
      </w:r>
      <w:bookmarkEnd w:id="56"/>
      <w:bookmarkEnd w:id="57"/>
      <w:bookmarkEnd w:id="58"/>
    </w:p>
    <w:p w14:paraId="28571DED" w14:textId="77777777" w:rsidR="00416430" w:rsidRPr="005E36EF" w:rsidRDefault="00416430" w:rsidP="00416430">
      <w:pPr>
        <w:spacing w:after="240"/>
      </w:pPr>
      <w:r w:rsidRPr="005E36EF">
        <w:t xml:space="preserve">À ce jour, le </w:t>
      </w:r>
      <w:hyperlink r:id="rId49" w:history="1">
        <w:r w:rsidRPr="005E36EF">
          <w:rPr>
            <w:rStyle w:val="Hyperlink"/>
          </w:rPr>
          <w:t>Groupe spécialisé de l'UIT-T sur le métavers (FG-MV)</w:t>
        </w:r>
      </w:hyperlink>
      <w:r w:rsidRPr="005E36EF">
        <w:t xml:space="preserve"> a élaboré 37 </w:t>
      </w:r>
      <w:hyperlink r:id="rId50" w:history="1">
        <w:r w:rsidRPr="005E36EF">
          <w:rPr>
            <w:rStyle w:val="Hyperlink"/>
          </w:rPr>
          <w:t>produits</w:t>
        </w:r>
      </w:hyperlink>
      <w:r w:rsidRPr="005E36EF">
        <w:t>, dont une définition du métavers et une feuille de route pour la normalisation. Les produits portent également sur l'IA générative dans le métavers, l'interopérabilité entre différentes plates-formes, la sécurité et la confiance, l'accessibilité, l'efficacité énergétique et la durabilité, les applications du métavers pour les villes et les milieux industriels, l'Internet des objets (IoT), les jumeaux numériques, les questions éthiques à prendre en compte dans les travaux de normalisation relatifs au métavers, et les considérations relatives aux questions de politique et de réglementation.</w:t>
      </w:r>
    </w:p>
    <w:tbl>
      <w:tblPr>
        <w:tblStyle w:val="TableGrid"/>
        <w:tblW w:w="0" w:type="auto"/>
        <w:tblLook w:val="04A0" w:firstRow="1" w:lastRow="0" w:firstColumn="1" w:lastColumn="0" w:noHBand="0" w:noVBand="1"/>
      </w:tblPr>
      <w:tblGrid>
        <w:gridCol w:w="9061"/>
      </w:tblGrid>
      <w:tr w:rsidR="00416430" w:rsidRPr="005E36EF" w14:paraId="1A4CF9BA" w14:textId="77777777" w:rsidTr="003631C1">
        <w:tc>
          <w:tcPr>
            <w:tcW w:w="9061" w:type="dxa"/>
          </w:tcPr>
          <w:p w14:paraId="3123D003" w14:textId="77777777" w:rsidR="00416430" w:rsidRPr="005E36EF" w:rsidRDefault="00416430" w:rsidP="003631C1">
            <w:pPr>
              <w:jc w:val="center"/>
              <w:rPr>
                <w:b/>
                <w:bCs/>
                <w:sz w:val="28"/>
                <w:szCs w:val="28"/>
              </w:rPr>
            </w:pPr>
            <w:r w:rsidRPr="005E36EF">
              <w:rPr>
                <w:b/>
                <w:bCs/>
                <w:sz w:val="28"/>
                <w:szCs w:val="28"/>
              </w:rPr>
              <w:t>Des résultats concrets</w:t>
            </w:r>
          </w:p>
          <w:p w14:paraId="45EFBE6F" w14:textId="77777777" w:rsidR="00416430" w:rsidRPr="005E36EF" w:rsidRDefault="00416430" w:rsidP="003631C1">
            <w:pPr>
              <w:rPr>
                <w:b/>
                <w:bCs/>
              </w:rPr>
            </w:pPr>
            <w:r w:rsidRPr="005E36EF">
              <w:rPr>
                <w:b/>
                <w:bCs/>
              </w:rPr>
              <w:t>Le Monténégro passe au protocole IPv6</w:t>
            </w:r>
          </w:p>
          <w:p w14:paraId="19697CC5" w14:textId="77777777" w:rsidR="00416430" w:rsidRPr="005E36EF" w:rsidRDefault="00416430" w:rsidP="003631C1">
            <w:r w:rsidRPr="005E36EF">
              <w:t>Le passage au protocole Internet le plus récent, à savoir le protocole IPv6, est synonyme de tremplin pour l'économie numérique et d'accélérateur pour l'innovation, et peut améliorer les capacités et la résilience socio-économiques de manière significative. L'inauguration, par l'Université du Monténégro, d'un nouveau Laboratoire de protocole IPv6 constitue une étape essentielle en vue d'accélérer la transformation numérique du pays. L'UIT a fourni une assistance technique au Monténégro dans le cadre du passage du protocole IPv4 au protocole IPv6. Le nouveau Laboratoire de protocole IPv6 vise à encourager l'innovation, à renforcer les capacités numériques et à améliorer l'infrastructure numérique du pays.</w:t>
            </w:r>
          </w:p>
          <w:p w14:paraId="7EE4603D" w14:textId="77777777" w:rsidR="00416430" w:rsidRPr="005E36EF" w:rsidRDefault="001A6AF2" w:rsidP="003631C1">
            <w:pPr>
              <w:spacing w:after="120"/>
              <w:rPr>
                <w:szCs w:val="24"/>
              </w:rPr>
            </w:pPr>
            <w:hyperlink r:id="rId51" w:history="1">
              <w:r w:rsidR="00416430" w:rsidRPr="005E36EF">
                <w:rPr>
                  <w:rStyle w:val="Hyperlink"/>
                  <w:szCs w:val="24"/>
                </w:rPr>
                <w:t>En savoir plus sur le Laboratoire de protocole IPv6</w:t>
              </w:r>
            </w:hyperlink>
            <w:r w:rsidR="00416430" w:rsidRPr="005E36EF">
              <w:rPr>
                <w:szCs w:val="24"/>
              </w:rPr>
              <w:t>.</w:t>
            </w:r>
          </w:p>
        </w:tc>
      </w:tr>
    </w:tbl>
    <w:p w14:paraId="161507E6" w14:textId="77777777" w:rsidR="00416430" w:rsidRPr="005E36EF" w:rsidRDefault="00416430" w:rsidP="00C043AE">
      <w:pPr>
        <w:pStyle w:val="Heading2"/>
      </w:pPr>
      <w:bookmarkStart w:id="59" w:name="_Toc166500747"/>
      <w:r w:rsidRPr="005E36EF">
        <w:lastRenderedPageBreak/>
        <w:t>4.3</w:t>
      </w:r>
      <w:r w:rsidRPr="005E36EF">
        <w:tab/>
        <w:t>Climat et environnement: surveiller et réduire les émissions et les déchets d'équipements électriques et électroniques</w:t>
      </w:r>
      <w:bookmarkEnd w:id="59"/>
    </w:p>
    <w:p w14:paraId="3FDCC64A" w14:textId="77777777" w:rsidR="00416430" w:rsidRPr="005E36EF" w:rsidRDefault="00416430" w:rsidP="00C043AE">
      <w:pPr>
        <w:keepNext/>
        <w:keepLines/>
      </w:pPr>
      <w:r w:rsidRPr="005E36EF">
        <w:t>Outre les résultats de la CMR-23 relatifs au climat et à l'environnement présentés au § 2, l'UIT est à l'avant-garde des initiatives mondiales visant à mettre en place des économies numériques circulaires, à réduire les déchets d'équipements électriques et électroniques (DEEE) et les émissions de gaz à effet de serre, et à placer le secteur florissant du numérique en première ligne de l'action en faveur du climat et de l'environnement.</w:t>
      </w:r>
    </w:p>
    <w:p w14:paraId="13AFE684" w14:textId="77777777" w:rsidR="00416430" w:rsidRPr="005E36EF" w:rsidRDefault="00416430" w:rsidP="00416430">
      <w:r w:rsidRPr="005E36EF">
        <w:t>Dans le cadre du volet "Action du secteur du numérique pour l'environnement" à la vingt</w:t>
      </w:r>
      <w:r w:rsidRPr="005E36EF">
        <w:noBreakHyphen/>
        <w:t>huitième session de la Conférences des Parties (COP28), les principaux acteurs du secteur se sont engagés à réduire les émissions et à mettre en place un cadre de surveillance mondial à l'échelle du secteur. Un projet en cours vise à appuyer la transformation numérique dans les villes et les communautés intelligentes grâce à des normes applicables à l'IoT, aux jumeaux numériques et à l'IA. Étant donné que les catastrophes liées au climat deviennent de plus en plus fréquentes et graves, l'UIT participe activement à l'initiative du Secrétaire général de l'ONU sur les systèmes d'alerte précoce pour tous.</w:t>
      </w:r>
    </w:p>
    <w:p w14:paraId="5E2B236D" w14:textId="77777777" w:rsidR="00416430" w:rsidRPr="005E36EF" w:rsidRDefault="00416430" w:rsidP="00416430">
      <w:r w:rsidRPr="005E36EF">
        <w:t>Plusieurs étapes importantes ont été franchies entre mars 2023 et mars 2024 grâce aux projets et activités de l'UIT-D relatifs à l'économie circulaire et aux changements climatiques. En particulier, les résultats suivants ont été obtenus:</w:t>
      </w:r>
    </w:p>
    <w:p w14:paraId="37FB05C2" w14:textId="3F511986" w:rsidR="00416430" w:rsidRPr="005E36EF" w:rsidRDefault="00416430" w:rsidP="00416430">
      <w:pPr>
        <w:pStyle w:val="enumlev1"/>
      </w:pPr>
      <w:r w:rsidRPr="005E36EF">
        <w:t>•</w:t>
      </w:r>
      <w:r w:rsidRPr="005E36EF">
        <w:tab/>
        <w:t>Le quatrième rapport "Global E-waste Monitor" (</w:t>
      </w:r>
      <w:r w:rsidRPr="005E36EF">
        <w:rPr>
          <w:i/>
          <w:iCs/>
        </w:rPr>
        <w:t xml:space="preserve">Suivi des </w:t>
      </w:r>
      <w:bookmarkStart w:id="60" w:name="_Hlk165384293"/>
      <w:r w:rsidRPr="005E36EF">
        <w:rPr>
          <w:i/>
          <w:iCs/>
        </w:rPr>
        <w:t>déchets d'équipements électriques et électroniques</w:t>
      </w:r>
      <w:bookmarkEnd w:id="60"/>
      <w:r w:rsidRPr="005E36EF">
        <w:rPr>
          <w:i/>
          <w:iCs/>
        </w:rPr>
        <w:t xml:space="preserve"> à l'échelle mondiale</w:t>
      </w:r>
      <w:r w:rsidRPr="005E36EF">
        <w:t xml:space="preserve">) a été publié le 20 mars 2024. Sur les 81 pays couverts par une politique, une législation ou une réglementation nationale en matière de DEEE, 67 appliquent le principe de responsabilité élargie du producteur (REP), 46 ont inscrit des objectifs nationaux en matière de collecte de DEEE dans leur réglementation et 36 en ont fait de même pour des objectifs nationaux en matière de recyclage de DEEE. Dans les 12 heures qui ont suivi sa publication, le rapport a été mentionné par des médias grand public dans 955 articles tirés de 813 sites d'information différents dans 27 langues à travers 65 pays. Dans ce contexte, le nombre total d'impressions potentielles a été estimé à 3,3 milliards. </w:t>
      </w:r>
      <w:r w:rsidR="001D0FEE" w:rsidRPr="005E36EF">
        <w:t>Le</w:t>
      </w:r>
      <w:r w:rsidRPr="005E36EF">
        <w:t xml:space="preserve"> rapport "Global E-waste Monitor</w:t>
      </w:r>
      <w:r w:rsidR="001D0FEE" w:rsidRPr="005E36EF">
        <w:t xml:space="preserve">" a bénéficié d'une large couverture médiatique </w:t>
      </w:r>
      <w:r w:rsidR="002F25DB" w:rsidRPr="005E36EF">
        <w:t>des</w:t>
      </w:r>
      <w:r w:rsidR="00B4355F" w:rsidRPr="005E36EF">
        <w:t xml:space="preserve"> agences de presse</w:t>
      </w:r>
      <w:r w:rsidR="001D0FEE" w:rsidRPr="005E36EF">
        <w:t xml:space="preserve"> </w:t>
      </w:r>
      <w:r w:rsidRPr="005E36EF">
        <w:t>AP Reuters</w:t>
      </w:r>
      <w:r w:rsidR="00297875" w:rsidRPr="005E36EF">
        <w:t xml:space="preserve"> et </w:t>
      </w:r>
      <w:r w:rsidRPr="005E36EF">
        <w:t xml:space="preserve">Deutsche Presse Agentur, </w:t>
      </w:r>
      <w:r w:rsidR="00CB16CC" w:rsidRPr="005E36EF">
        <w:t xml:space="preserve">ainsi que </w:t>
      </w:r>
      <w:r w:rsidR="00B4355F" w:rsidRPr="005E36EF">
        <w:t xml:space="preserve">des </w:t>
      </w:r>
      <w:r w:rsidR="002B182F" w:rsidRPr="005E36EF">
        <w:t>médias</w:t>
      </w:r>
      <w:r w:rsidR="00B4355F" w:rsidRPr="005E36EF">
        <w:t xml:space="preserve"> </w:t>
      </w:r>
      <w:r w:rsidR="00CB16CC" w:rsidRPr="005E36EF">
        <w:t>CNN,</w:t>
      </w:r>
      <w:r w:rsidRPr="005E36EF">
        <w:t xml:space="preserve"> Daily Mail, Die Welt</w:t>
      </w:r>
      <w:r w:rsidR="00CB16CC" w:rsidRPr="005E36EF">
        <w:t>, Le Monde</w:t>
      </w:r>
      <w:r w:rsidRPr="005E36EF">
        <w:t xml:space="preserve"> et Le Temps, pour ne citer que ces exemples.</w:t>
      </w:r>
    </w:p>
    <w:p w14:paraId="3418B24D" w14:textId="77777777" w:rsidR="00416430" w:rsidRPr="005E36EF" w:rsidRDefault="00416430" w:rsidP="00416430">
      <w:pPr>
        <w:pStyle w:val="enumlev1"/>
      </w:pPr>
      <w:r w:rsidRPr="005E36EF">
        <w:t>•</w:t>
      </w:r>
      <w:r w:rsidRPr="005E36EF">
        <w:tab/>
        <w:t>L'UIT et la World Benchmarking Alliance ont renforcé le suivi des émissions de gaz à effet de serre, de la consommation d'énergie et des engagements climatiques de 200 grandes entreprises technologiques grâce à un rapport annuel d'évaluation du secteur intitulé "Greening digital companies 2023: Monitoring emissions and climate commitments" (</w:t>
      </w:r>
      <w:r w:rsidRPr="005E36EF">
        <w:rPr>
          <w:i/>
          <w:iCs/>
        </w:rPr>
        <w:t>Pour des entreprises numériques plus écologiques: Suivi des émissions et des engagements climatiques – Rapport de 2023</w:t>
      </w:r>
      <w:r w:rsidRPr="005E36EF">
        <w:t>).</w:t>
      </w:r>
    </w:p>
    <w:p w14:paraId="327D111C" w14:textId="77777777" w:rsidR="00416430" w:rsidRPr="005E36EF" w:rsidRDefault="00416430" w:rsidP="00416430">
      <w:pPr>
        <w:pStyle w:val="enumlev1"/>
      </w:pPr>
      <w:r w:rsidRPr="005E36EF">
        <w:t>•</w:t>
      </w:r>
      <w:r w:rsidRPr="005E36EF">
        <w:tab/>
        <w:t>Un rapport élaboré par l'UIT et la Banque mondiale, intitulé "Measuring the Emission &amp; Energy Footprint of the ICT Sector" (</w:t>
      </w:r>
      <w:r w:rsidRPr="005E36EF">
        <w:rPr>
          <w:i/>
          <w:iCs/>
        </w:rPr>
        <w:t>Mesurer les émissions et l'empreinte énergétique du secteur des TIC</w:t>
      </w:r>
      <w:r w:rsidRPr="005E36EF">
        <w:t>), a été publié en mars 2024. Il fournit des données complètes sur les émissions de gaz à effet de serre et la consommation d'énergie pour le secteur des TIC, dans 30 pays aux niveaux d'émission élevés et contient des études de cas de plusieurs pays qui rendent compte des émissions et de la consommation d'énergie des TIC, l'objectif étant d'examiner de près les approches réglementaires et les incidences politiques déduites des données.</w:t>
      </w:r>
    </w:p>
    <w:p w14:paraId="0306308C" w14:textId="654DED6A" w:rsidR="00416430" w:rsidRPr="005E36EF" w:rsidRDefault="00416430" w:rsidP="00416430">
      <w:pPr>
        <w:pStyle w:val="enumlev1"/>
      </w:pPr>
      <w:r w:rsidRPr="005E36EF">
        <w:lastRenderedPageBreak/>
        <w:t>•</w:t>
      </w:r>
      <w:r w:rsidRPr="005E36EF">
        <w:tab/>
        <w:t>Dans le domaine de la réglementation des DEEE, le Bureau de développement des télécommunications</w:t>
      </w:r>
      <w:r w:rsidR="00B12E05" w:rsidRPr="005E36EF">
        <w:t xml:space="preserve"> de l'UIT</w:t>
      </w:r>
      <w:r w:rsidRPr="005E36EF">
        <w:t xml:space="preserve"> (BDT) a apporté son soutien à plusieurs pays, dont le Malawi, le Botswana, le Niger, l'Ouganda, la Zambie et la République dominicaine. En conclusion d'un projet mené à bien par l'UIT et le Programme des Nations Unies pour l'environnement (PNUE), le Président de la République dominicaine a publié, le 25 juillet 2023, un décret portant réglementation de la gestion intégrée des DEEE.</w:t>
      </w:r>
    </w:p>
    <w:p w14:paraId="1F812861" w14:textId="77777777" w:rsidR="00416430" w:rsidRPr="005E36EF" w:rsidRDefault="00416430" w:rsidP="00416430">
      <w:pPr>
        <w:pStyle w:val="enumlev1"/>
      </w:pPr>
      <w:r w:rsidRPr="005E36EF">
        <w:t>•</w:t>
      </w:r>
      <w:r w:rsidRPr="005E36EF">
        <w:tab/>
        <w:t>Par l'intermédiaire de l'Académie de l'UIT, l'Union a proposé trois formations en ligne sur les politiques, la réglementation et l'économie circulaire en matière de DEEE, deux cours de formation en ligne sur la mesure des données et des statistiques relatives aux DEEE, ainsi que des cours sur la manière de réduire l'empreinte environnementale des centres de données et sur l'entrepreneuriat vert et numérique pour les femmes.</w:t>
      </w:r>
    </w:p>
    <w:p w14:paraId="38F6C996" w14:textId="4F45D709" w:rsidR="00416430" w:rsidRPr="005E36EF" w:rsidRDefault="00416430" w:rsidP="00416430">
      <w:pPr>
        <w:pStyle w:val="enumlev1"/>
        <w:rPr>
          <w:rFonts w:eastAsia="Calibri"/>
        </w:rPr>
      </w:pPr>
      <w:r w:rsidRPr="005E36EF">
        <w:t>•</w:t>
      </w:r>
      <w:r w:rsidRPr="005E36EF">
        <w:tab/>
        <w:t xml:space="preserve">Dans le cadre du projet </w:t>
      </w:r>
      <w:r w:rsidRPr="005E36EF">
        <w:rPr>
          <w:rFonts w:eastAsia="Calibri"/>
        </w:rPr>
        <w:t>GreenGovStack, les guides "</w:t>
      </w:r>
      <w:hyperlink r:id="rId52" w:history="1">
        <w:r w:rsidRPr="005E36EF">
          <w:rPr>
            <w:rStyle w:val="Hyperlink"/>
            <w:rFonts w:eastAsia="Calibri"/>
          </w:rPr>
          <w:t>Centres de traitement de données écologiques: vers une transformation numérique durable – Guide pratique</w:t>
        </w:r>
      </w:hyperlink>
      <w:r w:rsidRPr="005E36EF">
        <w:rPr>
          <w:rFonts w:eastAsia="Calibri"/>
        </w:rPr>
        <w:t>" et "</w:t>
      </w:r>
      <w:hyperlink r:id="rId53" w:history="1">
        <w:r w:rsidRPr="005E36EF">
          <w:rPr>
            <w:rStyle w:val="Hyperlink"/>
          </w:rPr>
          <w:t>P</w:t>
        </w:r>
        <w:r w:rsidRPr="005E36EF">
          <w:rPr>
            <w:rStyle w:val="Hyperlink"/>
            <w:rFonts w:eastAsia="Calibri"/>
          </w:rPr>
          <w:t>assation de marchés publics circulaires et durables concernant les TIC</w:t>
        </w:r>
      </w:hyperlink>
      <w:r w:rsidRPr="005E36EF">
        <w:rPr>
          <w:rFonts w:eastAsia="Calibri"/>
        </w:rPr>
        <w:t>" ont été publiés, et des cours de formation en ligne dispensés.</w:t>
      </w:r>
    </w:p>
    <w:p w14:paraId="6EA060BF" w14:textId="17E7A76F" w:rsidR="00416430" w:rsidRPr="005E36EF" w:rsidRDefault="00416430" w:rsidP="00416430">
      <w:pPr>
        <w:pStyle w:val="enumlev1"/>
      </w:pPr>
      <w:r w:rsidRPr="005E36EF">
        <w:t>•</w:t>
      </w:r>
      <w:r w:rsidRPr="005E36EF">
        <w:tab/>
        <w:t>L'UIT a renforcé la capacité des bureaux nationaux de la statistique, des régulateurs et des ministères des TIC, ainsi que des ministères de l'environnement, dans le cadre d'une formation dispensée aux six États Membres de l'Organisation des communications de l'Afrique de l'Est (EACO), et a élaboré une étude sur le thème "</w:t>
      </w:r>
      <w:hyperlink r:id="rId54" w:history="1">
        <w:r w:rsidRPr="005E36EF">
          <w:rPr>
            <w:rStyle w:val="Hyperlink"/>
          </w:rPr>
          <w:t>Vers l'harmonisation de la collecte des données – Une étude de base sur les DEEE en Afrique de l'Est</w:t>
        </w:r>
      </w:hyperlink>
      <w:r w:rsidRPr="005E36EF">
        <w:t xml:space="preserve">". Au niveau régional, l'UIT et ses partenaires ont publié un rapport sur le </w:t>
      </w:r>
      <w:hyperlink r:id="rId55" w:history="1">
        <w:r w:rsidRPr="005E36EF">
          <w:rPr>
            <w:rStyle w:val="Hyperlink"/>
          </w:rPr>
          <w:t>suivi des DEEE à l'échelle régionale pour les Balkans occidentaux</w:t>
        </w:r>
      </w:hyperlink>
      <w:r w:rsidRPr="005E36EF">
        <w:t xml:space="preserve"> ainsi que des rapports sur le suivi des DEEE à l'échelle nationale pour le Kazakhstan, la Namibie et le Botswana.</w:t>
      </w:r>
    </w:p>
    <w:p w14:paraId="19AC76C0" w14:textId="78980DDB" w:rsidR="00416430" w:rsidRPr="005E36EF" w:rsidRDefault="00416430" w:rsidP="00416430">
      <w:r w:rsidRPr="005E36EF">
        <w:t>Le rapport du BDT au Groupe consultatif pour le développement des télécommunications</w:t>
      </w:r>
      <w:r w:rsidR="00FC4E4A" w:rsidRPr="005E36EF">
        <w:t xml:space="preserve"> de l'UIT</w:t>
      </w:r>
      <w:r w:rsidRPr="005E36EF">
        <w:t xml:space="preserve"> (GCDT) </w:t>
      </w:r>
      <w:r w:rsidR="00FC4E4A" w:rsidRPr="005E36EF">
        <w:t>a fourni</w:t>
      </w:r>
      <w:r w:rsidRPr="005E36EF">
        <w:t xml:space="preserve"> de plus amples renseignements sur les activités et les résultats concernant les thèmes suivants:</w:t>
      </w:r>
    </w:p>
    <w:p w14:paraId="085464DE" w14:textId="77777777" w:rsidR="00416430" w:rsidRPr="005E36EF" w:rsidRDefault="00416430" w:rsidP="00416430">
      <w:pPr>
        <w:pStyle w:val="enumlev1"/>
        <w:rPr>
          <w:b/>
          <w:bCs/>
        </w:rPr>
      </w:pPr>
      <w:r w:rsidRPr="005E36EF">
        <w:t>•</w:t>
      </w:r>
      <w:r w:rsidRPr="005E36EF">
        <w:tab/>
      </w:r>
      <w:r w:rsidRPr="005E36EF">
        <w:rPr>
          <w:b/>
          <w:bCs/>
        </w:rPr>
        <w:t>Bâtir des économies circulaires pour les déchets d'équipements électriques et électroniques dans le monde entier.</w:t>
      </w:r>
    </w:p>
    <w:p w14:paraId="28AE4635" w14:textId="77777777" w:rsidR="00416430" w:rsidRPr="005E36EF" w:rsidRDefault="00416430" w:rsidP="00416430">
      <w:pPr>
        <w:pStyle w:val="enumlev1"/>
        <w:rPr>
          <w:b/>
          <w:bCs/>
        </w:rPr>
      </w:pPr>
      <w:r w:rsidRPr="005E36EF">
        <w:t>•</w:t>
      </w:r>
      <w:r w:rsidRPr="005E36EF">
        <w:tab/>
      </w:r>
      <w:r w:rsidRPr="005E36EF">
        <w:rPr>
          <w:b/>
          <w:bCs/>
        </w:rPr>
        <w:t>Changements climatiques.</w:t>
      </w:r>
    </w:p>
    <w:p w14:paraId="40C82384" w14:textId="77777777" w:rsidR="00416430" w:rsidRPr="005E36EF" w:rsidRDefault="00416430" w:rsidP="00416430">
      <w:pPr>
        <w:pStyle w:val="enumlev1"/>
        <w:rPr>
          <w:b/>
          <w:bCs/>
        </w:rPr>
      </w:pPr>
      <w:r w:rsidRPr="005E36EF">
        <w:t>•</w:t>
      </w:r>
      <w:r w:rsidRPr="005E36EF">
        <w:tab/>
      </w:r>
      <w:r w:rsidRPr="005E36EF">
        <w:rPr>
          <w:b/>
          <w:bCs/>
        </w:rPr>
        <w:t>Les TIC: réduction des risques, amélioration des interventions en cas de crise, alerte avancée et télécommunications d'urgence.</w:t>
      </w:r>
    </w:p>
    <w:p w14:paraId="31450398" w14:textId="66CD54C9" w:rsidR="00C2658F" w:rsidRPr="005E36EF" w:rsidRDefault="00C2658F" w:rsidP="00416430">
      <w:r w:rsidRPr="005E36EF">
        <w:t xml:space="preserve">On trouvera des renseignements également sur la page web consacrée à la </w:t>
      </w:r>
      <w:hyperlink r:id="rId56" w:history="1">
        <w:r w:rsidRPr="005E36EF">
          <w:rPr>
            <w:rStyle w:val="Hyperlink"/>
          </w:rPr>
          <w:t>création d'une économie circulaire pour l'électronique et à la transformation numérique écologique</w:t>
        </w:r>
      </w:hyperlink>
      <w:r w:rsidRPr="005E36EF">
        <w:t>.</w:t>
      </w:r>
    </w:p>
    <w:p w14:paraId="590744A3" w14:textId="6920FADE" w:rsidR="00416430" w:rsidRPr="005E36EF" w:rsidRDefault="00416430" w:rsidP="00416430">
      <w:pPr>
        <w:rPr>
          <w:u w:val="single"/>
        </w:rPr>
      </w:pPr>
      <w:r w:rsidRPr="005E36EF">
        <w:rPr>
          <w:u w:val="single"/>
        </w:rPr>
        <w:t>Normes relatives à la durabilité environnementale</w:t>
      </w:r>
    </w:p>
    <w:p w14:paraId="06E0F836" w14:textId="77777777" w:rsidR="00416430" w:rsidRPr="005E36EF" w:rsidRDefault="00416430" w:rsidP="00416430">
      <w:r w:rsidRPr="005E36EF">
        <w:t>Les normes de l'UIT portent sur trois grands domaines de la durabilité environnementale, à savoir la mesure, l'efficacité énergétique et l'économie circulaire.</w:t>
      </w:r>
    </w:p>
    <w:p w14:paraId="7F9EDEAB" w14:textId="77777777" w:rsidR="00416430" w:rsidRPr="005E36EF" w:rsidRDefault="00416430" w:rsidP="00416430">
      <w:r w:rsidRPr="005E36EF">
        <w:t>Les normes de l'UIT offrent des outils permettant de suivre les progrès accomplis pour atteindre la neutralité carbone, tant pour les technologies numériques elles-mêmes que pour leur contribution à la réduction des émissions dans d'autres secteurs. À titre d'exemple, des travaux importants sont menés actuellement concernant les effets des TIC sur la biodiversité.</w:t>
      </w:r>
    </w:p>
    <w:p w14:paraId="0CD14906" w14:textId="77777777" w:rsidR="00416430" w:rsidRPr="005E36EF" w:rsidRDefault="00416430" w:rsidP="00416430">
      <w:pPr>
        <w:keepLines/>
      </w:pPr>
      <w:r w:rsidRPr="005E36EF">
        <w:lastRenderedPageBreak/>
        <w:t>Les normes de l'UIT définissent la manière dont les mégadonnées et l'IA peuvent contribuer au contrôle intelligent de l'énergie, afin de donner la priorité aux sources d'énergie renouvelables et à faible émission de carbone. Elles appuient également la mise en place de nouvelles solutions de refroidissement pour les centres de données et fournissent de bonnes pratiques pour les centres de données écologiques. Les normes de l'UIT contribuent également à évaluer les émissions GES des logiciels et des réunions virtuelles.</w:t>
      </w:r>
    </w:p>
    <w:p w14:paraId="53EB2B3E" w14:textId="77777777" w:rsidR="00416430" w:rsidRPr="005E36EF" w:rsidRDefault="00416430" w:rsidP="00416430">
      <w:r w:rsidRPr="005E36EF">
        <w:t>Les normes de l'UIT relatives à l'économie circulaire offrent des outils permettant d'améliorer l'efficacité des matériaux, de limiter la production de DEEE et d'éliminer ce type de déchets de manière durable. Une nouvelle norme est disponible sur les possibilités offertes par un passeport numérique mondial de produit durable pour parvenir à une économie circulaire et d'autres travaux sont en cours.</w:t>
      </w:r>
    </w:p>
    <w:p w14:paraId="7FE6CEF9" w14:textId="77777777" w:rsidR="00416430" w:rsidRPr="005E36EF" w:rsidRDefault="00416430" w:rsidP="00416430">
      <w:r w:rsidRPr="005E36EF">
        <w:t>De plus, des méthodologies d'évaluation sont élaborées actuellement pour évaluer la circularité des biens TIC, comme les smartphones.</w:t>
      </w:r>
    </w:p>
    <w:p w14:paraId="549F2469" w14:textId="77777777" w:rsidR="00416430" w:rsidRPr="005E36EF" w:rsidRDefault="00416430" w:rsidP="00416430">
      <w:pPr>
        <w:pStyle w:val="Headingb"/>
      </w:pPr>
      <w:r w:rsidRPr="005E36EF">
        <w:t>Action du secteur du numérique pour l'environnement à la COP28</w:t>
      </w:r>
    </w:p>
    <w:p w14:paraId="7844B705" w14:textId="77777777" w:rsidR="00416430" w:rsidRPr="005E36EF" w:rsidRDefault="00416430" w:rsidP="00416430">
      <w:r w:rsidRPr="005E36EF">
        <w:t>Voir la section 6.</w:t>
      </w:r>
    </w:p>
    <w:p w14:paraId="7F2E23B6" w14:textId="77777777" w:rsidR="00416430" w:rsidRPr="005E36EF" w:rsidRDefault="00416430" w:rsidP="00416430">
      <w:pPr>
        <w:pStyle w:val="Headingb"/>
      </w:pPr>
      <w:r w:rsidRPr="005E36EF">
        <w:t>La transformation numérique au service des villes et des communautés intelligentes</w:t>
      </w:r>
    </w:p>
    <w:p w14:paraId="281D08B6" w14:textId="77777777" w:rsidR="00416430" w:rsidRPr="005E36EF" w:rsidRDefault="00416430" w:rsidP="00416430">
      <w:r w:rsidRPr="005E36EF">
        <w:t xml:space="preserve">L'initiative </w:t>
      </w:r>
      <w:r w:rsidRPr="005E36EF">
        <w:rPr>
          <w:rStyle w:val="Hyperlink"/>
        </w:rPr>
        <w:t>"</w:t>
      </w:r>
      <w:hyperlink r:id="rId57" w:history="1">
        <w:r w:rsidRPr="005E36EF">
          <w:rPr>
            <w:rStyle w:val="Hyperlink"/>
          </w:rPr>
          <w:t>Tous unis pour des villes intelligentes et durables" (U4SSC)</w:t>
        </w:r>
      </w:hyperlink>
      <w:r w:rsidRPr="005E36EF">
        <w:t xml:space="preserve"> bénéficie du soutien de 19 organismes du système des Nations Unies et a pour ambition d'atteindre l'Objectif de développement durable (ODD) 11, consistant à "faire en sorte que les villes et les établissements humains soient ouverts à tous, sûrs, résilients et durables". Plus de 150 villes ont adopté des </w:t>
      </w:r>
      <w:hyperlink r:id="rId58" w:history="1">
        <w:r w:rsidRPr="005E36EF">
          <w:rPr>
            <w:rStyle w:val="Hyperlink"/>
          </w:rPr>
          <w:t>indicateurs fondamentaux de performance de l'initiative U4SSC</w:t>
        </w:r>
      </w:hyperlink>
      <w:r w:rsidRPr="005E36EF">
        <w:t xml:space="preserve">, sur la base des normes de l'UIT. Les résultats de ces évaluations sont présentés dans des </w:t>
      </w:r>
      <w:hyperlink r:id="rId59" w:history="1">
        <w:r w:rsidRPr="005E36EF">
          <w:rPr>
            <w:rStyle w:val="Hyperlink"/>
          </w:rPr>
          <w:t>"instantanés", des fiches d'information, des rapports de vérification et des études de cas sur les villes</w:t>
        </w:r>
      </w:hyperlink>
      <w:r w:rsidRPr="005E36EF">
        <w:t>.</w:t>
      </w:r>
    </w:p>
    <w:p w14:paraId="7CE3F0E0" w14:textId="77777777" w:rsidR="00416430" w:rsidRPr="005E36EF" w:rsidRDefault="00416430" w:rsidP="00416430">
      <w:r w:rsidRPr="005E36EF">
        <w:t xml:space="preserve">La </w:t>
      </w:r>
      <w:hyperlink r:id="rId60" w:history="1">
        <w:r w:rsidRPr="005E36EF">
          <w:rPr>
            <w:rStyle w:val="Hyperlink"/>
          </w:rPr>
          <w:t>septième réunion de l'initiative U4SSC</w:t>
        </w:r>
      </w:hyperlink>
      <w:r w:rsidRPr="005E36EF">
        <w:t xml:space="preserve"> s'est déroulée en ligne le 20 juin 2023. Cette réunion a été marquée notamment par la désignation de la nouvelle </w:t>
      </w:r>
      <w:hyperlink r:id="rId61" w:history="1">
        <w:r w:rsidRPr="005E36EF">
          <w:rPr>
            <w:rStyle w:val="Hyperlink"/>
          </w:rPr>
          <w:t>équipe de direction de l'initiative U4SSC</w:t>
        </w:r>
      </w:hyperlink>
      <w:r w:rsidRPr="005E36EF">
        <w:t xml:space="preserve"> et l'annonce d'un nouveau pôle national pour l'initiative à Kyebi (Ghana).</w:t>
      </w:r>
    </w:p>
    <w:p w14:paraId="4F9CBB82" w14:textId="77777777" w:rsidR="00416430" w:rsidRPr="005E36EF" w:rsidRDefault="00416430" w:rsidP="00416430">
      <w:pPr>
        <w:spacing w:after="240"/>
      </w:pPr>
      <w:r w:rsidRPr="005E36EF">
        <w:t xml:space="preserve">Voir les </w:t>
      </w:r>
      <w:hyperlink r:id="rId62" w:history="1">
        <w:r w:rsidRPr="005E36EF">
          <w:rPr>
            <w:rStyle w:val="Hyperlink"/>
          </w:rPr>
          <w:t>rapports de l'initiative U4SSC</w:t>
        </w:r>
      </w:hyperlink>
      <w:r w:rsidRPr="005E36EF">
        <w:t xml:space="preserve"> et les </w:t>
      </w:r>
      <w:hyperlink r:id="rId63" w:history="1">
        <w:r w:rsidRPr="005E36EF">
          <w:rPr>
            <w:rStyle w:val="Hyperlink"/>
          </w:rPr>
          <w:t>rapports de l'UIT</w:t>
        </w:r>
      </w:hyperlink>
      <w:r w:rsidRPr="005E36EF">
        <w:t xml:space="preserve"> sur les villes intelligentes. Voir également les </w:t>
      </w:r>
      <w:hyperlink r:id="rId64" w:history="1">
        <w:r w:rsidRPr="005E36EF">
          <w:rPr>
            <w:rStyle w:val="Hyperlink"/>
          </w:rPr>
          <w:t>Dialogues de l'UIT sur la transformation numérique</w:t>
        </w:r>
      </w:hyperlink>
      <w:r w:rsidRPr="005E36EF">
        <w:t>.</w:t>
      </w:r>
    </w:p>
    <w:tbl>
      <w:tblPr>
        <w:tblStyle w:val="TableGrid"/>
        <w:tblW w:w="0" w:type="auto"/>
        <w:tblLook w:val="04A0" w:firstRow="1" w:lastRow="0" w:firstColumn="1" w:lastColumn="0" w:noHBand="0" w:noVBand="1"/>
      </w:tblPr>
      <w:tblGrid>
        <w:gridCol w:w="9061"/>
      </w:tblGrid>
      <w:tr w:rsidR="00416430" w:rsidRPr="005E36EF" w14:paraId="5ED052E4" w14:textId="77777777" w:rsidTr="003631C1">
        <w:tc>
          <w:tcPr>
            <w:tcW w:w="9061" w:type="dxa"/>
          </w:tcPr>
          <w:p w14:paraId="4AD24710" w14:textId="77777777" w:rsidR="00416430" w:rsidRPr="005E36EF" w:rsidRDefault="00416430" w:rsidP="003631C1">
            <w:pPr>
              <w:jc w:val="center"/>
              <w:rPr>
                <w:b/>
                <w:bCs/>
                <w:sz w:val="28"/>
                <w:szCs w:val="28"/>
              </w:rPr>
            </w:pPr>
            <w:r w:rsidRPr="005E36EF">
              <w:rPr>
                <w:b/>
                <w:bCs/>
                <w:sz w:val="28"/>
                <w:szCs w:val="28"/>
              </w:rPr>
              <w:t>Des résultats concrets</w:t>
            </w:r>
          </w:p>
          <w:p w14:paraId="7FFD0CAC" w14:textId="77777777" w:rsidR="00416430" w:rsidRPr="005E36EF" w:rsidRDefault="00416430" w:rsidP="003631C1">
            <w:pPr>
              <w:rPr>
                <w:b/>
                <w:bCs/>
              </w:rPr>
            </w:pPr>
            <w:r w:rsidRPr="005E36EF">
              <w:rPr>
                <w:b/>
                <w:bCs/>
              </w:rPr>
              <w:t>Projet "SMART seas" au profit des communautés de pêcheurs dans les Caraïbes</w:t>
            </w:r>
          </w:p>
          <w:p w14:paraId="29DC16DA" w14:textId="77777777" w:rsidR="00416430" w:rsidRPr="005E36EF" w:rsidRDefault="00416430" w:rsidP="00DF785F">
            <w:pPr>
              <w:spacing w:after="120"/>
            </w:pPr>
            <w:r w:rsidRPr="005E36EF">
              <w:t>Les communautés de pêcheurs artisanaux dans les Caraïbes ont besoin d'outils numériques et d'une connectivité pour maintenir le contact et être en sécurité lorsqu'ils se trouvent en mer. Le kit pratique "SMART seas" (Mers intelligentes) pour la résilience en situation de catastrophe, élaboré par l'UIT en partenariat avec l'Autorité des télécommunications de Trinité-et-Tobago et l'Union des télécommunications des Caraïbes, traite des vulnérabilités rencontrées par les pêcheurs artisanaux, dont l'activité est essentielle à l'économie et à la sécurité alimentaire de la région, mais qui sont néanmoins particulièrement exposés aux dangers en mer, tels que les tempêtes tropicales et la piraterie. Le projet est mis en œuvre à la Barbade, à la Grenade et à Saint</w:t>
            </w:r>
            <w:r w:rsidRPr="005E36EF">
              <w:noBreakHyphen/>
              <w:t>Vincent</w:t>
            </w:r>
            <w:r w:rsidRPr="005E36EF">
              <w:noBreakHyphen/>
              <w:t>et</w:t>
            </w:r>
            <w:r w:rsidRPr="005E36EF">
              <w:noBreakHyphen/>
              <w:t>les</w:t>
            </w:r>
            <w:r w:rsidRPr="005E36EF">
              <w:noBreakHyphen/>
              <w:t>Grenadines, ainsi qu'à Trinité-et-Tobago.</w:t>
            </w:r>
          </w:p>
          <w:p w14:paraId="7B65601D" w14:textId="77777777" w:rsidR="00416430" w:rsidRPr="005E36EF" w:rsidRDefault="001A6AF2" w:rsidP="00DF785F">
            <w:pPr>
              <w:keepNext/>
              <w:keepLines/>
            </w:pPr>
            <w:hyperlink r:id="rId65" w:history="1">
              <w:r w:rsidR="00416430" w:rsidRPr="005E36EF">
                <w:rPr>
                  <w:rStyle w:val="Hyperlink"/>
                </w:rPr>
                <w:t>En savoir plus sur le projet "SMART seas"</w:t>
              </w:r>
            </w:hyperlink>
            <w:r w:rsidR="00416430" w:rsidRPr="005E36EF">
              <w:t>.</w:t>
            </w:r>
          </w:p>
          <w:p w14:paraId="7B253E34" w14:textId="77777777" w:rsidR="00416430" w:rsidRPr="005E36EF" w:rsidRDefault="001A6AF2" w:rsidP="00DF785F">
            <w:pPr>
              <w:keepNext/>
              <w:keepLines/>
              <w:spacing w:after="120"/>
              <w:rPr>
                <w:rFonts w:eastAsia="DengXian" w:cs="Calibri"/>
                <w:szCs w:val="24"/>
                <w14:ligatures w14:val="standardContextual"/>
              </w:rPr>
            </w:pPr>
            <w:hyperlink r:id="rId66" w:history="1">
              <w:r w:rsidR="00416430" w:rsidRPr="005E36EF">
                <w:rPr>
                  <w:rStyle w:val="Hyperlink"/>
                </w:rPr>
                <w:t>Voir la vidéo</w:t>
              </w:r>
            </w:hyperlink>
            <w:r w:rsidR="00416430" w:rsidRPr="005E36EF">
              <w:t>.</w:t>
            </w:r>
          </w:p>
        </w:tc>
      </w:tr>
    </w:tbl>
    <w:p w14:paraId="7908D45C" w14:textId="77777777" w:rsidR="00416430" w:rsidRPr="005E36EF" w:rsidRDefault="00416430" w:rsidP="00416430">
      <w:pPr>
        <w:pStyle w:val="Heading2"/>
      </w:pPr>
      <w:bookmarkStart w:id="61" w:name="_Toc166500748"/>
      <w:r w:rsidRPr="005E36EF">
        <w:lastRenderedPageBreak/>
        <w:t>4.4</w:t>
      </w:r>
      <w:r w:rsidRPr="005E36EF">
        <w:tab/>
        <w:t>Cybersécurité: instaurer la confiance et la sécurité dans l'utilisation des TIC</w:t>
      </w:r>
      <w:bookmarkEnd w:id="61"/>
    </w:p>
    <w:p w14:paraId="62C7BDF6" w14:textId="77777777" w:rsidR="00416430" w:rsidRPr="005E36EF" w:rsidRDefault="00416430" w:rsidP="00416430">
      <w:r w:rsidRPr="005E36EF">
        <w:t>L'UIT s'emploie à instaurer la confiance et la sécurité dans l'utilisation des technologies nouvelles et émergentes, notamment en aidant les pays à élaborer des stratégies nationales et à mettre sur pied des équipes d'intervention en cas d'incident informatique (CIRT). Le programme de l'UIT pour la protection en ligne des enfants contribue à sensibiliser l'opinion aux dangers de l'Internet et à créer un environnement sûr pour les jeunes utilisateurs des technologies numériques.</w:t>
      </w:r>
    </w:p>
    <w:p w14:paraId="23CF7FFA" w14:textId="77777777" w:rsidR="00416430" w:rsidRPr="005E36EF" w:rsidRDefault="00416430" w:rsidP="00416430">
      <w:r w:rsidRPr="005E36EF">
        <w:t xml:space="preserve">Le Document </w:t>
      </w:r>
      <w:hyperlink r:id="rId67" w:history="1">
        <w:r w:rsidRPr="005E36EF">
          <w:rPr>
            <w:rStyle w:val="Hyperlink"/>
          </w:rPr>
          <w:t>C24/18</w:t>
        </w:r>
      </w:hyperlink>
      <w:r w:rsidRPr="005E36EF">
        <w:t xml:space="preserve"> contient un résumé des activités menées par l'UIT en 2023-2024 au titre de la Résolution 130 (Rév. Bucarest, 2022) de la Conférence de plénipotentiaires, du rôle de l'UIT en tant que coordonnateur unique pour la grande orientation C5 du SMSI et des autres décisions prises par les membres concernant le renforcement du rôle de l'UIT dans l'instauration de la confiance et de la sécurité dans l'utilisation des TIC. Voir également la page sur </w:t>
      </w:r>
      <w:hyperlink r:id="rId68" w:history="1">
        <w:r w:rsidRPr="005E36EF">
          <w:rPr>
            <w:rStyle w:val="Hyperlink"/>
          </w:rPr>
          <w:t>les activités de l'UIT en matière de cybersécurité</w:t>
        </w:r>
      </w:hyperlink>
      <w:r w:rsidRPr="005E36EF">
        <w:t>.</w:t>
      </w:r>
    </w:p>
    <w:p w14:paraId="6A6D6C17" w14:textId="77777777" w:rsidR="00416430" w:rsidRPr="005E36EF" w:rsidRDefault="00416430" w:rsidP="00416430">
      <w:r w:rsidRPr="005E36EF">
        <w:t>Des progrès ont été constatés en ce qui concerne l'état de préparation des administrations face aux cybermenaces (126 pays disposaient d'une équipe CIRT en 2023, contre 109 en 2020; 127 pays disposent de stratégies et des plans d'action nationaux en matière de cybersécurité, contre 107 en 2020) et les plans nationaux pour les télécommunications d'urgence (83% des pays disposaient de ces plans fin 2023, contre seulement 25% en 2020).</w:t>
      </w:r>
    </w:p>
    <w:p w14:paraId="02D89922" w14:textId="77777777" w:rsidR="00416430" w:rsidRPr="005E36EF" w:rsidRDefault="00416430" w:rsidP="00416430">
      <w:pPr>
        <w:pStyle w:val="Heading2"/>
      </w:pPr>
      <w:bookmarkStart w:id="62" w:name="_Toc166500749"/>
      <w:r w:rsidRPr="005E36EF">
        <w:t>4.5</w:t>
      </w:r>
      <w:r w:rsidRPr="005E36EF">
        <w:tab/>
        <w:t>Inclusion numérique: garantir l'égalité d'accès et d'utilisation des technologies pour tous</w:t>
      </w:r>
      <w:bookmarkEnd w:id="62"/>
    </w:p>
    <w:p w14:paraId="4A775A9C" w14:textId="77777777" w:rsidR="00416430" w:rsidRPr="005E36EF" w:rsidRDefault="00416430" w:rsidP="00416430">
      <w:pPr>
        <w:keepLines/>
      </w:pPr>
      <w:r w:rsidRPr="005E36EF">
        <w:t>L'UIT s'emploie activement à promouvoir l'égalité hommes-femmes et s'efforce de réduire les disparités entre les hommes et les femmes en matière d'accès au numérique dans le monde. Les initiatives mises en œuvre visent à intégrer le point de vue des jeunes dans tous les domaines d'activité de l'UIT et traitent également des besoins et des perspectives concernant les peuples autochtones, les populations vieillissantes et d'autres groupes vulnérables. Conformément aux principes de l'Organisation des Nations Unies, l'UIT soutient également l'accès des personnes handicapées aux technologies numériques au moyen de normes inclusives, d'orientations politiques, de campagnes de sensibilisation et d'éducation.</w:t>
      </w:r>
    </w:p>
    <w:p w14:paraId="5FDBE16C" w14:textId="77777777" w:rsidR="00416430" w:rsidRPr="005E36EF" w:rsidRDefault="00416430" w:rsidP="00416430">
      <w:pPr>
        <w:pStyle w:val="Heading3"/>
      </w:pPr>
      <w:bookmarkStart w:id="63" w:name="_Toc165445606"/>
      <w:bookmarkStart w:id="64" w:name="_Toc165445969"/>
      <w:bookmarkStart w:id="65" w:name="_Toc166500750"/>
      <w:r w:rsidRPr="005E36EF">
        <w:t>4.5.1</w:t>
      </w:r>
      <w:r w:rsidRPr="005E36EF">
        <w:tab/>
        <w:t>Égalité hommes-femmes</w:t>
      </w:r>
      <w:bookmarkEnd w:id="63"/>
      <w:bookmarkEnd w:id="64"/>
      <w:bookmarkEnd w:id="65"/>
    </w:p>
    <w:p w14:paraId="1163D968" w14:textId="77777777" w:rsidR="00416430" w:rsidRPr="005E36EF" w:rsidRDefault="00416430" w:rsidP="00416430">
      <w:r w:rsidRPr="005E36EF">
        <w:t xml:space="preserve">Le rapport figurant dans le Document </w:t>
      </w:r>
      <w:hyperlink r:id="rId69" w:history="1">
        <w:r w:rsidRPr="005E36EF">
          <w:rPr>
            <w:rStyle w:val="Hyperlink"/>
          </w:rPr>
          <w:t>C24/6</w:t>
        </w:r>
      </w:hyperlink>
      <w:r w:rsidRPr="005E36EF">
        <w:t xml:space="preserve"> donne davantage de précisions sur les activités relatives à l'égalité hommes-femmes.</w:t>
      </w:r>
    </w:p>
    <w:p w14:paraId="3E983735" w14:textId="77777777" w:rsidR="00416430" w:rsidRPr="005E36EF" w:rsidRDefault="00416430" w:rsidP="00416430">
      <w:r w:rsidRPr="005E36EF">
        <w:t>Les progrès accomplis dans la réduction de la fracture numérique entre les hommes et les femmes restent inégaux. Malgré des chiffres en légère augmentation par rapport à ceux de de 2022, les femmes représentent toujours une part disproportionnée de la population mondiale qui n'est pas connectée, supérieure de 17% à la population des hommes qui n'utilisent pas l'Internet. En ce qui concerne la possession d'un téléphone, la probabilité de posséder un téléphone mobile est plus faible de 8% pour une femme que pour un homme, le nombre de femmes dépassant de 35% le nombre d'hommes ne possédant pas un téléphone.</w:t>
      </w:r>
    </w:p>
    <w:p w14:paraId="708AD095" w14:textId="77777777" w:rsidR="00416430" w:rsidRPr="005E36EF" w:rsidRDefault="00416430" w:rsidP="00416430">
      <w:r w:rsidRPr="005E36EF">
        <w:lastRenderedPageBreak/>
        <w:t>L'UIT s'emploie activement à combler ce fossé, y compris dans les professions du secteur des TIC. Les jeunes filles et les jeunes femmes sont encouragées à poursuivre des études et une carrière dans le domaine des TIC et ont accès à des programmes de formation et de mentorat sur le numérique dans le cadre d'initiatives telles que la Journée internationale des jeunes filles dans le secteur des TIC, ainsi que les programmes "EQUALS" et "Her Cyber Track".</w:t>
      </w:r>
    </w:p>
    <w:p w14:paraId="1870C64A" w14:textId="77777777" w:rsidR="00416430" w:rsidRPr="005E36EF" w:rsidRDefault="00416430" w:rsidP="00416430">
      <w:r w:rsidRPr="005E36EF">
        <w:t>Parmi les activités de formation et de renforcement des capacités figurent deux nouvelles formations en ligne adaptées au rythme de chacun: l'une sur l'analyse de la situation de l'égalité hommes-femmes aux fins de l'inclusion numérique, et l'autre sur le manuel sur l'intégration du principe de l'égalité hommes-femmes dans les politiques numériques, conçu pour soutenir l'intégration des considérations liées à l'égalité hommes-femmes dans l'élaboration des politiques. Une liste des formations liées à l'égalité hommes-femmes est consultable sur le site web.</w:t>
      </w:r>
    </w:p>
    <w:p w14:paraId="3973B690" w14:textId="77777777" w:rsidR="00416430" w:rsidRPr="005E36EF" w:rsidRDefault="00416430" w:rsidP="00416430">
      <w:r w:rsidRPr="005E36EF">
        <w:t>Les communautés participant à l'initiative "Un réseau de femmes" (NoW), lancée par l'UIT, dans chaque Secteur (UIT-R, UIT-T et UIT-D) ont vocation à accroître la représentation des femmes dans les travaux et les processus décisionnels de l'UIT, en mettant à disposition des déléguées un environnement propice. L'initiative NoW4WRC23 a joué un rôle important dans la Résolution 72 de l'UIT-R nouvellement adoptée et visant à promouvoir l'égalité hommes</w:t>
      </w:r>
      <w:r w:rsidRPr="005E36EF">
        <w:noBreakHyphen/>
        <w:t>femmes et à réduire l'écart en matière de participation. En 2023, les femmes représentaient 22% des participants à l'AR et à la CMR, contre 18% lors de la précédente édition de 2019. Le réseau de femmes (NoW) à l'UIT-T redouble d'efforts en vue de l'AMNT, qui aura lieu plus tard cette année.</w:t>
      </w:r>
    </w:p>
    <w:p w14:paraId="272F7633" w14:textId="77777777" w:rsidR="00416430" w:rsidRPr="005E36EF" w:rsidRDefault="00416430" w:rsidP="00416430">
      <w:pPr>
        <w:keepLines/>
      </w:pPr>
      <w:r w:rsidRPr="005E36EF">
        <w:t>L'UIT présente chaque année un rapport dans le cadre du Plan d'action à l'échelle du système des Nations Unies (ONU-SWAP) sur l'égalité hommes-femmes et l'autonomisation des femmes, qui repose sur 17 indicateurs de performance. Le bilan 2022 de l'ONU-SWAP rend compte des défis rencontrés pour obtenir des résultats sans ressources supplémentaires.</w:t>
      </w:r>
    </w:p>
    <w:p w14:paraId="62D64BBB" w14:textId="77777777" w:rsidR="00416430" w:rsidRPr="005E36EF" w:rsidRDefault="00416430" w:rsidP="00416430">
      <w:r w:rsidRPr="005E36EF">
        <w:t>S'il y a autant de femmes que d'hommes occupant un poste de niveau D2, la représentation globale des femmes aux postes de direction (P5-D1-D2) reste difficile à concrétiser. Les efforts déployés par les ressources humaines pour remédier à ces difficultés sont exposés en détail dans le Document C24. L'accent est mis sur la responsabilisation des dirigeants et sur la mise en place d'une culture organisationnelle saine pour attirer et retenir les talents les plus prometteurs.</w:t>
      </w:r>
    </w:p>
    <w:p w14:paraId="52243088" w14:textId="77777777" w:rsidR="00416430" w:rsidRPr="005E36EF" w:rsidRDefault="00416430" w:rsidP="00416430">
      <w:r w:rsidRPr="005E36EF">
        <w:t xml:space="preserve">De plus amples renseignements sont disponibles sur les sites web suivants: </w:t>
      </w:r>
      <w:hyperlink r:id="rId70" w:history="1">
        <w:r w:rsidRPr="005E36EF">
          <w:rPr>
            <w:rStyle w:val="Hyperlink"/>
          </w:rPr>
          <w:t>www.itu.int/gender</w:t>
        </w:r>
      </w:hyperlink>
      <w:r w:rsidRPr="005E36EF">
        <w:t xml:space="preserve"> et </w:t>
      </w:r>
      <w:hyperlink r:id="rId71" w:history="1">
        <w:r w:rsidRPr="005E36EF">
          <w:rPr>
            <w:rStyle w:val="Hyperlink"/>
          </w:rPr>
          <w:t>www.itu.int/genderdashboard</w:t>
        </w:r>
      </w:hyperlink>
      <w:r w:rsidRPr="005E36EF">
        <w:t>.</w:t>
      </w:r>
    </w:p>
    <w:p w14:paraId="5166A4F3" w14:textId="77777777" w:rsidR="00416430" w:rsidRPr="005E36EF" w:rsidRDefault="00416430" w:rsidP="00416430">
      <w:r w:rsidRPr="005E36EF">
        <w:t>Le réseau de femmes (NoW) à l'UIT-T et la campagne NoW4WTSA24, lancée lors du petit</w:t>
      </w:r>
      <w:r w:rsidRPr="005E36EF">
        <w:noBreakHyphen/>
        <w:t>déjeuner du réseau de femmes organisé dans le cadre de la réunion du GCNT en janvier 2024, sont autant d'initiatives qui encouragent la communauté de l'UIT à nommer davantage de femmes à des postes de direction au sein de l'UIT-T et à assumer les fonctions de déléguées et de chefs de délégation à l'AMNT-24.</w:t>
      </w:r>
    </w:p>
    <w:p w14:paraId="69D2EC6B" w14:textId="77777777" w:rsidR="00416430" w:rsidRPr="005E36EF" w:rsidRDefault="00416430" w:rsidP="00416430">
      <w:r w:rsidRPr="005E36EF">
        <w:t>La campagne NoW4WTSA24 vise également à faire en sorte que la participation des femmes à l'AMNT dépasse 35%, contre 32% à l'AMNT-20.</w:t>
      </w:r>
    </w:p>
    <w:p w14:paraId="5BC4C586" w14:textId="77777777" w:rsidR="00416430" w:rsidRPr="005E36EF" w:rsidRDefault="00416430" w:rsidP="00416430">
      <w:r w:rsidRPr="005E36EF">
        <w:lastRenderedPageBreak/>
        <w:t>Les activités du réseau NoW à l'UIT-T comprennent également un programme de formation visant à aider les femmes à tirer le meilleur parti de leur participation à l'AMNT et aux travaux de normalisation de l'UIT.</w:t>
      </w:r>
    </w:p>
    <w:p w14:paraId="26DA7ACD" w14:textId="77777777" w:rsidR="00416430" w:rsidRPr="005E36EF" w:rsidRDefault="00416430" w:rsidP="00416430">
      <w:r w:rsidRPr="005E36EF">
        <w:t>À l'heure actuelle, environ 28% des experts de l'UIT-T dans le domaine de la normalisation sont des femmes et les femmes occupent désormais 25% des postes de direction au sein de l'UIT-T.</w:t>
      </w:r>
    </w:p>
    <w:p w14:paraId="26A5CB23" w14:textId="77777777" w:rsidR="00416430" w:rsidRPr="005E36EF" w:rsidRDefault="00416430" w:rsidP="00416430">
      <w:pPr>
        <w:pStyle w:val="Heading3"/>
      </w:pPr>
      <w:bookmarkStart w:id="66" w:name="_Toc165445607"/>
      <w:bookmarkStart w:id="67" w:name="_Toc165445970"/>
      <w:bookmarkStart w:id="68" w:name="_Toc166500751"/>
      <w:r w:rsidRPr="005E36EF">
        <w:t>4.5.2</w:t>
      </w:r>
      <w:r w:rsidRPr="005E36EF">
        <w:tab/>
        <w:t>Les jeunes</w:t>
      </w:r>
      <w:bookmarkEnd w:id="66"/>
      <w:bookmarkEnd w:id="67"/>
      <w:bookmarkEnd w:id="68"/>
    </w:p>
    <w:p w14:paraId="416ECE30" w14:textId="77777777" w:rsidR="00416430" w:rsidRPr="005E36EF" w:rsidRDefault="00416430" w:rsidP="00416430">
      <w:r w:rsidRPr="005E36EF">
        <w:t>En 2023 et 2024, le Secrétariat de l'UIT a poursuivi ses travaux en vue de mettre en œuvre la Résolution 198 (Rév. Bucarest, 2022) de la Conférence de plénipotentiaires, intitulée "Autonomisation des jeunes au moyen des télécommunications et des technologies de l'information et de la communication", en faisant en sorte que les préoccupations relatives aux jeunes soient prises en compte dans les programmes de travail, les méthodes de gestion et les activités de développement des ressources humaines de l'UIT. Pour donner plus de moyens d'action aux jeunes fonctionnaires de l'UIT, une équipe spéciale pour la jeunesse a été créée. Cette initiative est portée par une vingtaine de jeunes membres du personnel issus de tous les Secteurs et du Secrétariat général.</w:t>
      </w:r>
    </w:p>
    <w:p w14:paraId="52E8E46C" w14:textId="77777777" w:rsidR="00416430" w:rsidRPr="005E36EF" w:rsidRDefault="00416430" w:rsidP="00416430">
      <w:r w:rsidRPr="005E36EF">
        <w:t xml:space="preserve">Pour promouvoir et intégrer les activités relatives à la jeunesse, diverses initiatives ont été mises en œuvre, comme exposé ci-après. Le </w:t>
      </w:r>
      <w:hyperlink r:id="rId72" w:history="1">
        <w:r w:rsidRPr="005E36EF">
          <w:rPr>
            <w:rStyle w:val="Hyperlink"/>
          </w:rPr>
          <w:t>Comité consultatif des jeunes de la Secrétaire générale de l'UIT</w:t>
        </w:r>
      </w:hyperlink>
      <w:r w:rsidRPr="005E36EF">
        <w:t xml:space="preserve"> a été constitué dans le cadre d'une initiative dynamique et tournée vers l'avenir qui donne les moyens aux jeunes de façonner l'avenir de la connectivité mondiale. Le </w:t>
      </w:r>
      <w:hyperlink r:id="rId73" w:history="1">
        <w:r w:rsidRPr="005E36EF">
          <w:rPr>
            <w:rStyle w:val="Hyperlink"/>
          </w:rPr>
          <w:t>programme "jeunes chefs de file" dans le cadre de l'initiative Generation Connect (GCYLP)</w:t>
        </w:r>
      </w:hyperlink>
      <w:r w:rsidRPr="005E36EF">
        <w:t xml:space="preserve"> a été conçu pour autonomiser et inspirer les jeunes acteurs du changement numérique. À la faveur de ce programme, chaque année, 30 jeunes boursiers bénéficieront d'orientations, d'activités de formation et d'un appui financier en vue de mettre en pratique leurs propres projets de développement du numérique au sein de leurs communautés à travers le monde.</w:t>
      </w:r>
    </w:p>
    <w:p w14:paraId="4B8FED08" w14:textId="168D0FE5" w:rsidR="00416430" w:rsidRPr="005E36EF" w:rsidRDefault="00416430" w:rsidP="00416430">
      <w:r w:rsidRPr="005E36EF">
        <w:t>En 2023 et 2024, l'UIT a renforcé la participation des jeunes aux manifestations et aux initiatives de l'Union, telles que le Sommet sur l'IA au service du bien social, les Forums régionaux sur le développement, les réunions des commissions d'études, les Prix "EQUALS in Tech", la Journée des jeunes filles dans le secteur des TIC, pour ne citer que ces exemples. Le </w:t>
      </w:r>
      <w:r w:rsidR="008517C9" w:rsidRPr="005E36EF">
        <w:t>Bureau de développement des télécommunications (</w:t>
      </w:r>
      <w:r w:rsidRPr="005E36EF">
        <w:t>BDT</w:t>
      </w:r>
      <w:r w:rsidR="008517C9" w:rsidRPr="005E36EF">
        <w:t>)</w:t>
      </w:r>
      <w:r w:rsidRPr="005E36EF">
        <w:t xml:space="preserve"> et le </w:t>
      </w:r>
      <w:r w:rsidR="008517C9" w:rsidRPr="005E36EF">
        <w:t>Bureau de la normalisation des télécommunications (</w:t>
      </w:r>
      <w:r w:rsidRPr="005E36EF">
        <w:t>TSB</w:t>
      </w:r>
      <w:r w:rsidR="008517C9" w:rsidRPr="005E36EF">
        <w:t>) au sein de l'UIT</w:t>
      </w:r>
      <w:r w:rsidRPr="005E36EF">
        <w:t xml:space="preserve"> ont mis un point d'honneur à associer les jeunes à des activités dans le domaine de l'IA, notamment dans le cadre des initiatives suivantes: création d'un Groupe consultatif de l'initiative Generation Connect sur le thème "L'IA au service du bien social"; élaboration conjointe </w:t>
      </w:r>
      <w:r w:rsidR="00A15D23" w:rsidRPr="005E36EF">
        <w:t xml:space="preserve">d'un </w:t>
      </w:r>
      <w:r w:rsidRPr="005E36EF">
        <w:t>webinaire sur les réseaux neuronaux intitulé "</w:t>
      </w:r>
      <w:hyperlink r:id="rId74" w:history="1">
        <w:r w:rsidRPr="005E36EF">
          <w:rPr>
            <w:rStyle w:val="Hyperlink"/>
          </w:rPr>
          <w:t>Comment ChatGPT va révolutionner les salles de classe – Table ronde des enseignants et des étudiants</w:t>
        </w:r>
      </w:hyperlink>
      <w:r w:rsidRPr="005E36EF">
        <w:t xml:space="preserve">"; élaboration conjointe d'un </w:t>
      </w:r>
      <w:hyperlink r:id="rId75" w:history="1">
        <w:r w:rsidRPr="005E36EF">
          <w:rPr>
            <w:rStyle w:val="Hyperlink"/>
          </w:rPr>
          <w:t>questionnaire</w:t>
        </w:r>
      </w:hyperlink>
      <w:r w:rsidRPr="005E36EF">
        <w:t xml:space="preserve"> sur l'IA au service du bien social et l'initiative Generation Connect axé sur l'IA et les jeunes; organisation conjointe de la session sur le thème "</w:t>
      </w:r>
      <w:hyperlink r:id="rId76" w:history="1">
        <w:r w:rsidRPr="005E36EF">
          <w:rPr>
            <w:rStyle w:val="Hyperlink"/>
          </w:rPr>
          <w:t>Les effets de l'IA sur la jeunesse: perspectives et défis</w:t>
        </w:r>
      </w:hyperlink>
      <w:r w:rsidRPr="005E36EF">
        <w:t xml:space="preserve">" dans le cadre du Sommet de 2023 sur l'IA au service du bien social; organisation conjointe </w:t>
      </w:r>
      <w:r w:rsidR="00AF6385" w:rsidRPr="005E36EF">
        <w:t>d'une</w:t>
      </w:r>
      <w:r w:rsidRPr="005E36EF">
        <w:t xml:space="preserve"> session de l'IA au service du bien social et de l'initiative Generation Connect, sur le thème "L'IA au service du bien et de l'ingénierie efficace", dans le cadre de l'édition de 2023 du Forum mondial de Misk tenu à Riyad (Arabie saoudite).</w:t>
      </w:r>
    </w:p>
    <w:p w14:paraId="6B853807" w14:textId="77777777" w:rsidR="00416430" w:rsidRPr="005E36EF" w:rsidRDefault="00416430" w:rsidP="00F35A80">
      <w:pPr>
        <w:keepNext/>
        <w:keepLines/>
      </w:pPr>
      <w:r w:rsidRPr="005E36EF">
        <w:lastRenderedPageBreak/>
        <w:t xml:space="preserve">Le Secrétariat de l'UIT s'emploie également à renforcer les relations avec les établissements universitaires en ce qui concerne l'appui aux travaux de recherche et la mobilisation des étudiants. On trouvera de plus amples renseignements sur les activités relatives aux jeunes dans le Document </w:t>
      </w:r>
      <w:hyperlink r:id="rId77" w:history="1">
        <w:r w:rsidRPr="005E36EF">
          <w:rPr>
            <w:rStyle w:val="Hyperlink"/>
          </w:rPr>
          <w:t>C24/31</w:t>
        </w:r>
      </w:hyperlink>
      <w:r w:rsidRPr="005E36EF">
        <w:t xml:space="preserve"> du Conseil.</w:t>
      </w:r>
    </w:p>
    <w:p w14:paraId="70C34280" w14:textId="77777777" w:rsidR="00416430" w:rsidRPr="005E36EF" w:rsidRDefault="00416430" w:rsidP="00416430">
      <w:pPr>
        <w:spacing w:after="240"/>
      </w:pPr>
      <w:r w:rsidRPr="005E36EF">
        <w:t xml:space="preserve">Des renseignements concernant l'état d'avancement des préparatifs en vue du Sommet sur la jeunesse organisé à l'initiative de l'UIT figurent dans le Document </w:t>
      </w:r>
      <w:hyperlink r:id="rId78" w:history="1">
        <w:r w:rsidRPr="005E36EF">
          <w:rPr>
            <w:rStyle w:val="Hyperlink"/>
          </w:rPr>
          <w:t>C24/32</w:t>
        </w:r>
      </w:hyperlink>
      <w:r w:rsidRPr="005E36EF">
        <w:t>.</w:t>
      </w:r>
    </w:p>
    <w:tbl>
      <w:tblPr>
        <w:tblStyle w:val="TableGrid"/>
        <w:tblW w:w="0" w:type="auto"/>
        <w:tblLook w:val="04A0" w:firstRow="1" w:lastRow="0" w:firstColumn="1" w:lastColumn="0" w:noHBand="0" w:noVBand="1"/>
      </w:tblPr>
      <w:tblGrid>
        <w:gridCol w:w="9061"/>
      </w:tblGrid>
      <w:tr w:rsidR="00416430" w:rsidRPr="005E36EF" w14:paraId="0B0F0C88" w14:textId="77777777" w:rsidTr="003631C1">
        <w:tc>
          <w:tcPr>
            <w:tcW w:w="9061" w:type="dxa"/>
          </w:tcPr>
          <w:p w14:paraId="0DDB2050" w14:textId="77777777" w:rsidR="00416430" w:rsidRPr="005E36EF" w:rsidRDefault="00416430" w:rsidP="003631C1">
            <w:pPr>
              <w:keepNext/>
              <w:jc w:val="center"/>
              <w:rPr>
                <w:b/>
                <w:bCs/>
                <w:sz w:val="28"/>
                <w:szCs w:val="28"/>
              </w:rPr>
            </w:pPr>
            <w:r w:rsidRPr="005E36EF">
              <w:rPr>
                <w:b/>
                <w:bCs/>
                <w:sz w:val="28"/>
                <w:szCs w:val="28"/>
              </w:rPr>
              <w:t>Des résultats concrets</w:t>
            </w:r>
          </w:p>
          <w:p w14:paraId="2A7361A0" w14:textId="77777777" w:rsidR="00416430" w:rsidRPr="005E36EF" w:rsidRDefault="00416430" w:rsidP="003631C1">
            <w:pPr>
              <w:rPr>
                <w:b/>
                <w:bCs/>
              </w:rPr>
            </w:pPr>
            <w:r w:rsidRPr="005E36EF">
              <w:rPr>
                <w:b/>
                <w:bCs/>
              </w:rPr>
              <w:t>Apprentissage en ligne dans les zones rurales du Zimbabwe</w:t>
            </w:r>
          </w:p>
          <w:p w14:paraId="2774F252" w14:textId="77777777" w:rsidR="00416430" w:rsidRPr="005E36EF" w:rsidRDefault="00416430" w:rsidP="003631C1">
            <w:r w:rsidRPr="005E36EF">
              <w:t>Un nouveau projet d'apprentissage en ligne, placé sous la houlette de l'UIT, a été mis en œuvre dans l'école secondaire de Ndlovu à Victoria Falls (Zimbabwe), afin d'offrir de nouvelles perspectives et de nouveaux horizons aux enfants en les dotant de compétences numériques, tout en assurant leur sécurité en ligne. Lors de l'inauguration du projet en avril 2023, des parents et des enseignants des zones rurales du Zimbabwe ont fait part de leurs attentes et de leurs aspirations vis-à-vis de l'avenir numérique de la prochaine génération.</w:t>
            </w:r>
          </w:p>
          <w:p w14:paraId="4C80FA4C" w14:textId="77777777" w:rsidR="00416430" w:rsidRPr="005E36EF" w:rsidRDefault="001A6AF2" w:rsidP="003631C1">
            <w:pPr>
              <w:spacing w:after="120"/>
            </w:pPr>
            <w:hyperlink r:id="rId79" w:history="1">
              <w:r w:rsidR="00416430" w:rsidRPr="005E36EF">
                <w:rPr>
                  <w:rStyle w:val="Hyperlink"/>
                </w:rPr>
                <w:t>En savoir plus sur les aspirations de la communauté dans le domaine du numérique</w:t>
              </w:r>
            </w:hyperlink>
            <w:r w:rsidR="00416430" w:rsidRPr="005E36EF">
              <w:rPr>
                <w:rFonts w:eastAsia="DengXian" w:cs="Calibri"/>
                <w:sz w:val="22"/>
                <w14:ligatures w14:val="standardContextual"/>
              </w:rPr>
              <w:t>.</w:t>
            </w:r>
          </w:p>
        </w:tc>
      </w:tr>
    </w:tbl>
    <w:p w14:paraId="5B60657E" w14:textId="77777777" w:rsidR="00416430" w:rsidRPr="005E36EF" w:rsidRDefault="00416430" w:rsidP="00416430">
      <w:pPr>
        <w:spacing w:before="240"/>
      </w:pPr>
      <w:r w:rsidRPr="005E36EF">
        <w:t xml:space="preserve">En outre, la manifestation </w:t>
      </w:r>
      <w:hyperlink r:id="rId80" w:history="1">
        <w:r w:rsidRPr="005E36EF">
          <w:rPr>
            <w:rStyle w:val="Hyperlink"/>
          </w:rPr>
          <w:t>Kaléidoscope 2024 de l'UIT, placée sur le thème "L'innovation et la transformation numérique au service d'un monde durable"</w:t>
        </w:r>
      </w:hyperlink>
      <w:r w:rsidRPr="005E36EF">
        <w:t xml:space="preserve">, se tiendra du 21 au 23 octobre à New Delhi (Inde), parallèlement à </w:t>
      </w:r>
      <w:hyperlink r:id="rId81" w:history="1">
        <w:r w:rsidRPr="005E36EF">
          <w:rPr>
            <w:rStyle w:val="Hyperlink"/>
          </w:rPr>
          <w:t>l'Assemblée mondiale de normalisation des télécommunications</w:t>
        </w:r>
      </w:hyperlink>
      <w:r w:rsidRPr="005E36EF">
        <w:t>. L'édition de 2024 de la manifestation comprendra une session spéciale consacrée à la participation d'un plus grand nombre de jeunes dans l'élaboration des normes et à la manière dont l'UIT peut apporter son appui à la prochaine génération d'acteurs du consensus.</w:t>
      </w:r>
    </w:p>
    <w:p w14:paraId="1C22736F" w14:textId="4B2673F2" w:rsidR="00416430" w:rsidRPr="005E36EF" w:rsidRDefault="00416430" w:rsidP="00416430">
      <w:r w:rsidRPr="005E36EF">
        <w:t>Les activités du Secteur du développement des télécommunications de l'UIT (UIT</w:t>
      </w:r>
      <w:r w:rsidRPr="005E36EF">
        <w:noBreakHyphen/>
        <w:t>D) concernant les jeunes sont décrites dans le rapport du Bureau de développement des télécommunications (BDT) au GCDT.</w:t>
      </w:r>
    </w:p>
    <w:p w14:paraId="70B328F0" w14:textId="77777777" w:rsidR="00416430" w:rsidRPr="005E36EF" w:rsidRDefault="00416430" w:rsidP="00416430">
      <w:pPr>
        <w:pStyle w:val="Heading3"/>
      </w:pPr>
      <w:bookmarkStart w:id="69" w:name="_Toc165445608"/>
      <w:bookmarkStart w:id="70" w:name="_Toc165445971"/>
      <w:bookmarkStart w:id="71" w:name="_Toc166500752"/>
      <w:r w:rsidRPr="005E36EF">
        <w:t>4.5.3</w:t>
      </w:r>
      <w:r w:rsidRPr="005E36EF">
        <w:tab/>
        <w:t>Accessibilité des TIC</w:t>
      </w:r>
      <w:bookmarkEnd w:id="69"/>
      <w:bookmarkEnd w:id="70"/>
      <w:bookmarkEnd w:id="71"/>
    </w:p>
    <w:p w14:paraId="24366132" w14:textId="77777777" w:rsidR="00416430" w:rsidRPr="005E36EF" w:rsidRDefault="00416430" w:rsidP="00416430">
      <w:r w:rsidRPr="005E36EF">
        <w:t>L'UIT s'efforce d'améliorer l'accès des personnes en situation de handicap aux TIC en les informant sur leur droit à l'accès aux TIC, en intégrant l'accessibilité dans l'élaboration des normes internationales relatives aux TIC et en dispensant un enseignement et des formations sur les principales questions liées à l'accessibilité. De plus, au cours de la période considérée, de nombreux membres de l'UIT, des parties prenantes et des participants ont renforcé leurs connaissances en matière d'accessibilité des TIC/du numérique dans le cadre d'activités diverses et variées. L'</w:t>
      </w:r>
      <w:hyperlink r:id="rId82" w:history="1">
        <w:r w:rsidRPr="005E36EF">
          <w:rPr>
            <w:rStyle w:val="Hyperlink"/>
          </w:rPr>
          <w:t>UIT-D</w:t>
        </w:r>
      </w:hyperlink>
      <w:r w:rsidRPr="005E36EF">
        <w:t xml:space="preserve"> a fourni des avis spécialisés en matière d'accessibilité des TIC visant à soutenir les efforts déployés par les membres de l'UIT pour faciliter l'inclusion numérique grâce à des programmes de formation à l'intention des cadres décideurs et des régulateurs régionaux.</w:t>
      </w:r>
    </w:p>
    <w:p w14:paraId="553B851E" w14:textId="77777777" w:rsidR="00416430" w:rsidRPr="005E36EF" w:rsidRDefault="00416430" w:rsidP="00416430">
      <w:r w:rsidRPr="005E36EF">
        <w:t xml:space="preserve">Pour avoir une vue d'ensemble de toutes les activités menées par l'UIT dans le domaine de l'accessibilité, veuillez consulter la </w:t>
      </w:r>
      <w:hyperlink r:id="rId83" w:history="1">
        <w:r w:rsidRPr="005E36EF">
          <w:rPr>
            <w:rStyle w:val="Hyperlink"/>
          </w:rPr>
          <w:t>page de l'UIT sur les questions d'accessibilité</w:t>
        </w:r>
      </w:hyperlink>
      <w:r w:rsidRPr="005E36EF">
        <w:t>.</w:t>
      </w:r>
    </w:p>
    <w:p w14:paraId="676EB473" w14:textId="77777777" w:rsidR="00416430" w:rsidRPr="005E36EF" w:rsidRDefault="00416430" w:rsidP="00416430">
      <w:pPr>
        <w:pStyle w:val="Headingb"/>
      </w:pPr>
      <w:r w:rsidRPr="005E36EF">
        <w:lastRenderedPageBreak/>
        <w:t>UIT-D</w:t>
      </w:r>
    </w:p>
    <w:p w14:paraId="1D0D96D7" w14:textId="30BFFA85" w:rsidR="00416430" w:rsidRPr="005E36EF" w:rsidRDefault="00416430" w:rsidP="00416430">
      <w:r w:rsidRPr="005E36EF">
        <w:t xml:space="preserve">Les activités de l'UIT-D en matière d'accessibilité sont décrites dans le rapport du BDT au GCDT. Voir également la </w:t>
      </w:r>
      <w:hyperlink r:id="rId84" w:history="1">
        <w:r w:rsidRPr="005E36EF">
          <w:rPr>
            <w:rStyle w:val="Hyperlink"/>
          </w:rPr>
          <w:t>page web sur l'accessibilité des TIC/du numérique</w:t>
        </w:r>
      </w:hyperlink>
      <w:r w:rsidRPr="005E36EF">
        <w:t>.</w:t>
      </w:r>
    </w:p>
    <w:p w14:paraId="2D6081A2" w14:textId="77777777" w:rsidR="00416430" w:rsidRPr="005E36EF" w:rsidRDefault="00416430" w:rsidP="00416430">
      <w:pPr>
        <w:pStyle w:val="Headingb"/>
      </w:pPr>
      <w:r w:rsidRPr="005E36EF">
        <w:t>UIT-T</w:t>
      </w:r>
    </w:p>
    <w:p w14:paraId="6A5A0149" w14:textId="2FDE74C1" w:rsidR="00416430" w:rsidRPr="005E36EF" w:rsidRDefault="00416430" w:rsidP="00416430">
      <w:r w:rsidRPr="005E36EF">
        <w:t xml:space="preserve">Pour avoir une vue d'ensemble des activités menées par le TSB et l'UIT-T dans le domaine de l'accessibilité, veuillez consulter la </w:t>
      </w:r>
      <w:hyperlink r:id="rId85" w:history="1">
        <w:r w:rsidRPr="005E36EF">
          <w:rPr>
            <w:rStyle w:val="Hyperlink"/>
          </w:rPr>
          <w:t>page de l'UIT-T sur les questions d'accessibilité</w:t>
        </w:r>
      </w:hyperlink>
      <w:r w:rsidRPr="005E36EF">
        <w:t>.</w:t>
      </w:r>
    </w:p>
    <w:p w14:paraId="19F03AC5" w14:textId="77777777" w:rsidR="00416430" w:rsidRPr="005E36EF" w:rsidRDefault="00416430" w:rsidP="00416430">
      <w:pPr>
        <w:pStyle w:val="Headingb"/>
      </w:pPr>
      <w:r w:rsidRPr="005E36EF">
        <w:t>UIT-R</w:t>
      </w:r>
    </w:p>
    <w:p w14:paraId="300B449A" w14:textId="77777777" w:rsidR="00416430" w:rsidRPr="005E36EF" w:rsidRDefault="00416430" w:rsidP="00416430">
      <w:r w:rsidRPr="005E36EF">
        <w:t>Cinq publications de l'UIT-R qui tiennent compte de divers aspects de l'accessibilité ont été révisées et approuvées en 2023. Ces activités ont été entreprises en application de la Résolution </w:t>
      </w:r>
      <w:hyperlink r:id="rId86" w:history="1">
        <w:r w:rsidRPr="005E36EF">
          <w:rPr>
            <w:rStyle w:val="Hyperlink"/>
          </w:rPr>
          <w:t>UIT-R 67-2</w:t>
        </w:r>
      </w:hyperlink>
      <w:r w:rsidRPr="005E36EF">
        <w:t xml:space="preserve">, intitulée "Accessibilité des télécommunications/technologies de l'information et de la communication pour les personnes handicapées et les personnes ayant des besoins particuliers" (approuvée par l'AR-23 le 17 novembre 2023) et de la Recommandation </w:t>
      </w:r>
      <w:hyperlink r:id="rId87" w:history="1">
        <w:r w:rsidRPr="005E36EF">
          <w:rPr>
            <w:rStyle w:val="Hyperlink"/>
          </w:rPr>
          <w:t>UIT-R BT.1702-3</w:t>
        </w:r>
      </w:hyperlink>
      <w:r w:rsidRPr="005E36EF">
        <w:t>, intitulée "Lignes directrices relatives à la réduction du risque de crises d'épilepsie photosensible dues à la télévision" (approuvée le 22 novembre 2023 par le Groupe de travail 6C relevant de la Commission d'études 6 désignée comme groupe responsable pour cette question).</w:t>
      </w:r>
    </w:p>
    <w:p w14:paraId="3B5381CA" w14:textId="77777777" w:rsidR="00416430" w:rsidRPr="005E36EF" w:rsidRDefault="00416430" w:rsidP="00416430">
      <w:r w:rsidRPr="005E36EF">
        <w:t xml:space="preserve">Des informations complémentaires sur les travaux de l'UIT-R sur les questions d'accessibilité sont disponibles </w:t>
      </w:r>
      <w:hyperlink r:id="rId88" w:history="1">
        <w:r w:rsidRPr="005E36EF">
          <w:rPr>
            <w:rStyle w:val="Hyperlink"/>
          </w:rPr>
          <w:t>ici</w:t>
        </w:r>
      </w:hyperlink>
      <w:r w:rsidRPr="005E36EF">
        <w:t>.</w:t>
      </w:r>
    </w:p>
    <w:p w14:paraId="0DA704EB" w14:textId="77777777" w:rsidR="00416430" w:rsidRPr="005E36EF" w:rsidRDefault="00416430" w:rsidP="00416430">
      <w:pPr>
        <w:pStyle w:val="Heading3"/>
      </w:pPr>
      <w:bookmarkStart w:id="72" w:name="_Toc165445609"/>
      <w:bookmarkStart w:id="73" w:name="_Toc165445972"/>
      <w:bookmarkStart w:id="74" w:name="_Toc166500753"/>
      <w:r w:rsidRPr="005E36EF">
        <w:t>4.5.4</w:t>
      </w:r>
      <w:r w:rsidRPr="005E36EF">
        <w:tab/>
        <w:t>Peuples autochtones</w:t>
      </w:r>
      <w:bookmarkEnd w:id="72"/>
      <w:bookmarkEnd w:id="73"/>
      <w:bookmarkEnd w:id="74"/>
    </w:p>
    <w:p w14:paraId="5B745960" w14:textId="55DA29CE" w:rsidR="00416430" w:rsidRPr="005E36EF" w:rsidRDefault="00416430" w:rsidP="00416430">
      <w:r w:rsidRPr="005E36EF">
        <w:t>Les activités de l'UIT-D relatives aux besoins des peuples autochtones sont décrites dans le rapport au GCDT.</w:t>
      </w:r>
    </w:p>
    <w:p w14:paraId="1995A5F3" w14:textId="77777777" w:rsidR="00416430" w:rsidRPr="005E36EF" w:rsidRDefault="00416430" w:rsidP="00416430">
      <w:pPr>
        <w:pStyle w:val="Heading3"/>
      </w:pPr>
      <w:bookmarkStart w:id="75" w:name="_Toc165445610"/>
      <w:bookmarkStart w:id="76" w:name="_Toc165445973"/>
      <w:bookmarkStart w:id="77" w:name="_Toc166500754"/>
      <w:r w:rsidRPr="005E36EF">
        <w:t>4.5.5</w:t>
      </w:r>
      <w:r w:rsidRPr="005E36EF">
        <w:tab/>
        <w:t>Vieillissement de la population</w:t>
      </w:r>
      <w:bookmarkEnd w:id="75"/>
      <w:bookmarkEnd w:id="76"/>
      <w:bookmarkEnd w:id="77"/>
    </w:p>
    <w:p w14:paraId="1D0C083D" w14:textId="77777777" w:rsidR="00416430" w:rsidRPr="005E36EF" w:rsidRDefault="00416430" w:rsidP="00416430">
      <w:r w:rsidRPr="005E36EF">
        <w:t xml:space="preserve">Un rapport sur le </w:t>
      </w:r>
      <w:hyperlink r:id="rId89" w:history="1">
        <w:r w:rsidRPr="005E36EF">
          <w:rPr>
            <w:rStyle w:val="Hyperlink"/>
          </w:rPr>
          <w:t>rôle des technologies numériques dans le vieillissement et la santé</w:t>
        </w:r>
      </w:hyperlink>
      <w:r w:rsidRPr="005E36EF">
        <w:t xml:space="preserve"> (avril 2023), élaboré par l'UIT et l'Organisation panaméricaine de la santé, décrit les possibilités d'améliorer la vie des personnes âgées grâce à des solutions technologiques inclusives.</w:t>
      </w:r>
    </w:p>
    <w:p w14:paraId="71A4BF09" w14:textId="2BA49A1E" w:rsidR="00416430" w:rsidRPr="005E36EF" w:rsidRDefault="00416430" w:rsidP="00416430">
      <w:r w:rsidRPr="005E36EF">
        <w:t>Les activités de l'UIT-D relatives au vieillissement de la population sont décrites dans le rapport au GCDT.</w:t>
      </w:r>
    </w:p>
    <w:p w14:paraId="5841A2EC" w14:textId="77777777" w:rsidR="00416430" w:rsidRPr="005E36EF" w:rsidRDefault="00416430" w:rsidP="00416430">
      <w:pPr>
        <w:pStyle w:val="Heading3"/>
      </w:pPr>
      <w:bookmarkStart w:id="78" w:name="_Toc165445611"/>
      <w:bookmarkStart w:id="79" w:name="_Toc165445974"/>
      <w:bookmarkStart w:id="80" w:name="_Toc166500755"/>
      <w:r w:rsidRPr="005E36EF">
        <w:t>4.5.6</w:t>
      </w:r>
      <w:r w:rsidRPr="005E36EF">
        <w:tab/>
        <w:t>Réduire l'écart en matière de normalisation</w:t>
      </w:r>
      <w:bookmarkEnd w:id="78"/>
      <w:bookmarkEnd w:id="79"/>
      <w:bookmarkEnd w:id="80"/>
    </w:p>
    <w:p w14:paraId="69140BE0" w14:textId="77777777" w:rsidR="00416430" w:rsidRPr="005E36EF" w:rsidRDefault="00416430" w:rsidP="00416430">
      <w:r w:rsidRPr="005E36EF">
        <w:t xml:space="preserve">Le </w:t>
      </w:r>
      <w:hyperlink r:id="rId90" w:history="1">
        <w:r w:rsidRPr="005E36EF">
          <w:rPr>
            <w:rStyle w:val="Hyperlink"/>
          </w:rPr>
          <w:t>programme de l'UIT visant à réduire l'écart en matière de normalisation (BSG)</w:t>
        </w:r>
      </w:hyperlink>
      <w:r w:rsidRPr="005E36EF">
        <w:t xml:space="preserve"> vise à améliorer la capacité de tous les pays, en particulier les pays en développement, de participer à l'élaboration et à la mise en œuvre des normes de l'UIT-T. Le Ministère des affaires intérieures et des communications du Japon a financé ce programme en 2023.</w:t>
      </w:r>
    </w:p>
    <w:p w14:paraId="41188FE7" w14:textId="77777777" w:rsidR="00416430" w:rsidRPr="005E36EF" w:rsidRDefault="00416430" w:rsidP="00416430">
      <w:pPr>
        <w:spacing w:after="240"/>
      </w:pPr>
      <w:r w:rsidRPr="005E36EF">
        <w:t xml:space="preserve">Des formations pratiques sur l'efficacité des commissions d'études offrent un encadrement dans l'acquisition de compétences pratiques utiles pour participer aux activités de normalisation de l'UIT. Des bourses peuvent être accordées pour fournir un appui financier aux délégués de pays en développement remplissant les conditions requises. Au sein des commissions d'études de l'UIT-T, les groupes régionaux contribuent à faire en sorte que les normes de l'UIT soient applicables à l'échelle mondiale. Un cours de formation en ligne fournit des orientations sur les méthodes de travail de normalisation de l'UIT. Des forums </w:t>
      </w:r>
      <w:r w:rsidRPr="005E36EF">
        <w:lastRenderedPageBreak/>
        <w:t>régionaux et interrégionaux traitent des méthodes de travail et des sujets à l'étude. Les lignes directrices de l'UIT sur les Secrétariats nationaux chargés de la normalisation décrivent des méthodes permettant de créer des cadres nationaux propices à une participation efficace aux travaux de normalisation de l'UIT.</w:t>
      </w:r>
    </w:p>
    <w:tbl>
      <w:tblPr>
        <w:tblStyle w:val="TableGrid"/>
        <w:tblW w:w="0" w:type="auto"/>
        <w:tblLook w:val="04A0" w:firstRow="1" w:lastRow="0" w:firstColumn="1" w:lastColumn="0" w:noHBand="0" w:noVBand="1"/>
      </w:tblPr>
      <w:tblGrid>
        <w:gridCol w:w="9061"/>
      </w:tblGrid>
      <w:tr w:rsidR="00416430" w:rsidRPr="005E36EF" w14:paraId="784903BB" w14:textId="77777777" w:rsidTr="003631C1">
        <w:tc>
          <w:tcPr>
            <w:tcW w:w="9061" w:type="dxa"/>
          </w:tcPr>
          <w:p w14:paraId="66557099" w14:textId="77777777" w:rsidR="00416430" w:rsidRPr="005E36EF" w:rsidRDefault="00416430" w:rsidP="003631C1">
            <w:pPr>
              <w:keepNext/>
              <w:jc w:val="center"/>
              <w:rPr>
                <w:b/>
                <w:bCs/>
                <w:sz w:val="28"/>
                <w:szCs w:val="28"/>
              </w:rPr>
            </w:pPr>
            <w:r w:rsidRPr="005E36EF">
              <w:rPr>
                <w:b/>
                <w:bCs/>
                <w:sz w:val="28"/>
                <w:szCs w:val="28"/>
              </w:rPr>
              <w:t>Des résultats concrets</w:t>
            </w:r>
          </w:p>
          <w:p w14:paraId="76CD9C0F" w14:textId="77777777" w:rsidR="00416430" w:rsidRPr="005E36EF" w:rsidRDefault="00416430" w:rsidP="003631C1">
            <w:pPr>
              <w:keepNext/>
              <w:rPr>
                <w:b/>
                <w:bCs/>
              </w:rPr>
            </w:pPr>
            <w:r w:rsidRPr="005E36EF">
              <w:rPr>
                <w:b/>
                <w:bCs/>
              </w:rPr>
              <w:t>Consultations à l'échelle nationale sur l'initiative "Alertes précoces pour tous"</w:t>
            </w:r>
          </w:p>
          <w:p w14:paraId="48E8DCAA" w14:textId="77777777" w:rsidR="00416430" w:rsidRPr="005E36EF" w:rsidRDefault="00416430" w:rsidP="003631C1">
            <w:pPr>
              <w:keepNext/>
            </w:pPr>
            <w:r w:rsidRPr="005E36EF">
              <w:t xml:space="preserve">Plusieurs pays ont commencé à déployer l'initiative "Alertes précoces pour tous" (EW4All), lancée à l'initiative du Secrétaire général de l'ONU, dans le cadre d'ateliers dirigés par l'UIT, lesquels ont été l'occasion pour les participants de souligner le rôle vital des systèmes d'alerte avancée dans la prévention des catastrophes, qui ont vocation à sauver des vies en fournissant des alertes rapidement avant une catastrophe. Les consultations menées à l'échelle nationale ont été axées sur la collaboration multi-parties prenantes pour renforcer les capacités d'intervention en cas d'urgence et les participants ont recensé les lacunes et formulé des plans stratégiques pour renforcer les infrastructures d'alerte avancée et accroître leur résilience face aux catastrophes naturelles. En fonction des besoins de chaque pays et des risques auxquels ils sont exposés, les discussions ont permis de recenser les lacunes en matière d'infrastructure, d'élaborer des plans d'intervention, de renforcer les systèmes d'alerte avancée multirisques et de traiter les problèmes liés aux changements climatiques et aux catastrophes. Les premiers ateliers se sont déroulés dans les pays suivants: Comores, Cambodge, République démocratique populaire lao, Népal, Madagascar, Maldives, Tadjikistan, Éthiopie, Barbade, Somalie, Ouganda, Bangladesh, Mozambique, Soudan du Sud, Haïti, Antigua-et-Barbuda et Maurice. La mise en œuvre de l'initiative EW4All se poursuit dans plusieurs pays en 2024. </w:t>
            </w:r>
          </w:p>
          <w:p w14:paraId="28665148" w14:textId="77777777" w:rsidR="00416430" w:rsidRPr="005E36EF" w:rsidRDefault="001A6AF2" w:rsidP="003631C1">
            <w:pPr>
              <w:spacing w:after="120"/>
            </w:pPr>
            <w:hyperlink r:id="rId91" w:history="1">
              <w:r w:rsidR="00416430" w:rsidRPr="005E36EF">
                <w:rPr>
                  <w:rStyle w:val="Hyperlink"/>
                </w:rPr>
                <w:t>En savoir plus sur les ateliers de consultation organisés par l'UIT dans le cadre de l'initiative EW4All</w:t>
              </w:r>
            </w:hyperlink>
            <w:r w:rsidR="00416430" w:rsidRPr="005E36EF">
              <w:t>.</w:t>
            </w:r>
          </w:p>
        </w:tc>
      </w:tr>
    </w:tbl>
    <w:p w14:paraId="24210F34" w14:textId="77777777" w:rsidR="00416430" w:rsidRPr="005E36EF" w:rsidRDefault="00416430" w:rsidP="00416430">
      <w:pPr>
        <w:pStyle w:val="Heading1"/>
      </w:pPr>
      <w:bookmarkStart w:id="81" w:name="_Toc166500756"/>
      <w:r w:rsidRPr="005E36EF">
        <w:t>5</w:t>
      </w:r>
      <w:r w:rsidRPr="005E36EF">
        <w:tab/>
        <w:t>Normalisation: les fondements des technologies d'aujourd'hui et de demain</w:t>
      </w:r>
      <w:bookmarkEnd w:id="81"/>
    </w:p>
    <w:p w14:paraId="2350F185" w14:textId="77777777" w:rsidR="00416430" w:rsidRPr="005E36EF" w:rsidRDefault="00416430" w:rsidP="00416430">
      <w:r w:rsidRPr="005E36EF">
        <w:t>Les technologies inclusives, élaborées conformément à des spécifications universelles, fonctionnent efficacement pour tous et reflètent un engagement résolu en faveur de l'interopérabilité, de l'accessibilité, de la sécurité, de l'accessibilité financière et de la durabilité, qui garantit l'applicabilité des normes de l'UIT dans le monde entier. À l'aide des normes techniques de l'UIT, les dispositifs locaux sont reliés en toute compatibilité aux réseaux mondiaux. Des connexions sûres, à la portée de tous, permettent aux communautés d'accéder à des informations essentielles et contribuent à atténuer les effets des changements climatiques.</w:t>
      </w:r>
    </w:p>
    <w:p w14:paraId="734E348F" w14:textId="77777777" w:rsidR="00416430" w:rsidRPr="005E36EF" w:rsidRDefault="00416430" w:rsidP="00416430">
      <w:r w:rsidRPr="005E36EF">
        <w:t xml:space="preserve">Les normes de l'UIT sont élaborées par le Secteur de la normalisation des télécommunications et le Secteur des radiocommunications de l'UIT et publiées respectivement sous forme de </w:t>
      </w:r>
      <w:hyperlink r:id="rId92" w:history="1">
        <w:r w:rsidRPr="005E36EF">
          <w:rPr>
            <w:rStyle w:val="Hyperlink"/>
          </w:rPr>
          <w:t>Recommandations UIT-T</w:t>
        </w:r>
      </w:hyperlink>
      <w:r w:rsidRPr="005E36EF">
        <w:t xml:space="preserve"> et de </w:t>
      </w:r>
      <w:hyperlink r:id="rId93" w:history="1">
        <w:r w:rsidRPr="005E36EF">
          <w:rPr>
            <w:rStyle w:val="Hyperlink"/>
          </w:rPr>
          <w:t>Recommandations UIT-R</w:t>
        </w:r>
      </w:hyperlink>
      <w:r w:rsidRPr="005E36EF">
        <w:t>.</w:t>
      </w:r>
    </w:p>
    <w:p w14:paraId="1A434976" w14:textId="77777777" w:rsidR="00416430" w:rsidRPr="005E36EF" w:rsidRDefault="00416430" w:rsidP="00416430">
      <w:pPr>
        <w:pStyle w:val="Headingb"/>
      </w:pPr>
      <w:r w:rsidRPr="005E36EF">
        <w:lastRenderedPageBreak/>
        <w:t>Recommandations UIT-T</w:t>
      </w:r>
    </w:p>
    <w:p w14:paraId="226602EB" w14:textId="77777777" w:rsidR="00416430" w:rsidRPr="005E36EF" w:rsidRDefault="00416430" w:rsidP="00416430">
      <w:r w:rsidRPr="005E36EF">
        <w:t xml:space="preserve">Au sein du Secteur de la normalisation des télécommunications (UIT-T), les États Membres de l'organisation ont approuvé </w:t>
      </w:r>
      <w:hyperlink r:id="rId94" w:history="1">
        <w:r w:rsidRPr="005E36EF">
          <w:rPr>
            <w:rStyle w:val="Hyperlink"/>
          </w:rPr>
          <w:t>286 Recommandations UIT-T, nouvelles ou révisées, et textes connexes</w:t>
        </w:r>
      </w:hyperlink>
      <w:r w:rsidRPr="005E36EF">
        <w:t xml:space="preserve"> au cours de la période considérée (au 28 février 2024). Pour consulter toutes les décisions actuellement en vigueur, voir le </w:t>
      </w:r>
      <w:hyperlink r:id="rId95" w:history="1">
        <w:r w:rsidRPr="005E36EF">
          <w:rPr>
            <w:rStyle w:val="Hyperlink"/>
          </w:rPr>
          <w:t>catalogue des Recommandations UIT-T</w:t>
        </w:r>
      </w:hyperlink>
      <w:r w:rsidRPr="005E36EF">
        <w:t xml:space="preserve">. Les résumés analytiques des réunions des commissions d'études peuvent être consultés sur la </w:t>
      </w:r>
      <w:hyperlink r:id="rId96" w:history="1">
        <w:r w:rsidRPr="005E36EF">
          <w:rPr>
            <w:rStyle w:val="Hyperlink"/>
          </w:rPr>
          <w:t>page d'accueil</w:t>
        </w:r>
      </w:hyperlink>
      <w:r w:rsidRPr="005E36EF">
        <w:t xml:space="preserve"> des commissions d'études de l'UIT-T.</w:t>
      </w:r>
    </w:p>
    <w:p w14:paraId="3E8ABD0D" w14:textId="77777777" w:rsidR="00416430" w:rsidRPr="005E36EF" w:rsidRDefault="00416430" w:rsidP="00416430">
      <w:r w:rsidRPr="005E36EF">
        <w:t xml:space="preserve">Cinq groupes spécialisés de l'UIT-T sont en activité. Les groupes spécialisés jettent les bases des travaux de normalisation associés aux commissions d'études de l'UIT-T. Des informations sur les activités de ces groupes et leurs produits sont disponibles sur la </w:t>
      </w:r>
      <w:hyperlink r:id="rId97" w:history="1">
        <w:r w:rsidRPr="005E36EF">
          <w:rPr>
            <w:rStyle w:val="Hyperlink"/>
          </w:rPr>
          <w:t>page d'accueil</w:t>
        </w:r>
      </w:hyperlink>
      <w:r w:rsidRPr="005E36EF">
        <w:t xml:space="preserve"> des groupes spécialisés de l'UIT-T.</w:t>
      </w:r>
    </w:p>
    <w:p w14:paraId="6B8360BB" w14:textId="77777777" w:rsidR="00416430" w:rsidRPr="005E36EF" w:rsidRDefault="00416430" w:rsidP="00416430">
      <w:pPr>
        <w:pStyle w:val="Headingb"/>
      </w:pPr>
      <w:r w:rsidRPr="005E36EF">
        <w:t>Recommandations UIT-R</w:t>
      </w:r>
    </w:p>
    <w:p w14:paraId="2A22CAF0" w14:textId="77777777" w:rsidR="00416430" w:rsidRPr="005E36EF" w:rsidRDefault="00416430" w:rsidP="00416430">
      <w:r w:rsidRPr="005E36EF">
        <w:t xml:space="preserve">De mai à décembre 2023, le Secteur des radiocommunications de l'UIT (UIT-R) a approuvé plus de 80 Recommandations UIT-R, nouvelles ou révisées. Voir l'ensemble des </w:t>
      </w:r>
      <w:hyperlink r:id="rId98" w:history="1">
        <w:r w:rsidRPr="005E36EF">
          <w:rPr>
            <w:rStyle w:val="Hyperlink"/>
          </w:rPr>
          <w:t>Recommandations UIT-R</w:t>
        </w:r>
      </w:hyperlink>
      <w:r w:rsidRPr="005E36EF">
        <w:t>.</w:t>
      </w:r>
    </w:p>
    <w:p w14:paraId="13D02D56" w14:textId="79029551" w:rsidR="00416430" w:rsidRPr="005E36EF" w:rsidRDefault="00416430" w:rsidP="00416430">
      <w:r w:rsidRPr="005E36EF">
        <w:t>En 2023, l'UIT s'est vu décerner le prix Emmy Award dans le domaine de l'ingénierie, des sciences et de la technologie pour l'élaboration d'une norme de radiocommunication applicable à la télévision à grande plage dynamique (TV-HDR). Décerné par l'Académie de la télévision, ce prix récompense les travaux novateurs réalisés par des ingénieurs et des spécialistes au sein de la Commission d'études 6 de l'UIT-R pour élaborer une norme mondiale sur la télévision HDR qui améliore l'expérience visuelle des téléspectateurs. Il s'agit du troisième prix Emmy Award reçu par une commission d'études de l'UIT-R et du sixième</w:t>
      </w:r>
      <w:r w:rsidR="005E3C05" w:rsidRPr="005E36EF">
        <w:t> </w:t>
      </w:r>
      <w:r w:rsidRPr="005E36EF">
        <w:t>pour l'UIT dans son ensemble</w:t>
      </w:r>
      <w:r w:rsidR="005E3C05" w:rsidRPr="005E36EF">
        <w:t>.</w:t>
      </w:r>
    </w:p>
    <w:p w14:paraId="3467EF0B" w14:textId="77777777" w:rsidR="00416430" w:rsidRPr="005E36EF" w:rsidRDefault="00416430" w:rsidP="00416430">
      <w:pPr>
        <w:pStyle w:val="Heading1"/>
      </w:pPr>
      <w:bookmarkStart w:id="82" w:name="_Toc166500757"/>
      <w:r w:rsidRPr="005E36EF">
        <w:t>6</w:t>
      </w:r>
      <w:r w:rsidRPr="005E36EF">
        <w:tab/>
        <w:t>Partenariats stratégiques au service du développement durable</w:t>
      </w:r>
      <w:bookmarkEnd w:id="82"/>
    </w:p>
    <w:p w14:paraId="124A58AF" w14:textId="77777777" w:rsidR="00416430" w:rsidRPr="005E36EF" w:rsidRDefault="00416430" w:rsidP="00416430">
      <w:pPr>
        <w:pStyle w:val="Headingb"/>
      </w:pPr>
      <w:r w:rsidRPr="005E36EF">
        <w:t>Coalition Partner2Connect</w:t>
      </w:r>
    </w:p>
    <w:p w14:paraId="4938E354" w14:textId="77777777" w:rsidR="00416430" w:rsidRPr="005E36EF" w:rsidRDefault="00416430" w:rsidP="00416430">
      <w:r w:rsidRPr="005E36EF">
        <w:t xml:space="preserve">La </w:t>
      </w:r>
      <w:hyperlink r:id="rId99" w:history="1">
        <w:r w:rsidRPr="005E36EF">
          <w:rPr>
            <w:rStyle w:val="Hyperlink"/>
          </w:rPr>
          <w:t>Coalition pour le numérique Partner2Connect (P2C)</w:t>
        </w:r>
      </w:hyperlink>
      <w:r w:rsidRPr="005E36EF">
        <w:t xml:space="preserve"> est la plate-forme multi-parties prenantes mondiale de l'UIT visant à mobiliser des ressources, des partenariats et des engagements en faveur d'une connectivité universelle et efficace et d'une transformation numérique durable. Lors de la </w:t>
      </w:r>
      <w:hyperlink r:id="rId100" w:history="1">
        <w:r w:rsidRPr="005E36EF">
          <w:rPr>
            <w:rStyle w:val="Hyperlink"/>
          </w:rPr>
          <w:t>réunion annuelle qui s'est tenue à Genève en décembre 2023</w:t>
        </w:r>
      </w:hyperlink>
      <w:r w:rsidRPr="005E36EF">
        <w:t xml:space="preserve">, la Coalition P2C a fait état d'une augmentation de 53% du nombre d'engagements soumis par rapport aux chiffres du rapport annuel de 2022, et d'une augmentation de près de 55% du nombre d'entités ayant rejoint la Coalition. En 2023, la Coalition P2C a mobilisé 7 milliards USD supplémentaires pour des projets de connectivité mondiale et lancé des campagnes de mobilisation ciblées pour répondre aux besoins en matière de connectivité des habitants des pays les moins avancés (PMA) et des personnes déplacées, dans le but d'ouvrir la voie à une transformation numérique durable. En ce qui concerne la mise en œuvre des engagements, en 2023, 33% des engagements annoncés ont fait l'objet d'un rapport d'activité de 35% du total des entités ayant soumis des engagements. Des progrès ont été enregistrés pour 73% des engagements annoncés et 12% ont déjà été pleinement mis en œuvre. Les données du </w:t>
      </w:r>
      <w:hyperlink r:id="rId101" w:history="1">
        <w:r w:rsidRPr="005E36EF">
          <w:rPr>
            <w:rStyle w:val="Hyperlink"/>
          </w:rPr>
          <w:t>rapport annuel de 2023</w:t>
        </w:r>
      </w:hyperlink>
      <w:r w:rsidRPr="005E36EF">
        <w:t xml:space="preserve"> indiquent également qu'environ 4,8 milliards USD avaient déjà été dépensés pour la mise en œuvre des 275 engagements qui ont fait l'objet d'un rapport.</w:t>
      </w:r>
    </w:p>
    <w:p w14:paraId="2675D85F" w14:textId="77777777" w:rsidR="00416430" w:rsidRPr="005E36EF" w:rsidRDefault="00416430" w:rsidP="00416430">
      <w:r w:rsidRPr="005E36EF">
        <w:lastRenderedPageBreak/>
        <w:t xml:space="preserve">Fin 2023, la Coalition P2C avait mobilisé 845 engagements d'une valeur de 36,78 milliards USD auprès de 408 entités représentant 138 pays à travers le monde. Le premier trimestre de 2024 a commencé sous de bons auspices pour la Coalition. En effet, lors du Congrès mondial sur la téléphonie mobile qui s'est tenu à Barcelone, des engagements en faveur de la connectivité d'une valeur de 9 milliards USD </w:t>
      </w:r>
      <w:hyperlink r:id="rId102" w:history="1">
        <w:r w:rsidRPr="005E36EF">
          <w:rPr>
            <w:rStyle w:val="Hyperlink"/>
          </w:rPr>
          <w:t>ont été annoncés</w:t>
        </w:r>
      </w:hyperlink>
      <w:r w:rsidRPr="005E36EF">
        <w:t>, portant la valeur totale des engagements à environ 46 milliards USD. Actuellement, 875 engagements provenant de 426 entités de 141 pays ont été soumis via la plate-forme.</w:t>
      </w:r>
    </w:p>
    <w:p w14:paraId="11FA7999" w14:textId="77777777" w:rsidR="00416430" w:rsidRPr="005E36EF" w:rsidRDefault="00416430" w:rsidP="00416430">
      <w:pPr>
        <w:pStyle w:val="Headingb"/>
      </w:pPr>
      <w:r w:rsidRPr="005E36EF">
        <w:t>Le numérique au service des ODD – Promouvoir des solutions pour accélérer les progrès</w:t>
      </w:r>
    </w:p>
    <w:p w14:paraId="5117A831" w14:textId="77777777" w:rsidR="00416430" w:rsidRPr="005E36EF" w:rsidRDefault="00416430" w:rsidP="00416430">
      <w:r w:rsidRPr="005E36EF">
        <w:t xml:space="preserve">Les technologies numériques sont indispensables à la réalisation des </w:t>
      </w:r>
      <w:hyperlink r:id="rId103" w:history="1">
        <w:r w:rsidRPr="005E36EF">
          <w:rPr>
            <w:rStyle w:val="Hyperlink"/>
          </w:rPr>
          <w:t>ODD</w:t>
        </w:r>
      </w:hyperlink>
      <w:r w:rsidRPr="005E36EF">
        <w:t xml:space="preserve"> fixés par les Nations Unies. La manifestation sur le numérique au service des ODD a été l'occasion – avant le Sommet de 2023 sur les ODD – de faire le point sur les réalisations, les lacunes et les perspectives dans ce domaine, de favoriser une plus grande mobilisation et d'intensifier la contribution du numérique à la réalisation du Programme 2030.</w:t>
      </w:r>
    </w:p>
    <w:p w14:paraId="139C2FD4" w14:textId="721D1E4F" w:rsidR="00416430" w:rsidRPr="005E36EF" w:rsidRDefault="00416430" w:rsidP="00416430">
      <w:r w:rsidRPr="005E36EF">
        <w:t>Le 17 septembre 2023, l'UIT a collaboré avec le PNUD et divers partenaires d'appui pour organiser la manifestation sur le numérique au service des ODD au siège des Nations Unies à New York.</w:t>
      </w:r>
    </w:p>
    <w:p w14:paraId="69E38B30" w14:textId="77777777" w:rsidR="00416430" w:rsidRPr="005E36EF" w:rsidRDefault="00416430" w:rsidP="00416430">
      <w:r w:rsidRPr="005E36EF">
        <w:t xml:space="preserve">Dans le cadre du </w:t>
      </w:r>
      <w:hyperlink r:id="rId104" w:history="1">
        <w:r w:rsidRPr="005E36EF">
          <w:rPr>
            <w:rStyle w:val="Hyperlink"/>
          </w:rPr>
          <w:t>week-end d'action en faveur des ODD</w:t>
        </w:r>
      </w:hyperlink>
      <w:r w:rsidRPr="005E36EF">
        <w:t xml:space="preserve">, la manifestation a porté essentiellement sur la mise en œuvre à grande échelle des solutions numériques au service des ODD, notamment par le biais de nouvelles </w:t>
      </w:r>
      <w:hyperlink r:id="rId105" w:history="1">
        <w:r w:rsidRPr="005E36EF">
          <w:rPr>
            <w:rStyle w:val="Hyperlink"/>
          </w:rPr>
          <w:t>initiatives à fort impact</w:t>
        </w:r>
      </w:hyperlink>
      <w:r w:rsidRPr="005E36EF">
        <w:t xml:space="preserve"> pour une transformation numérique durable et inclusive.</w:t>
      </w:r>
    </w:p>
    <w:p w14:paraId="595FB2F6" w14:textId="77777777" w:rsidR="00416430" w:rsidRPr="005E36EF" w:rsidRDefault="00416430" w:rsidP="00416430">
      <w:pPr>
        <w:pStyle w:val="Headingb"/>
        <w:tabs>
          <w:tab w:val="clear" w:pos="567"/>
        </w:tabs>
        <w:ind w:left="0" w:firstLine="0"/>
      </w:pPr>
      <w:r w:rsidRPr="005E36EF">
        <w:t>Commission sur le large bande – Placer le large bande au cœur des préoccupations des décideurs au niveau international</w:t>
      </w:r>
    </w:p>
    <w:p w14:paraId="4761713E" w14:textId="77777777" w:rsidR="00416430" w:rsidRPr="005E36EF" w:rsidRDefault="00416430" w:rsidP="00416430">
      <w:r w:rsidRPr="005E36EF">
        <w:t>En 2023, la Commission sur le large bande comptait plus de 100 partenaires de tous horizons, dont plus de 50 commissaires (9 nouveaux membres rejoignent la Commission en 2024), plus de 40 spécialistes externes issus des groupes de travail et plus de 10 partenaires stratégiques.</w:t>
      </w:r>
    </w:p>
    <w:p w14:paraId="00422441" w14:textId="77777777" w:rsidR="00416430" w:rsidRPr="005E36EF" w:rsidRDefault="00416430" w:rsidP="00416430">
      <w:r w:rsidRPr="005E36EF">
        <w:t>La Commission a organisé plus de 30 activités internationales de promotion en présence de ses membres, publié 8 ouvrages de réflexion et lancé 3 campagnes inédites de sensibilisation; deux groupes de travail dirigés par des commissaires ont également mené à bien leurs travaux. La réunion annuelle d'automne 2023 consacrée au thème "Digital connectivity – A Transformative opportunity" (Connectivité numérique: un potentiel de transformation) s'est tenue à New York le 16 septembre, en marge de la 78ème session de l'Assemblée générale des Nations Unies et de la manifestation "Le numérique au service des Objectifs de développement durable", organisée par l'UIT et le Programme des Nations Unies pour le développement (PNUD).</w:t>
      </w:r>
    </w:p>
    <w:p w14:paraId="04758518" w14:textId="77777777" w:rsidR="00416430" w:rsidRPr="005E36EF" w:rsidRDefault="00416430" w:rsidP="00416430">
      <w:r w:rsidRPr="005E36EF">
        <w:t>La Commission sur le large bande a participé à des manifestations organisées par des institutions des Nations Unies (y compris la 68ème session de la Commission de la condition de la femme, le Forum 2023 du SMSI, le Forum 2023 sur la science, la technologie et l'innovation et la Semaine électronique 2023 de la CNUCED) et à des conférences du secteur privé (y compris le Sommet des dirigeants de la SAMENA en 2023).</w:t>
      </w:r>
    </w:p>
    <w:p w14:paraId="2B7F9508" w14:textId="77777777" w:rsidR="00416430" w:rsidRPr="005E36EF" w:rsidRDefault="00416430" w:rsidP="00785399">
      <w:pPr>
        <w:keepNext/>
        <w:keepLines/>
      </w:pPr>
      <w:r w:rsidRPr="005E36EF">
        <w:lastRenderedPageBreak/>
        <w:t>Au cours de la période considérée, des publications, des rapports de groupes de travail, des déclarations/contributions et des travaux de recherche liés aux ODD ont été produits:</w:t>
      </w:r>
    </w:p>
    <w:p w14:paraId="5885154E" w14:textId="77777777" w:rsidR="00416430" w:rsidRPr="005E36EF" w:rsidRDefault="00416430" w:rsidP="00785399">
      <w:pPr>
        <w:pStyle w:val="enumlev1"/>
        <w:keepNext/>
        <w:keepLines/>
      </w:pPr>
      <w:r w:rsidRPr="005E36EF">
        <w:t>–</w:t>
      </w:r>
      <w:r w:rsidRPr="005E36EF">
        <w:tab/>
      </w:r>
      <w:hyperlink r:id="rId106" w:history="1">
        <w:r w:rsidRPr="005E36EF">
          <w:rPr>
            <w:rStyle w:val="Hyperlink"/>
          </w:rPr>
          <w:t>Rapport de 2023 sur la situation du large bande intitulé</w:t>
        </w:r>
      </w:hyperlink>
      <w:r w:rsidRPr="005E36EF">
        <w:t xml:space="preserve"> "Digital connectivity – A Transformative opportunity" (Connectivité numérique: un potentiel de transformation): rapport annuel phare de la Commission qui décrit les principaux éléments à prendre en considération pour faciliter le passage à la prochaine étape de la connectivité en vue de la transformation numérique.</w:t>
      </w:r>
    </w:p>
    <w:p w14:paraId="048F2A3E" w14:textId="77777777" w:rsidR="00416430" w:rsidRPr="005E36EF" w:rsidRDefault="00416430" w:rsidP="00416430">
      <w:pPr>
        <w:pStyle w:val="enumlev1"/>
      </w:pPr>
      <w:r w:rsidRPr="005E36EF">
        <w:t>–</w:t>
      </w:r>
      <w:r w:rsidRPr="005E36EF">
        <w:tab/>
        <w:t>Déclarations prononcées lors de manifestations de l'ONU (par exemple: le Pacte numérique mondial, le SMSI ou le Forum politique de haut niveau de 2023).</w:t>
      </w:r>
    </w:p>
    <w:p w14:paraId="035440AD" w14:textId="77777777" w:rsidR="00416430" w:rsidRPr="005E36EF" w:rsidRDefault="00416430" w:rsidP="00416430">
      <w:pPr>
        <w:pStyle w:val="enumlev1"/>
      </w:pPr>
      <w:r w:rsidRPr="005E36EF">
        <w:t>–</w:t>
      </w:r>
      <w:r w:rsidRPr="005E36EF">
        <w:tab/>
        <w:t>Deux rapports de groupes de travail: "Les données au service de l'apprentissage", sous la direction de l'UNESCO, et "La connectivité pour les micro, petites et moyennes entreprises", sous la direction de la GSMA et du Centre de commerce international.</w:t>
      </w:r>
    </w:p>
    <w:p w14:paraId="5241F082" w14:textId="77777777" w:rsidR="00416430" w:rsidRPr="005E36EF" w:rsidRDefault="00416430" w:rsidP="00416430">
      <w:pPr>
        <w:pStyle w:val="enumlev1"/>
      </w:pPr>
      <w:r w:rsidRPr="005E36EF">
        <w:t>–</w:t>
      </w:r>
      <w:r w:rsidRPr="005E36EF">
        <w:tab/>
        <w:t>Activités stratégiques de communication: la Commission a acquis plus de 700 abonnés au bulletin d'information et compte plus de 16 000 abonnés au total aux comptes X (Twitter), LinkedIn et Facebook. Les rapports de la Commission ont été téléchargés plus de 31 000 fois en 2023.</w:t>
      </w:r>
    </w:p>
    <w:p w14:paraId="46B485E4" w14:textId="77777777" w:rsidR="00416430" w:rsidRPr="005E36EF" w:rsidRDefault="00416430" w:rsidP="00416430">
      <w:pPr>
        <w:pStyle w:val="Headingb"/>
        <w:tabs>
          <w:tab w:val="clear" w:pos="567"/>
        </w:tabs>
        <w:ind w:left="0" w:firstLine="0"/>
      </w:pPr>
      <w:r w:rsidRPr="005E36EF">
        <w:t>Partenariat EQUALS – Promouvoir l'accès, les compétences et les responsabilités dans le secteur des TIC pour les femmes et les filles</w:t>
      </w:r>
    </w:p>
    <w:p w14:paraId="1681646E" w14:textId="77777777" w:rsidR="00416430" w:rsidRPr="005E36EF" w:rsidRDefault="00416430" w:rsidP="00416430">
      <w:pPr>
        <w:keepNext/>
        <w:keepLines/>
      </w:pPr>
      <w:r w:rsidRPr="005E36EF">
        <w:t>Le partenariat EQUALS a pour objectif d'inverser la fracture numérique croissante entre les hommes et les femmes, et ce par divers moyens: offrir des possibilités de collaboration, optimiser les effets et appuyer la mise en œuvre à plus grande échelle des projets efficaces, créer une plate-forme de mise en réseau permettant aux spécialistes de tirer parti des initiatives actuelles visant à réduire la fracture numérique entre les hommes et les femmes et de renforcer ces initiatives, et mesurer les progrès accomplis dans la réalisation des objectifs énoncés dans la vision du partenariat, afin d'accélérer la mise en œuvre de l'Objectif de développement durable 5, en particulier de la Cible 5B.</w:t>
      </w:r>
    </w:p>
    <w:p w14:paraId="7CF69950" w14:textId="77777777" w:rsidR="00416430" w:rsidRPr="005E36EF" w:rsidRDefault="00416430" w:rsidP="00416430">
      <w:r w:rsidRPr="005E36EF">
        <w:t xml:space="preserve">L'année 2023 marque le 10ème anniversaire des </w:t>
      </w:r>
      <w:hyperlink r:id="rId107" w:history="1">
        <w:r w:rsidRPr="005E36EF">
          <w:rPr>
            <w:rStyle w:val="Hyperlink"/>
          </w:rPr>
          <w:t>Prix "EQUALS in Tech"</w:t>
        </w:r>
      </w:hyperlink>
      <w:r w:rsidRPr="005E36EF">
        <w:t>: les 15 finalistes ont été sélectionnés parmi les 132 initiatives émanant de 54 pays.</w:t>
      </w:r>
    </w:p>
    <w:p w14:paraId="1B648B99" w14:textId="77777777" w:rsidR="00416430" w:rsidRPr="005E36EF" w:rsidRDefault="00416430" w:rsidP="00416430">
      <w:pPr>
        <w:pStyle w:val="Headingb"/>
      </w:pPr>
      <w:r w:rsidRPr="005E36EF">
        <w:t>L'initiative Giga – À l'œuvre depuis 2019 pour connecter toutes les écoles à l'Internet</w:t>
      </w:r>
    </w:p>
    <w:p w14:paraId="7B4C3808" w14:textId="77777777" w:rsidR="00416430" w:rsidRPr="005E36EF" w:rsidRDefault="00416430" w:rsidP="00416430">
      <w:r w:rsidRPr="005E36EF">
        <w:t xml:space="preserve">Depuis son lancement en 2019, </w:t>
      </w:r>
      <w:hyperlink r:id="rId108" w:history="1">
        <w:r w:rsidRPr="005E36EF">
          <w:rPr>
            <w:rStyle w:val="Hyperlink"/>
          </w:rPr>
          <w:t>Giga</w:t>
        </w:r>
      </w:hyperlink>
      <w:r w:rsidRPr="005E36EF">
        <w:t xml:space="preserve"> a cartographié plus de 2 millions d'écoles dans 140 pays, connecté plus de 5 561 écoles et fourni un accès Internet à plus de 2 millions d'élèves dans le monde.</w:t>
      </w:r>
    </w:p>
    <w:p w14:paraId="360E87BD" w14:textId="77777777" w:rsidR="00416430" w:rsidRPr="005E36EF" w:rsidRDefault="00416430" w:rsidP="00416430">
      <w:pPr>
        <w:pStyle w:val="Headingb"/>
      </w:pPr>
      <w:r w:rsidRPr="005E36EF">
        <w:t>L'intelligence artificielle au service du bien social</w:t>
      </w:r>
    </w:p>
    <w:p w14:paraId="667A28D0" w14:textId="77777777" w:rsidR="00416430" w:rsidRPr="005E36EF" w:rsidRDefault="00416430" w:rsidP="00416430">
      <w:r w:rsidRPr="005E36EF">
        <w:t>L'initiative "</w:t>
      </w:r>
      <w:hyperlink r:id="rId109" w:history="1">
        <w:r w:rsidRPr="005E36EF">
          <w:rPr>
            <w:rStyle w:val="Hyperlink"/>
          </w:rPr>
          <w:t>L'intelligence artificielle au service du bien social</w:t>
        </w:r>
      </w:hyperlink>
      <w:r w:rsidRPr="005E36EF">
        <w:t>" est la principale tribune du système des Nations Unies consacrée aux échanges et aux manifestations liées à l'intelligence artificielle (IA). Elle est dirigée par l'UIT et bénéficie de l'appui de 40 partenaires issus des Nations Unies ainsi que de divers représentants du secteur accordant leur parrainage, et est organisée conjointement avec le Gouvernement de la Suisse.</w:t>
      </w:r>
    </w:p>
    <w:p w14:paraId="777C9484" w14:textId="77777777" w:rsidR="00416430" w:rsidRPr="005E36EF" w:rsidRDefault="00416430" w:rsidP="00416430">
      <w:r w:rsidRPr="005E36EF">
        <w:t>Cette initiative vise à rechercher des applications pratiques de l'IA pour accélérer les progrès accomplis en vue d'atteindre les Objectifs de développement durable (ODD) et de faire le lien entre les innovateurs de l'IA et les décideurs des secteurs public et privé, dans le but de déployer des solutions fondées sur l'intelligence artificielle à l'échelle mondiale.</w:t>
      </w:r>
    </w:p>
    <w:p w14:paraId="015A8DCF" w14:textId="77777777" w:rsidR="00416430" w:rsidRPr="005E36EF" w:rsidRDefault="00416430" w:rsidP="00416430">
      <w:r w:rsidRPr="005E36EF">
        <w:lastRenderedPageBreak/>
        <w:t xml:space="preserve">Le </w:t>
      </w:r>
      <w:hyperlink r:id="rId110" w:history="1">
        <w:r w:rsidRPr="005E36EF">
          <w:rPr>
            <w:rStyle w:val="Hyperlink"/>
          </w:rPr>
          <w:t>Sommet mondial de 2023 sur l'Intelligence artificielle au service du bien social</w:t>
        </w:r>
      </w:hyperlink>
      <w:r w:rsidRPr="005E36EF">
        <w:t>, qui s'est tenu à Genève les 6 et 7 juillet 2023, a réuni des experts reconnus dans le domaine de l'intelligence artificielle et de l'action humanitaire, et donné lieu au plus grand rassemblement au monde de robots humanoïdes et de robots spécialisés. Il a été précédé, les 4 et 5 juillet, d'ateliers sur l'apprentissage automatique s'adressant aux experts, qui se sont appuyés sur les compétences spécialisées issues du programme de découverte relatif à l'Intelligence artificielle au service du bien social.</w:t>
      </w:r>
    </w:p>
    <w:p w14:paraId="09FEE970" w14:textId="77777777" w:rsidR="00416430" w:rsidRPr="005E36EF" w:rsidRDefault="00416430" w:rsidP="00416430">
      <w:r w:rsidRPr="005E36EF">
        <w:t xml:space="preserve">L'initiative "L'intelligence artificielle au service du bien social" se présente comme une plateforme numérique accessible tout au long de l'année, qui propose une </w:t>
      </w:r>
      <w:hyperlink r:id="rId111" w:history="1">
        <w:r w:rsidRPr="005E36EF">
          <w:rPr>
            <w:rStyle w:val="Hyperlink"/>
          </w:rPr>
          <w:t>programmation</w:t>
        </w:r>
      </w:hyperlink>
      <w:r w:rsidRPr="005E36EF">
        <w:t xml:space="preserve"> quasi-quotidienne. Le réseau neuronal de l'initiative "</w:t>
      </w:r>
      <w:hyperlink r:id="rId112" w:history="1">
        <w:r w:rsidRPr="005E36EF">
          <w:rPr>
            <w:rStyle w:val="Hyperlink"/>
          </w:rPr>
          <w:t>L'intelligence artificielle au service du bien social</w:t>
        </w:r>
      </w:hyperlink>
      <w:r w:rsidRPr="005E36EF">
        <w:t>" est désormais composé de plus de 25 000 professionnels.</w:t>
      </w:r>
    </w:p>
    <w:p w14:paraId="134E19C0" w14:textId="77777777" w:rsidR="00416430" w:rsidRPr="005E36EF" w:rsidRDefault="00416430" w:rsidP="00416430">
      <w:pPr>
        <w:pStyle w:val="Headingb"/>
      </w:pPr>
      <w:r w:rsidRPr="005E36EF">
        <w:t>L'IA au service de la santé</w:t>
      </w:r>
    </w:p>
    <w:p w14:paraId="363E923C" w14:textId="77777777" w:rsidR="00416430" w:rsidRPr="005E36EF" w:rsidRDefault="001A6AF2" w:rsidP="00416430">
      <w:hyperlink r:id="rId113" w:anchor="/fr" w:history="1">
        <w:r w:rsidR="00416430" w:rsidRPr="005E36EF">
          <w:t>L'</w:t>
        </w:r>
        <w:r w:rsidR="00416430" w:rsidRPr="005E36EF">
          <w:rPr>
            <w:rStyle w:val="Hyperlink"/>
          </w:rPr>
          <w:t>initiative mondiale sur l'intelligence artificielle au service de la santé</w:t>
        </w:r>
      </w:hyperlink>
      <w:r w:rsidR="00416430" w:rsidRPr="005E36EF">
        <w:t xml:space="preserve"> menée par l'UIT, l'OMS et l'OMPI vise à renforcer la contribution de l'intelligence artificielle à la santé et à faire en sorte que les avantages qui en découlent soient accessibles à tous.</w:t>
      </w:r>
    </w:p>
    <w:p w14:paraId="197CE1D3" w14:textId="77777777" w:rsidR="00416430" w:rsidRPr="005E36EF" w:rsidRDefault="00416430" w:rsidP="00416430">
      <w:r w:rsidRPr="005E36EF">
        <w:t>Elle consiste à élaborer des normes techniques et des orientations politiques, à faciliter le partage de connaissances et de données et à appuyer la prise de décisions éclairées sur l'adoption de solutions en matière d'intelligence artificielle au service de la santé.</w:t>
      </w:r>
    </w:p>
    <w:p w14:paraId="66F02B86" w14:textId="77777777" w:rsidR="00416430" w:rsidRPr="005E36EF" w:rsidRDefault="00416430" w:rsidP="00416430">
      <w:r w:rsidRPr="005E36EF">
        <w:t>Elle contribuera également à encourager la mise en place de mécanismes de collaboration pour que les communautés mal desservies aient accès aux solutions d'IA, et son programme de mise en œuvre à grande échelle aidera les pays à revenus faibles ou intermédiaires à adopter des solutions d'IA dans le domaine de la santé.</w:t>
      </w:r>
    </w:p>
    <w:p w14:paraId="26C2A5A6" w14:textId="77777777" w:rsidR="00416430" w:rsidRPr="005E36EF" w:rsidRDefault="00416430" w:rsidP="00416430">
      <w:r w:rsidRPr="005E36EF">
        <w:t xml:space="preserve">Annoncée lors du </w:t>
      </w:r>
      <w:hyperlink r:id="rId114" w:history="1">
        <w:r w:rsidRPr="005E36EF">
          <w:rPr>
            <w:rStyle w:val="Hyperlink"/>
          </w:rPr>
          <w:t>Sommet mondial de 2023 sur l'Intelligence artificielle au service du bien social</w:t>
        </w:r>
      </w:hyperlink>
      <w:r w:rsidRPr="005E36EF">
        <w:t xml:space="preserve">, cette initiative s'inscrit dans le prolongement des travaux du </w:t>
      </w:r>
      <w:hyperlink r:id="rId115" w:history="1">
        <w:r w:rsidRPr="005E36EF">
          <w:rPr>
            <w:rStyle w:val="Hyperlink"/>
          </w:rPr>
          <w:t>Groupe spécialisé UIT</w:t>
        </w:r>
        <w:r w:rsidRPr="005E36EF">
          <w:rPr>
            <w:rStyle w:val="Hyperlink"/>
          </w:rPr>
          <w:noBreakHyphen/>
          <w:t>OMS sur l'Intelligence artificielle au service de la santé</w:t>
        </w:r>
      </w:hyperlink>
      <w:r w:rsidRPr="005E36EF">
        <w:t>.</w:t>
      </w:r>
    </w:p>
    <w:p w14:paraId="14598F59" w14:textId="77777777" w:rsidR="00416430" w:rsidRPr="005E36EF" w:rsidRDefault="00416430" w:rsidP="00416430">
      <w:pPr>
        <w:pStyle w:val="Headingb"/>
      </w:pPr>
      <w:r w:rsidRPr="005E36EF">
        <w:t>Services financiers numériques sécurisés</w:t>
      </w:r>
    </w:p>
    <w:p w14:paraId="4ADD0C18" w14:textId="77777777" w:rsidR="00416430" w:rsidRPr="005E36EF" w:rsidRDefault="00416430" w:rsidP="00416430">
      <w:r w:rsidRPr="005E36EF">
        <w:t xml:space="preserve">Le nouveau </w:t>
      </w:r>
      <w:hyperlink r:id="rId116" w:history="1">
        <w:r w:rsidRPr="005E36EF">
          <w:rPr>
            <w:rStyle w:val="Hyperlink"/>
          </w:rPr>
          <w:t>kit pratique d'évaluation de la résilience en matière de cybersécurité</w:t>
        </w:r>
      </w:hyperlink>
      <w:r w:rsidRPr="005E36EF">
        <w:t xml:space="preserve"> élaboré par l'UIT fournit des avis spécialisés sur l'évaluation de solutions et la protection contre les risques liés à la cybersécurité des infrastructures essentielles pour les services financiers numériques. Il s'agit d'un produit du </w:t>
      </w:r>
      <w:hyperlink r:id="rId117" w:history="1">
        <w:r w:rsidRPr="005E36EF">
          <w:rPr>
            <w:rStyle w:val="Hyperlink"/>
          </w:rPr>
          <w:t>Laboratoire de sécurité des services financiers numériques de l'UIT</w:t>
        </w:r>
      </w:hyperlink>
      <w:r w:rsidRPr="005E36EF">
        <w:t>, élaboré en collaboration avec Deloitte Consulting.</w:t>
      </w:r>
    </w:p>
    <w:p w14:paraId="1D25C87E" w14:textId="77777777" w:rsidR="00416430" w:rsidRPr="005E36EF" w:rsidRDefault="00416430" w:rsidP="00416430">
      <w:r w:rsidRPr="005E36EF">
        <w:t xml:space="preserve">Le Laboratoire de sécurité des services financiers numériques de l'UIT organise des </w:t>
      </w:r>
      <w:hyperlink r:id="rId118" w:history="1">
        <w:r w:rsidRPr="005E36EF">
          <w:rPr>
            <w:rStyle w:val="Hyperlink"/>
          </w:rPr>
          <w:t>stages pratiques sur la sécurité</w:t>
        </w:r>
      </w:hyperlink>
      <w:r w:rsidRPr="005E36EF">
        <w:t xml:space="preserve"> qui proposent un accompagnement en vue de l'adoption de </w:t>
      </w:r>
      <w:hyperlink r:id="rId119" w:history="1">
        <w:r w:rsidRPr="005E36EF">
          <w:rPr>
            <w:rStyle w:val="Hyperlink"/>
          </w:rPr>
          <w:t>Recommandations sur la sécurité des services financiers numériques</w:t>
        </w:r>
      </w:hyperlink>
      <w:r w:rsidRPr="005E36EF">
        <w:t>, élaborées dans le cadre de l'</w:t>
      </w:r>
      <w:hyperlink r:id="rId120" w:history="1">
        <w:r w:rsidRPr="005E36EF">
          <w:rPr>
            <w:rStyle w:val="Hyperlink"/>
          </w:rPr>
          <w:t>Initiative mondiale en faveur de l'inclusion financière</w:t>
        </w:r>
      </w:hyperlink>
      <w:r w:rsidRPr="005E36EF">
        <w:t>.</w:t>
      </w:r>
    </w:p>
    <w:p w14:paraId="4D894019" w14:textId="77777777" w:rsidR="00416430" w:rsidRPr="005E36EF" w:rsidRDefault="00416430" w:rsidP="00416430">
      <w:r w:rsidRPr="005E36EF">
        <w:t>L'assistance technique fournie par le laboratoire permet aux régulateurs de mener des audits de sécurité sur les applications de paiement mobile afin de déterminer si elles sont conformes aux recommandations de sécurité.</w:t>
      </w:r>
    </w:p>
    <w:p w14:paraId="256CCD02" w14:textId="77777777" w:rsidR="00416430" w:rsidRPr="005E36EF" w:rsidRDefault="00416430" w:rsidP="00416430">
      <w:r w:rsidRPr="005E36EF">
        <w:t>Le programme de transfert de connaissances du laboratoire aide les régulateurs des économies émergentes à mettre en place leurs propres laboratoires de sécurité dans le but de tester la sécurité des applications de paiement mobile de leur pays.</w:t>
      </w:r>
    </w:p>
    <w:p w14:paraId="5A019BF8" w14:textId="77777777" w:rsidR="00416430" w:rsidRPr="005E36EF" w:rsidRDefault="00416430" w:rsidP="00416430">
      <w:r w:rsidRPr="005E36EF">
        <w:lastRenderedPageBreak/>
        <w:t>Étendu en 2023 pour inclure l'évaluation de la cyberrésilience, ce programme concerne actuellement les régulateurs de l'Ouganda, de la Tanzanie et du Pérou, et couvrira aussi bientôt la Gambie, le Zimbabwe et le Rwanda.</w:t>
      </w:r>
    </w:p>
    <w:p w14:paraId="0AC9558F" w14:textId="77777777" w:rsidR="00416430" w:rsidRPr="005E36EF" w:rsidRDefault="00416430" w:rsidP="00416430">
      <w:r w:rsidRPr="005E36EF">
        <w:t>Le programme aide également les pays à coordonner les mesures réglementaires qu'ils adoptent pour sécuriser les services financiers numériques, dans le cadre d'un mémorandum d'accord recommandé par l'UIT liant l'autorité de régulation des TIC et la banque centrale d'un pays.</w:t>
      </w:r>
    </w:p>
    <w:p w14:paraId="68E407F8" w14:textId="77777777" w:rsidR="00416430" w:rsidRPr="005E36EF" w:rsidRDefault="00416430" w:rsidP="00416430">
      <w:r w:rsidRPr="005E36EF">
        <w:t>À ce jour, les pays d'Afrique qui ont mis en œuvre le mémorandum d'accord recommandé entre l'autorité de régulation des télécommunications et la banque centrale pour la sécurité des services financiers numériques sont le Nigéria, le Lesotho, la Sierra Leone, la Tanzanie, le Kenya et le Zimbabwe.</w:t>
      </w:r>
    </w:p>
    <w:p w14:paraId="0F1297B4" w14:textId="77777777" w:rsidR="00416430" w:rsidRPr="005E36EF" w:rsidRDefault="00416430" w:rsidP="00416430">
      <w:pPr>
        <w:pStyle w:val="Headingb"/>
      </w:pPr>
      <w:r w:rsidRPr="005E36EF">
        <w:t>Transformation numérique des villes et des communautés intelligentes</w:t>
      </w:r>
    </w:p>
    <w:p w14:paraId="5752895D" w14:textId="77777777" w:rsidR="00416430" w:rsidRPr="005E36EF" w:rsidRDefault="00416430" w:rsidP="00416430">
      <w:r w:rsidRPr="005E36EF">
        <w:t xml:space="preserve">L'initiative </w:t>
      </w:r>
      <w:hyperlink r:id="rId121" w:anchor="/fr" w:history="1">
        <w:r w:rsidRPr="005E36EF">
          <w:rPr>
            <w:rStyle w:val="Hyperlink"/>
          </w:rPr>
          <w:t>Tous unis pour des villes intelligentes et durables (U4SSC)</w:t>
        </w:r>
      </w:hyperlink>
      <w:r w:rsidRPr="005E36EF">
        <w:t xml:space="preserve"> bénéficie du soutien de 19 institutions des Nations Unies dans le but de réaliser l'ODD 11 ("Faire en sorte que les villes et les établissements humains soient ouverts à tous, sûrs, résilients et durables").</w:t>
      </w:r>
    </w:p>
    <w:p w14:paraId="146C9EBD" w14:textId="77777777" w:rsidR="00416430" w:rsidRPr="005E36EF" w:rsidRDefault="00416430" w:rsidP="00416430">
      <w:r w:rsidRPr="005E36EF">
        <w:t xml:space="preserve">Plus de 150 villes du monde entier évaluent les progrès qu'elles ont accomplis au regard des objectifs pour les villes intelligentes et des ODD au moyen des </w:t>
      </w:r>
      <w:hyperlink r:id="rId122" w:anchor="/fr" w:history="1">
        <w:r w:rsidRPr="005E36EF">
          <w:rPr>
            <w:rStyle w:val="Hyperlink"/>
          </w:rPr>
          <w:t>indicateurs fondamentaux de performance pour les villes intelligentes et durables dans le cadre de l'initiative U4SSC</w:t>
        </w:r>
      </w:hyperlink>
      <w:r w:rsidRPr="005E36EF">
        <w:t xml:space="preserve">, indicateurs fondés sur les normes de l'UIT. Les résultats des évaluations des indicateurs IFP sont présentés dans </w:t>
      </w:r>
      <w:hyperlink r:id="rId123" w:anchor="/fr" w:history="1">
        <w:r w:rsidRPr="005E36EF">
          <w:rPr>
            <w:rStyle w:val="Hyperlink"/>
          </w:rPr>
          <w:t>des "instantanés", des fiches d'information, des rapports de vérification et des études de cas sur les villes</w:t>
        </w:r>
      </w:hyperlink>
      <w:r w:rsidRPr="005E36EF">
        <w:t>.</w:t>
      </w:r>
    </w:p>
    <w:p w14:paraId="261265FE" w14:textId="77777777" w:rsidR="00416430" w:rsidRPr="005E36EF" w:rsidRDefault="00416430" w:rsidP="00416430">
      <w:r w:rsidRPr="005E36EF">
        <w:t xml:space="preserve">L'initiative U4SSC fournit des avis spécialisés (voir les </w:t>
      </w:r>
      <w:hyperlink r:id="rId124" w:anchor="/fr" w:history="1">
        <w:r w:rsidRPr="005E36EF">
          <w:rPr>
            <w:rStyle w:val="Hyperlink"/>
          </w:rPr>
          <w:t>rapports de l'Initiative U4SSC</w:t>
        </w:r>
      </w:hyperlink>
      <w:r w:rsidRPr="005E36EF">
        <w:t>) dans six domaines thématiques:</w:t>
      </w:r>
    </w:p>
    <w:p w14:paraId="2ADF96FE" w14:textId="77777777" w:rsidR="00416430" w:rsidRPr="005E36EF" w:rsidRDefault="00416430" w:rsidP="00416430">
      <w:pPr>
        <w:pStyle w:val="enumlev1"/>
      </w:pPr>
      <w:r w:rsidRPr="005E36EF">
        <w:t>•</w:t>
      </w:r>
      <w:r w:rsidRPr="005E36EF">
        <w:tab/>
        <w:t>Plates-formes de ville.</w:t>
      </w:r>
    </w:p>
    <w:p w14:paraId="5EB06052" w14:textId="77777777" w:rsidR="00416430" w:rsidRPr="005E36EF" w:rsidRDefault="00416430" w:rsidP="00416430">
      <w:pPr>
        <w:pStyle w:val="enumlev1"/>
      </w:pPr>
      <w:r w:rsidRPr="005E36EF">
        <w:t>•</w:t>
      </w:r>
      <w:r w:rsidRPr="005E36EF">
        <w:tab/>
        <w:t>Renforcer la résilience économique urbaine au niveau des villes.</w:t>
      </w:r>
    </w:p>
    <w:p w14:paraId="2F6BFFA9" w14:textId="77777777" w:rsidR="00416430" w:rsidRPr="005E36EF" w:rsidRDefault="00416430" w:rsidP="00416430">
      <w:pPr>
        <w:pStyle w:val="enumlev1"/>
      </w:pPr>
      <w:r w:rsidRPr="005E36EF">
        <w:t>•</w:t>
      </w:r>
      <w:r w:rsidRPr="005E36EF">
        <w:tab/>
        <w:t>L'intelligence artificielle dans les villes.</w:t>
      </w:r>
    </w:p>
    <w:p w14:paraId="5D3BB003" w14:textId="77777777" w:rsidR="00416430" w:rsidRPr="005E36EF" w:rsidRDefault="00416430" w:rsidP="00416430">
      <w:pPr>
        <w:pStyle w:val="enumlev1"/>
      </w:pPr>
      <w:r w:rsidRPr="005E36EF">
        <w:t>•</w:t>
      </w:r>
      <w:r w:rsidRPr="005E36EF">
        <w:tab/>
        <w:t>Construire des villes axées sur l'humain avec la transformation numérique.</w:t>
      </w:r>
    </w:p>
    <w:p w14:paraId="55DC5714" w14:textId="77777777" w:rsidR="00416430" w:rsidRPr="005E36EF" w:rsidRDefault="00416430" w:rsidP="00416430">
      <w:pPr>
        <w:pStyle w:val="enumlev1"/>
      </w:pPr>
      <w:r w:rsidRPr="005E36EF">
        <w:t>•</w:t>
      </w:r>
      <w:r w:rsidRPr="005E36EF">
        <w:tab/>
        <w:t>Passation des marchés pour les villes intelligentes et durables.</w:t>
      </w:r>
    </w:p>
    <w:p w14:paraId="01057B01" w14:textId="77777777" w:rsidR="00416430" w:rsidRPr="005E36EF" w:rsidRDefault="00416430" w:rsidP="00416430">
      <w:pPr>
        <w:pStyle w:val="enumlev1"/>
      </w:pPr>
      <w:r w:rsidRPr="005E36EF">
        <w:t>•</w:t>
      </w:r>
      <w:r w:rsidRPr="005E36EF">
        <w:tab/>
        <w:t>Le bien-être dans l'environnement numérique.</w:t>
      </w:r>
    </w:p>
    <w:p w14:paraId="4A4C7595" w14:textId="77777777" w:rsidR="00416430" w:rsidRPr="005E36EF" w:rsidRDefault="00416430" w:rsidP="00416430">
      <w:r w:rsidRPr="005E36EF">
        <w:t xml:space="preserve">La </w:t>
      </w:r>
      <w:hyperlink r:id="rId125" w:anchor="/fr" w:history="1">
        <w:r w:rsidRPr="005E36EF">
          <w:rPr>
            <w:rStyle w:val="Hyperlink"/>
          </w:rPr>
          <w:t>septième réunion de l'initiative U4SSC</w:t>
        </w:r>
      </w:hyperlink>
      <w:r w:rsidRPr="005E36EF">
        <w:t xml:space="preserve"> s'est tenue en ligne le 20 juin 2023. Elle a été marquée notamment par la désignation de la </w:t>
      </w:r>
      <w:hyperlink r:id="rId126" w:anchor="/fr" w:history="1">
        <w:r w:rsidRPr="005E36EF">
          <w:rPr>
            <w:rStyle w:val="Hyperlink"/>
          </w:rPr>
          <w:t>nouvelle équipe de direction de l'Initiative U4SSC</w:t>
        </w:r>
      </w:hyperlink>
      <w:r w:rsidRPr="005E36EF">
        <w:t xml:space="preserve"> et l'annonce d'un nouveau pôle national pour l'Initiative U4SSC à Kyebi (Ghana).</w:t>
      </w:r>
    </w:p>
    <w:p w14:paraId="7247B303" w14:textId="77777777" w:rsidR="00416430" w:rsidRPr="005E36EF" w:rsidRDefault="001A6AF2" w:rsidP="00416430">
      <w:hyperlink r:id="rId127" w:anchor="/fr" w:history="1">
        <w:r w:rsidR="00416430" w:rsidRPr="005E36EF">
          <w:t xml:space="preserve">Voir les </w:t>
        </w:r>
        <w:r w:rsidR="00416430" w:rsidRPr="005E36EF">
          <w:rPr>
            <w:rStyle w:val="Hyperlink"/>
          </w:rPr>
          <w:t>rapports de l'initiative U4SSC</w:t>
        </w:r>
      </w:hyperlink>
      <w:r w:rsidR="00416430" w:rsidRPr="005E36EF">
        <w:t>.</w:t>
      </w:r>
    </w:p>
    <w:p w14:paraId="43AB763F" w14:textId="77777777" w:rsidR="00416430" w:rsidRPr="005E36EF" w:rsidRDefault="00416430" w:rsidP="00416430">
      <w:pPr>
        <w:pStyle w:val="Headingb"/>
      </w:pPr>
      <w:r w:rsidRPr="005E36EF">
        <w:t>Systèmes de transport intelligents (ITS)</w:t>
      </w:r>
    </w:p>
    <w:p w14:paraId="23E427FA" w14:textId="77777777" w:rsidR="00416430" w:rsidRPr="005E36EF" w:rsidRDefault="00416430" w:rsidP="00416430">
      <w:r w:rsidRPr="005E36EF">
        <w:t xml:space="preserve">Le </w:t>
      </w:r>
      <w:hyperlink r:id="rId128" w:history="1">
        <w:r w:rsidRPr="005E36EF">
          <w:rPr>
            <w:rStyle w:val="Hyperlink"/>
          </w:rPr>
          <w:t>Colloque UIT-CEE-ONU sur la voiture branchée de demain</w:t>
        </w:r>
      </w:hyperlink>
      <w:r w:rsidRPr="005E36EF">
        <w:t xml:space="preserve"> rassemble des experts du secteur privé et d'organismes publics pour examiner les dernières avancées en matière d'automatisation et de connectivité des véhicules.</w:t>
      </w:r>
    </w:p>
    <w:p w14:paraId="02DE7A8A" w14:textId="77777777" w:rsidR="00416430" w:rsidRPr="005E36EF" w:rsidRDefault="00416430" w:rsidP="00416430">
      <w:r w:rsidRPr="005E36EF">
        <w:t xml:space="preserve">La </w:t>
      </w:r>
      <w:hyperlink r:id="rId129" w:history="1">
        <w:r w:rsidRPr="005E36EF">
          <w:rPr>
            <w:rStyle w:val="Hyperlink"/>
          </w:rPr>
          <w:t>Collaboration sur les normes de communication pour les systèmes ITS (CITS)</w:t>
        </w:r>
      </w:hyperlink>
      <w:r w:rsidRPr="005E36EF">
        <w:t xml:space="preserve">, dirigée par l'UIT, regroupe tous les organismes de normalisation travaillant sur les transports intelligents. </w:t>
      </w:r>
      <w:hyperlink r:id="rId130" w:history="1">
        <w:r w:rsidRPr="005E36EF">
          <w:rPr>
            <w:rStyle w:val="Hyperlink"/>
          </w:rPr>
          <w:t>Base de données de la CITS sur les normes fondamentales</w:t>
        </w:r>
      </w:hyperlink>
      <w:r w:rsidRPr="005E36EF">
        <w:t>.</w:t>
      </w:r>
    </w:p>
    <w:p w14:paraId="2C0FB602" w14:textId="77777777" w:rsidR="00416430" w:rsidRPr="005E36EF" w:rsidRDefault="00416430" w:rsidP="00416430">
      <w:r w:rsidRPr="005E36EF">
        <w:lastRenderedPageBreak/>
        <w:t xml:space="preserve">La CITS a créé un nouveau </w:t>
      </w:r>
      <w:hyperlink r:id="rId131" w:history="1">
        <w:r w:rsidRPr="005E36EF">
          <w:rPr>
            <w:rStyle w:val="Hyperlink"/>
          </w:rPr>
          <w:t>Groupe d'experts sur les technologies de la communication pour la conduite automatisée</w:t>
        </w:r>
      </w:hyperlink>
      <w:r w:rsidRPr="005E36EF">
        <w:t>.</w:t>
      </w:r>
    </w:p>
    <w:p w14:paraId="71C63534" w14:textId="77777777" w:rsidR="00416430" w:rsidRPr="005E36EF" w:rsidRDefault="00416430" w:rsidP="00416430">
      <w:r w:rsidRPr="005E36EF">
        <w:t xml:space="preserve">Nouveau </w:t>
      </w:r>
      <w:hyperlink r:id="rId132" w:history="1">
        <w:r w:rsidRPr="005E36EF">
          <w:rPr>
            <w:rStyle w:val="Hyperlink"/>
          </w:rPr>
          <w:t>portail web</w:t>
        </w:r>
      </w:hyperlink>
      <w:r w:rsidRPr="005E36EF">
        <w:t xml:space="preserve"> de l'UIT sur les transports intelligents.</w:t>
      </w:r>
    </w:p>
    <w:p w14:paraId="5BF411DC" w14:textId="77777777" w:rsidR="00416430" w:rsidRPr="005E36EF" w:rsidRDefault="00416430" w:rsidP="00416430">
      <w:pPr>
        <w:pStyle w:val="Headingb"/>
      </w:pPr>
      <w:r w:rsidRPr="005E36EF">
        <w:t>Réunions des directeurs techniques et des hauts dirigeants</w:t>
      </w:r>
    </w:p>
    <w:p w14:paraId="3D5E1C6F" w14:textId="77777777" w:rsidR="00416430" w:rsidRPr="005E36EF" w:rsidRDefault="00416430" w:rsidP="00416430">
      <w:r w:rsidRPr="005E36EF">
        <w:t xml:space="preserve">Les </w:t>
      </w:r>
      <w:hyperlink r:id="rId133" w:history="1">
        <w:r w:rsidRPr="005E36EF">
          <w:rPr>
            <w:rStyle w:val="Hyperlink"/>
          </w:rPr>
          <w:t>réunions des directeurs techniques et des hauts dirigeants</w:t>
        </w:r>
      </w:hyperlink>
      <w:r w:rsidRPr="005E36EF">
        <w:t xml:space="preserve"> permettent aux cadres du secteur de se rassembler pour débattre des priorités du secteur et des activités de normalisation connexes avec l'équipe de direction du TSB. Les communiqués de ces réunions mettent en évidence les domaines d'innovation qui profitent des nouvelles normes de l'UIT.</w:t>
      </w:r>
    </w:p>
    <w:p w14:paraId="5E759D4C" w14:textId="77777777" w:rsidR="00416430" w:rsidRPr="005E36EF" w:rsidRDefault="00416430" w:rsidP="00416430">
      <w:r w:rsidRPr="005E36EF">
        <w:t xml:space="preserve">La </w:t>
      </w:r>
      <w:hyperlink r:id="rId134" w:history="1">
        <w:r w:rsidRPr="005E36EF">
          <w:rPr>
            <w:rStyle w:val="Hyperlink"/>
          </w:rPr>
          <w:t>table ronde des hauts dirigeants</w:t>
        </w:r>
      </w:hyperlink>
      <w:r w:rsidRPr="005E36EF">
        <w:t xml:space="preserve"> la plus récente, à laquelle il était également possible de participer en ligne, s'est tenue le 5 décembre 2023 lors du Sommet des dirigeants Telecom Review à Dubaï (Émirats arabes unis).</w:t>
      </w:r>
    </w:p>
    <w:p w14:paraId="612057AE" w14:textId="77777777" w:rsidR="00416430" w:rsidRPr="005E36EF" w:rsidRDefault="00416430" w:rsidP="00416430">
      <w:pPr>
        <w:keepNext/>
        <w:keepLines/>
      </w:pPr>
      <w:r w:rsidRPr="005E36EF">
        <w:t xml:space="preserve">Les hauts dirigeants ont débattu de la prise en charge des IMT-2030 (6G) par les réseaux optiques, l'intelligence artificielle et les communications sémantiques. Ils ont également examiné la fracture numérique, les réseaux autres que de Terre, la mobilité intelligente, les communications par courants porteurs en ligne, les interventions en cas de catastrophe, la technologie de vision artificielle, la chaîne de blocs, la réduction de la fraude et les technologies d'informatique quantique. </w:t>
      </w:r>
      <w:hyperlink r:id="rId135" w:history="1">
        <w:r w:rsidRPr="005E36EF">
          <w:rPr>
            <w:rStyle w:val="Hyperlink"/>
          </w:rPr>
          <w:t>Communiqué</w:t>
        </w:r>
      </w:hyperlink>
      <w:r w:rsidRPr="005E36EF">
        <w:t xml:space="preserve"> de la réunion.</w:t>
      </w:r>
    </w:p>
    <w:p w14:paraId="30D09DB5" w14:textId="77777777" w:rsidR="00416430" w:rsidRPr="005E36EF" w:rsidRDefault="00416430" w:rsidP="00416430">
      <w:pPr>
        <w:pStyle w:val="Headingb"/>
      </w:pPr>
      <w:r w:rsidRPr="005E36EF">
        <w:t>Action du secteur du numérique pour l'environnement à la COP28</w:t>
      </w:r>
    </w:p>
    <w:p w14:paraId="4E3EE705" w14:textId="77777777" w:rsidR="00416430" w:rsidRPr="005E36EF" w:rsidRDefault="00416430" w:rsidP="00416430">
      <w:r w:rsidRPr="005E36EF">
        <w:t>L'UIT a été le maître d'œuvre du volet "</w:t>
      </w:r>
      <w:hyperlink r:id="rId136" w:history="1">
        <w:r w:rsidRPr="005E36EF">
          <w:rPr>
            <w:rStyle w:val="Hyperlink"/>
          </w:rPr>
          <w:t>Action du secteur du numérique pour l'environnement" lors de la COP28</w:t>
        </w:r>
      </w:hyperlink>
      <w:r w:rsidRPr="005E36EF">
        <w:t>, qui s'est tenue à Dubaï (Émirats arabes unis) du 30 novembre au 13 décembre 2023. Dans le cadre de ce volet revêtant une importance cruciale, l'UIT a organisé des réunions et des discussions en collaboration avec des partenaires comprenant des gouvernements, des entreprises, des associations sectorielles, des membres de la société civile, d'autres institutions des Nations Unies et des banques multilatérales.</w:t>
      </w:r>
    </w:p>
    <w:p w14:paraId="5E31827B" w14:textId="77777777" w:rsidR="00416430" w:rsidRPr="005E36EF" w:rsidRDefault="00416430" w:rsidP="00416430">
      <w:r w:rsidRPr="005E36EF">
        <w:t xml:space="preserve">Les travaux du volet "Action du secteur du numérique pour l'environnement" à la COP28 ont abouti aux </w:t>
      </w:r>
      <w:hyperlink r:id="rId137" w:history="1">
        <w:r w:rsidRPr="005E36EF">
          <w:rPr>
            <w:rStyle w:val="Hyperlink"/>
          </w:rPr>
          <w:t>résultats</w:t>
        </w:r>
      </w:hyperlink>
      <w:r w:rsidRPr="005E36EF">
        <w:t xml:space="preserve"> suivants:</w:t>
      </w:r>
    </w:p>
    <w:p w14:paraId="2C679674" w14:textId="77777777" w:rsidR="00416430" w:rsidRPr="005E36EF" w:rsidRDefault="00416430" w:rsidP="00416430">
      <w:pPr>
        <w:pStyle w:val="enumlev1"/>
      </w:pPr>
      <w:r w:rsidRPr="005E36EF">
        <w:t>–</w:t>
      </w:r>
      <w:r w:rsidRPr="005E36EF">
        <w:tab/>
        <w:t>Des accords d'entreprise sur la réduction des émissions de gaz à effet de serre selon des objectifs fondés sur des données scientifiques et alignés sur la nécessité de limiter le réchauffement climatique à 1,5° C, sur l'élaboration de plans de transition ainsi que sur l'amélioration de la transparence des données relatives aux émissions dans l'ensemble du secteur des technologies.</w:t>
      </w:r>
    </w:p>
    <w:p w14:paraId="1D03BDF4" w14:textId="77777777" w:rsidR="00416430" w:rsidRPr="005E36EF" w:rsidRDefault="00416430" w:rsidP="00416430">
      <w:pPr>
        <w:pStyle w:val="enumlev1"/>
      </w:pPr>
      <w:r w:rsidRPr="005E36EF">
        <w:t>–</w:t>
      </w:r>
      <w:r w:rsidRPr="005E36EF">
        <w:tab/>
        <w:t>Une collaboration entre les pays pour élaborer une réglementation relative aux déchets d'équipements électriques et électroniques qui sera essentielle pour favoriser la mise en place d'un secteur des technologies circulaire.</w:t>
      </w:r>
    </w:p>
    <w:p w14:paraId="339AFD01" w14:textId="4080B8C8" w:rsidR="00416430" w:rsidRPr="005E36EF" w:rsidRDefault="00416430" w:rsidP="00416430">
      <w:pPr>
        <w:pStyle w:val="enumlev1"/>
      </w:pPr>
      <w:r w:rsidRPr="005E36EF">
        <w:t>–</w:t>
      </w:r>
      <w:r w:rsidRPr="005E36EF">
        <w:tab/>
        <w:t xml:space="preserve">Une </w:t>
      </w:r>
      <w:hyperlink r:id="rId138" w:history="1">
        <w:r w:rsidRPr="005E36EF">
          <w:rPr>
            <w:rStyle w:val="Hyperlink"/>
          </w:rPr>
          <w:t>déclaration conjointe</w:t>
        </w:r>
      </w:hyperlink>
      <w:r w:rsidRPr="005E36EF">
        <w:t xml:space="preserve"> de l'UIT, </w:t>
      </w:r>
      <w:r w:rsidR="00BD7935" w:rsidRPr="005E36EF">
        <w:t>l'ISO et la CEI</w:t>
      </w:r>
      <w:r w:rsidRPr="005E36EF">
        <w:t>, sur l'importance de l'intégration de la durabilité dans l'élaboration de normes techniques dès la conception, et de normes visant à aider le monde à atteindre la neutralité carbone et à parvenir à une économie circulaire caractérisée par sa faible empreinte carbone et sa gestion efficace des ressources.</w:t>
      </w:r>
    </w:p>
    <w:p w14:paraId="5BE8CE27" w14:textId="77777777" w:rsidR="00416430" w:rsidRPr="005E36EF" w:rsidRDefault="00416430" w:rsidP="00416430">
      <w:pPr>
        <w:pStyle w:val="enumlev1"/>
      </w:pPr>
      <w:r w:rsidRPr="005E36EF">
        <w:t>–</w:t>
      </w:r>
      <w:r w:rsidRPr="005E36EF">
        <w:tab/>
        <w:t xml:space="preserve">Le renforcement de la collaboration entre le secteur et les pays concernant la mise en œuvre de normes de durabilité environnementale dans le cadre d'un </w:t>
      </w:r>
      <w:hyperlink r:id="rId139" w:history="1">
        <w:r w:rsidRPr="005E36EF">
          <w:rPr>
            <w:rStyle w:val="Hyperlink"/>
          </w:rPr>
          <w:t>plan d'action</w:t>
        </w:r>
      </w:hyperlink>
      <w:r w:rsidRPr="005E36EF">
        <w:t>.</w:t>
      </w:r>
    </w:p>
    <w:p w14:paraId="0D399041" w14:textId="77777777" w:rsidR="00416430" w:rsidRPr="005E36EF" w:rsidRDefault="00416430" w:rsidP="00416430">
      <w:pPr>
        <w:pStyle w:val="enumlev1"/>
      </w:pPr>
      <w:r w:rsidRPr="005E36EF">
        <w:lastRenderedPageBreak/>
        <w:t>–</w:t>
      </w:r>
      <w:r w:rsidRPr="005E36EF">
        <w:tab/>
        <w:t>Un engagement du secteur des télécommunications mobiles et des satellites à appuyer l'initiative "Alertes précoces pour tous" par le biais de services de diffusion cellulaire et de connexion directe au dispositif, dans le but de protéger tous les habitants de la planète grâce à des alertes vitales en cas de catastrophe d'ici à 2027. Le secteur public s'est également engagé à mettre en œuvre la diffusion cellulaire selon une approche réglementaire.</w:t>
      </w:r>
    </w:p>
    <w:p w14:paraId="745FB82B" w14:textId="77777777" w:rsidR="00416430" w:rsidRPr="005E36EF" w:rsidRDefault="00416430" w:rsidP="00416430">
      <w:r w:rsidRPr="005E36EF">
        <w:t xml:space="preserve">Le </w:t>
      </w:r>
      <w:hyperlink r:id="rId140" w:history="1">
        <w:r w:rsidRPr="005E36EF">
          <w:rPr>
            <w:rStyle w:val="Hyperlink"/>
          </w:rPr>
          <w:t>Concours sur les solutions d'IA ou d'apprentissage automatique pour lutter contre les changements climatiques</w:t>
        </w:r>
      </w:hyperlink>
      <w:r w:rsidRPr="005E36EF">
        <w:t xml:space="preserve"> a également atteint son point d'orgue à la COP28, avec l'appui de l'UIT, de l'Agence internationale de l'énergie atomique (AIEA), de l'Organisation des Nations Unies pour l'alimentation et l'agriculture (FAO), de l'Organisation des Nations Unies pour l'éducation, la science et la culture (UNESCO) et de la Banque mondiale. Les épreuves ont été animées par des acteurs de l'</w:t>
      </w:r>
      <w:hyperlink r:id="rId141" w:history="1">
        <w:r w:rsidRPr="005E36EF">
          <w:rPr>
            <w:rStyle w:val="Hyperlink"/>
          </w:rPr>
          <w:t>Usine de l'innovation portée par l'IA au service du bien social</w:t>
        </w:r>
      </w:hyperlink>
      <w:r w:rsidRPr="005E36EF">
        <w:t>, dirigée par l'UIT et l'AIEA.</w:t>
      </w:r>
    </w:p>
    <w:p w14:paraId="1729506B" w14:textId="77777777" w:rsidR="00416430" w:rsidRPr="005E36EF" w:rsidRDefault="00416430" w:rsidP="00416430">
      <w:pPr>
        <w:pStyle w:val="Headingb"/>
      </w:pPr>
      <w:r w:rsidRPr="005E36EF">
        <w:t>Coopération en matière de normalisation mondiale</w:t>
      </w:r>
    </w:p>
    <w:p w14:paraId="26FEEA05" w14:textId="77777777" w:rsidR="00416430" w:rsidRPr="005E36EF" w:rsidRDefault="00416430" w:rsidP="00416430">
      <w:r w:rsidRPr="005E36EF">
        <w:t xml:space="preserve">Le groupe </w:t>
      </w:r>
      <w:hyperlink r:id="rId142" w:history="1">
        <w:r w:rsidRPr="005E36EF">
          <w:rPr>
            <w:rStyle w:val="Hyperlink"/>
          </w:rPr>
          <w:t>Coopération en matière de normalisation mondiale</w:t>
        </w:r>
      </w:hyperlink>
      <w:r w:rsidRPr="005E36EF">
        <w:rPr>
          <w:rStyle w:val="Hyperlink"/>
        </w:rPr>
        <w:t xml:space="preserve"> (WSC)</w:t>
      </w:r>
      <w:r w:rsidRPr="005E36EF">
        <w:t xml:space="preserve"> est un partenariat entre l'UIT, l'Organisation internationale de normalisation (ISO) et la Commission électrotechnique internationale (CEI), qui vise à promouvoir le système d'élaboration de normes internationales d'application volontaire fondés sur un consensus.</w:t>
      </w:r>
    </w:p>
    <w:p w14:paraId="1C6490CB" w14:textId="77777777" w:rsidR="00416430" w:rsidRPr="005E36EF" w:rsidRDefault="00416430" w:rsidP="00416430">
      <w:pPr>
        <w:pStyle w:val="enumlev1"/>
      </w:pPr>
      <w:r w:rsidRPr="005E36EF">
        <w:t>–</w:t>
      </w:r>
      <w:r w:rsidRPr="005E36EF">
        <w:tab/>
      </w:r>
      <w:hyperlink r:id="rId143" w:history="1">
        <w:r w:rsidRPr="005E36EF">
          <w:rPr>
            <w:rStyle w:val="Hyperlink"/>
          </w:rPr>
          <w:t>Journée mondiale de la normalisation, le 14 octobre</w:t>
        </w:r>
      </w:hyperlink>
      <w:r w:rsidRPr="005E36EF">
        <w:t xml:space="preserve">: l'UIT, l'ISO et la CEI sont les organisateurs de la manifestation "Une vision commune pour un monde meilleur". </w:t>
      </w:r>
      <w:hyperlink r:id="rId144" w:history="1">
        <w:r w:rsidRPr="005E36EF">
          <w:rPr>
            <w:rStyle w:val="Hyperlink"/>
          </w:rPr>
          <w:t>Toutes les éditions précédentes de la Journée mondiale de la normalisation</w:t>
        </w:r>
      </w:hyperlink>
      <w:r w:rsidRPr="005E36EF">
        <w:t>.</w:t>
      </w:r>
    </w:p>
    <w:p w14:paraId="59138074" w14:textId="77777777" w:rsidR="00416430" w:rsidRPr="005E36EF" w:rsidRDefault="00416430" w:rsidP="00416430">
      <w:pPr>
        <w:pStyle w:val="enumlev1"/>
      </w:pPr>
      <w:r w:rsidRPr="005E36EF">
        <w:t>–</w:t>
      </w:r>
      <w:r w:rsidRPr="005E36EF">
        <w:tab/>
      </w:r>
      <w:hyperlink r:id="rId145" w:history="1">
        <w:r w:rsidRPr="005E36EF">
          <w:rPr>
            <w:rStyle w:val="Hyperlink"/>
          </w:rPr>
          <w:t>Déclaration conjointe à la COP28</w:t>
        </w:r>
      </w:hyperlink>
      <w:r w:rsidRPr="005E36EF">
        <w:t>: l'UIT, l'ISO et la CEI ont publié, à l'occasion de la COP28, une déclaration conjointe sur l'importance de l'intégration de la durabilité dans l'élaboration de normes techniques dès la conception et de normes visant à aider le monde à atteindre la neutralité carbone et à parvenir à une économie circulaire caractérisée par sa faible empreinte carbone et sa gestion efficace des ressources.</w:t>
      </w:r>
    </w:p>
    <w:p w14:paraId="5C33D1A2" w14:textId="77777777" w:rsidR="00416430" w:rsidRPr="005E36EF" w:rsidRDefault="00416430" w:rsidP="00416430">
      <w:pPr>
        <w:pStyle w:val="Headingb"/>
        <w:tabs>
          <w:tab w:val="clear" w:pos="567"/>
        </w:tabs>
        <w:ind w:left="0" w:firstLine="0"/>
      </w:pPr>
      <w:r w:rsidRPr="005E36EF">
        <w:t>L'UIT, l'Organisation météorologique mondiale et le PNUE examinent les possibilités de recourir à l'intelligence artificielle pour la gestion des catastrophes naturelles</w:t>
      </w:r>
    </w:p>
    <w:p w14:paraId="4AFE187B" w14:textId="77777777" w:rsidR="00416430" w:rsidRPr="005E36EF" w:rsidRDefault="001A6AF2" w:rsidP="00416430">
      <w:pPr>
        <w:tabs>
          <w:tab w:val="clear" w:pos="567"/>
        </w:tabs>
      </w:pPr>
      <w:hyperlink r:id="rId146" w:history="1">
        <w:r w:rsidR="00416430" w:rsidRPr="005E36EF">
          <w:rPr>
            <w:rStyle w:val="Hyperlink"/>
          </w:rPr>
          <w:t>Groupe spécialisé UIT/OMM/PNUE sur l'intelligence artificielle au service de la gestion des catastrophes naturelles</w:t>
        </w:r>
      </w:hyperlink>
      <w:r w:rsidR="00416430" w:rsidRPr="005E36EF">
        <w:t>.</w:t>
      </w:r>
    </w:p>
    <w:p w14:paraId="10FDFE5A" w14:textId="77777777" w:rsidR="00416430" w:rsidRPr="005E36EF" w:rsidRDefault="00416430" w:rsidP="00416430">
      <w:pPr>
        <w:pStyle w:val="Headingb"/>
        <w:tabs>
          <w:tab w:val="clear" w:pos="567"/>
        </w:tabs>
        <w:ind w:left="0" w:firstLine="0"/>
      </w:pPr>
      <w:r w:rsidRPr="005E36EF">
        <w:t>L'UIT et l'Organisation des Nations Unies pour l'alimentation et l'agriculture coopèrent étroitement en ce qui concerne l'intelligence artificielle et l'Internet des objets au service de l'agriculture numérique</w:t>
      </w:r>
    </w:p>
    <w:p w14:paraId="7B138A19" w14:textId="77777777" w:rsidR="00416430" w:rsidRPr="005E36EF" w:rsidRDefault="001A6AF2" w:rsidP="00416430">
      <w:hyperlink r:id="rId147" w:history="1">
        <w:r w:rsidR="00416430" w:rsidRPr="005E36EF">
          <w:rPr>
            <w:rStyle w:val="Hyperlink"/>
          </w:rPr>
          <w:t>Groupe spécialisé UIT/FAO sur l'intelligence artificielle et l'Internet des objets au service de l'agriculture numérique</w:t>
        </w:r>
      </w:hyperlink>
      <w:r w:rsidR="00416430" w:rsidRPr="005E36EF">
        <w:t>.</w:t>
      </w:r>
    </w:p>
    <w:p w14:paraId="37A5E542" w14:textId="77777777" w:rsidR="00416430" w:rsidRPr="005E36EF" w:rsidRDefault="00416430" w:rsidP="00416430">
      <w:pPr>
        <w:pStyle w:val="Headingb"/>
      </w:pPr>
      <w:r w:rsidRPr="005E36EF">
        <w:t>SMSI</w:t>
      </w:r>
    </w:p>
    <w:p w14:paraId="7258D856" w14:textId="77777777" w:rsidR="00416430" w:rsidRPr="005E36EF" w:rsidRDefault="001A6AF2" w:rsidP="00416430">
      <w:hyperlink r:id="rId148" w:history="1">
        <w:r w:rsidR="00416430" w:rsidRPr="005E36EF">
          <w:t xml:space="preserve">La </w:t>
        </w:r>
        <w:r w:rsidR="00416430" w:rsidRPr="005E36EF">
          <w:rPr>
            <w:rStyle w:val="Hyperlink"/>
          </w:rPr>
          <w:t>manifestation de haut niveau du SMSI+20</w:t>
        </w:r>
      </w:hyperlink>
      <w:r w:rsidR="00416430" w:rsidRPr="005E36EF">
        <w:t xml:space="preserve"> aura lieu du 27 au 31 mai 2024, à Genève. Son programme couvrira une série de thèmes visant à mettre en lumière ce qui a été accompli en vingt ans de mise en œuvre des résultats du SMSI, présenter des études de cas sur le numérique au service du développement et mettre en valeur le rôle des TIC dans la réalisation des objectifs mondiaux.</w:t>
      </w:r>
    </w:p>
    <w:p w14:paraId="4E6344EC" w14:textId="42449FE5" w:rsidR="00416430" w:rsidRPr="005E36EF" w:rsidRDefault="00416430" w:rsidP="005E3C05">
      <w:r w:rsidRPr="005E36EF">
        <w:lastRenderedPageBreak/>
        <w:t xml:space="preserve">Dans sa </w:t>
      </w:r>
      <w:hyperlink r:id="rId149" w:history="1">
        <w:r w:rsidRPr="005E36EF">
          <w:rPr>
            <w:rStyle w:val="Hyperlink"/>
          </w:rPr>
          <w:t>Résolution 140 (Rév. Bucarest, 2022)</w:t>
        </w:r>
      </w:hyperlink>
      <w:r w:rsidRPr="005E36EF">
        <w:t xml:space="preserve">, la </w:t>
      </w:r>
      <w:r w:rsidR="008052FA" w:rsidRPr="005E36EF">
        <w:t xml:space="preserve">dernière </w:t>
      </w:r>
      <w:r w:rsidRPr="005E36EF">
        <w:t>Conférence de plénipotentiaires de l'UIT a qualifié le Forum 2024 du SMSI de "manifestation de haut niveau du SMSI+20", afin de mettre en avant la présence de participants de haut niveau ainsi que le rôle de cette manifestation dans le processus d'examen du SMSI+20.</w:t>
      </w:r>
      <w:r w:rsidR="005E3C05" w:rsidRPr="005E36EF">
        <w:t xml:space="preserve"> </w:t>
      </w:r>
      <w:r w:rsidRPr="005E36EF">
        <w:t xml:space="preserve">Cette manifestation bénéficiera de la contribution de l'UIT à la mise en œuvre des grandes orientations du SMSI, dont le rôle de coordonnateur et de responsable unique revient à l'UIT, comme indiqué dans l'édition 2023 des </w:t>
      </w:r>
      <w:hyperlink r:id="rId150" w:history="1">
        <w:r w:rsidRPr="005E36EF">
          <w:rPr>
            <w:rStyle w:val="Hyperlink"/>
          </w:rPr>
          <w:t>feuilles de route de l'UIT pour les grandes orientations du SMSI</w:t>
        </w:r>
      </w:hyperlink>
      <w:r w:rsidRPr="005E36EF">
        <w:t>.</w:t>
      </w:r>
    </w:p>
    <w:p w14:paraId="5157F098" w14:textId="77777777" w:rsidR="00416430" w:rsidRPr="005E36EF" w:rsidRDefault="00416430" w:rsidP="00416430">
      <w:r w:rsidRPr="005E36EF">
        <w:t xml:space="preserve">Parmi les autres activités menées par l'UIT dans le cadre de la manifestation de haut niveau du SMSI+20, on citera notamment: </w:t>
      </w:r>
      <w:hyperlink r:id="rId151" w:history="1">
        <w:r w:rsidRPr="005E36EF">
          <w:rPr>
            <w:rStyle w:val="Hyperlink"/>
          </w:rPr>
          <w:t>l'inventaire des activités du SMSI</w:t>
        </w:r>
      </w:hyperlink>
      <w:r w:rsidRPr="005E36EF">
        <w:t xml:space="preserve"> sur vingt ans, la célébration des lauréats et des champions des </w:t>
      </w:r>
      <w:hyperlink r:id="rId152" w:history="1">
        <w:r w:rsidRPr="005E36EF">
          <w:rPr>
            <w:rStyle w:val="Hyperlink"/>
          </w:rPr>
          <w:t>Prix 2024 du SMSI</w:t>
        </w:r>
      </w:hyperlink>
      <w:r w:rsidRPr="005E36EF">
        <w:t xml:space="preserve"> lors d'une cérémonie spéciale en marge de la manifestation de haut niveau, ainsi que d'autres </w:t>
      </w:r>
      <w:hyperlink r:id="rId153" w:history="1">
        <w:r w:rsidRPr="005E36EF">
          <w:rPr>
            <w:rStyle w:val="Hyperlink"/>
          </w:rPr>
          <w:t>Prix spéciaux du SMSI</w:t>
        </w:r>
      </w:hyperlink>
      <w:r w:rsidRPr="005E36EF">
        <w:t xml:space="preserve">, et l'organisation d'une série de </w:t>
      </w:r>
      <w:hyperlink r:id="rId154" w:history="1">
        <w:r w:rsidRPr="005E36EF">
          <w:rPr>
            <w:rStyle w:val="Hyperlink"/>
          </w:rPr>
          <w:t>discussions interactives TalkX relatives au SMSI et aux ODD</w:t>
        </w:r>
      </w:hyperlink>
      <w:r w:rsidRPr="005E36EF">
        <w:t xml:space="preserve">, ainsi que d'un </w:t>
      </w:r>
      <w:hyperlink r:id="rId155" w:history="1">
        <w:r w:rsidRPr="005E36EF">
          <w:rPr>
            <w:rStyle w:val="Hyperlink"/>
          </w:rPr>
          <w:t>Hackathon</w:t>
        </w:r>
      </w:hyperlink>
      <w:r w:rsidRPr="005E36EF">
        <w:t xml:space="preserve"> et d'une journée spéciale consacrée à la jeunesse. Ces activités sont toutes alignées sur les ODD et continueront de s'appuyer sur le </w:t>
      </w:r>
      <w:hyperlink r:id="rId156" w:history="1">
        <w:r w:rsidRPr="005E36EF">
          <w:rPr>
            <w:rStyle w:val="Hyperlink"/>
          </w:rPr>
          <w:t>Tableau de correspondance SMSI-ODD</w:t>
        </w:r>
      </w:hyperlink>
      <w:r w:rsidRPr="005E36EF">
        <w:t xml:space="preserve"> élaboré par les institutions des Nations Unies. Les résultats de la manifestation de haut niveau du SMSI+20 seront présentés à la session de 2025 du Conseil de l'UIT.</w:t>
      </w:r>
    </w:p>
    <w:p w14:paraId="35B5CF69" w14:textId="77777777" w:rsidR="00416430" w:rsidRPr="005E36EF" w:rsidRDefault="00416430" w:rsidP="00416430">
      <w:pPr>
        <w:pStyle w:val="Heading1"/>
      </w:pPr>
      <w:bookmarkStart w:id="83" w:name="_Toc166500758"/>
      <w:r w:rsidRPr="005E36EF">
        <w:t>7</w:t>
      </w:r>
      <w:r w:rsidRPr="005E36EF">
        <w:tab/>
        <w:t>Connecter les personnes et les idées</w:t>
      </w:r>
      <w:bookmarkEnd w:id="83"/>
    </w:p>
    <w:p w14:paraId="1AE2C0F8" w14:textId="77777777" w:rsidR="00416430" w:rsidRPr="005E36EF" w:rsidRDefault="00416430" w:rsidP="00416430">
      <w:pPr>
        <w:pStyle w:val="Heading2"/>
      </w:pPr>
      <w:bookmarkStart w:id="84" w:name="_Toc166500759"/>
      <w:r w:rsidRPr="005E36EF">
        <w:t>7.1</w:t>
      </w:r>
      <w:r w:rsidRPr="005E36EF">
        <w:tab/>
        <w:t>Réunions de haut niveau: Connecter les personnes et les idées</w:t>
      </w:r>
      <w:bookmarkEnd w:id="84"/>
    </w:p>
    <w:p w14:paraId="0811AB0F" w14:textId="77777777" w:rsidR="00416430" w:rsidRPr="005E36EF" w:rsidRDefault="00416430" w:rsidP="00416430">
      <w:r w:rsidRPr="005E36EF">
        <w:t>Parallèlement au cycle quadriennal des conférences statutaires de l'UIT et de chacun de ses secteurs, l'organisation convoque des réunions de haut niveau et entretient une collaboration continue et active avec les parties prenantes afin de faire progresser la transformation numérique dans le sens du développement durable.</w:t>
      </w:r>
    </w:p>
    <w:p w14:paraId="28DC246F" w14:textId="77777777" w:rsidR="00416430" w:rsidRPr="005E36EF" w:rsidRDefault="00416430" w:rsidP="00416430">
      <w:pPr>
        <w:pStyle w:val="Headingb"/>
      </w:pPr>
      <w:r w:rsidRPr="005E36EF">
        <w:t>Colloque mondial des régulateurs</w:t>
      </w:r>
    </w:p>
    <w:p w14:paraId="206E82D4" w14:textId="77777777" w:rsidR="00416430" w:rsidRPr="005E36EF" w:rsidRDefault="00416430" w:rsidP="00416430">
      <w:r w:rsidRPr="005E36EF">
        <w:t>Le dernier Colloque mondial des régulateurs organisé par l'UIT (</w:t>
      </w:r>
      <w:hyperlink r:id="rId157" w:history="1">
        <w:r w:rsidRPr="005E36EF">
          <w:rPr>
            <w:rStyle w:val="Hyperlink"/>
          </w:rPr>
          <w:t>GSR-23</w:t>
        </w:r>
      </w:hyperlink>
      <w:r w:rsidRPr="005E36EF">
        <w:t xml:space="preserve">) était placé sous le thème "La réglementation au service d'un avenir numérique durable". La manifestation comprenait des sessions thématiques qui ont réuni des régulateurs, des décideurs et d'autres parties prenantes du numérique du monde entier et offert une tribune mondiale d'échange de connaissances. </w:t>
      </w:r>
      <w:hyperlink r:id="rId158" w:history="1">
        <w:r w:rsidRPr="005E36EF">
          <w:rPr>
            <w:rStyle w:val="Hyperlink"/>
          </w:rPr>
          <w:t>En savoir plus</w:t>
        </w:r>
      </w:hyperlink>
      <w:r w:rsidRPr="005E36EF">
        <w:t>.</w:t>
      </w:r>
    </w:p>
    <w:p w14:paraId="4A9DC3F3" w14:textId="77777777" w:rsidR="00416430" w:rsidRPr="005E36EF" w:rsidRDefault="00416430" w:rsidP="00416430">
      <w:pPr>
        <w:pStyle w:val="Headingb"/>
      </w:pPr>
      <w:r w:rsidRPr="005E36EF">
        <w:t>Manifestation de haut niveau du SMSI+20</w:t>
      </w:r>
    </w:p>
    <w:p w14:paraId="21731F51" w14:textId="77777777" w:rsidR="00416430" w:rsidRPr="005E36EF" w:rsidRDefault="00416430" w:rsidP="00416430">
      <w:r w:rsidRPr="005E36EF">
        <w:t>Voir la section 4.7.</w:t>
      </w:r>
    </w:p>
    <w:p w14:paraId="58851854" w14:textId="77777777" w:rsidR="00416430" w:rsidRPr="005E36EF" w:rsidRDefault="00416430" w:rsidP="00416430">
      <w:pPr>
        <w:pStyle w:val="Heading2"/>
      </w:pPr>
      <w:bookmarkStart w:id="85" w:name="_Toc166500760"/>
      <w:r w:rsidRPr="005E36EF">
        <w:t>7.2</w:t>
      </w:r>
      <w:r w:rsidRPr="005E36EF">
        <w:tab/>
        <w:t>Séminaires et ateliers: Aller plus loin</w:t>
      </w:r>
      <w:bookmarkEnd w:id="85"/>
    </w:p>
    <w:p w14:paraId="0503274F" w14:textId="77777777" w:rsidR="00416430" w:rsidRPr="005E36EF" w:rsidRDefault="00416430" w:rsidP="00416430">
      <w:r w:rsidRPr="005E36EF">
        <w:t>L'organisation de séminaires et d'ateliers spécialisés est essentielle à la collaboration de l'UIT avec les secteurs des radiocommunications, de la normalisation et du développement.</w:t>
      </w:r>
    </w:p>
    <w:p w14:paraId="6507BE8A" w14:textId="77777777" w:rsidR="00416430" w:rsidRPr="005E36EF" w:rsidRDefault="00416430" w:rsidP="005E3C05">
      <w:pPr>
        <w:pStyle w:val="Headingb"/>
      </w:pPr>
      <w:r w:rsidRPr="005E36EF">
        <w:lastRenderedPageBreak/>
        <w:t>UIT-R</w:t>
      </w:r>
    </w:p>
    <w:p w14:paraId="7525A0DA" w14:textId="77777777" w:rsidR="00416430" w:rsidRPr="005E36EF" w:rsidRDefault="00416430" w:rsidP="005E3C05">
      <w:pPr>
        <w:pStyle w:val="Headingi"/>
      </w:pPr>
      <w:r w:rsidRPr="005E36EF">
        <w:t>RRS-23</w:t>
      </w:r>
    </w:p>
    <w:p w14:paraId="3F98BA8A" w14:textId="77777777" w:rsidR="00416430" w:rsidRPr="005E36EF" w:rsidRDefault="00416430" w:rsidP="005E3C05">
      <w:pPr>
        <w:keepNext/>
        <w:keepLines/>
      </w:pPr>
      <w:r w:rsidRPr="005E36EF">
        <w:t xml:space="preserve">En 2023, l'UIT a organisé deux séminaires régionaux des radiocommunications (RRS), l'un pour les </w:t>
      </w:r>
      <w:hyperlink r:id="rId159" w:history="1">
        <w:r w:rsidRPr="005E36EF">
          <w:rPr>
            <w:rStyle w:val="Hyperlink"/>
          </w:rPr>
          <w:t>Amériques</w:t>
        </w:r>
      </w:hyperlink>
      <w:r w:rsidRPr="005E36EF">
        <w:t xml:space="preserve"> et l'autre pour l'</w:t>
      </w:r>
      <w:hyperlink r:id="rId160" w:history="1">
        <w:r w:rsidRPr="005E36EF">
          <w:rPr>
            <w:rStyle w:val="Hyperlink"/>
          </w:rPr>
          <w:t>Afrique</w:t>
        </w:r>
      </w:hyperlink>
      <w:r w:rsidRPr="005E36EF">
        <w:t>. Ces séminaires portaient sur l'utilisation du spectre des fréquences radioélectriques et des orbites de satellites, en mettant l'accent sur l'application du Règlement des radiocommunications de l'UIT.</w:t>
      </w:r>
    </w:p>
    <w:p w14:paraId="613916F9" w14:textId="77777777" w:rsidR="00416430" w:rsidRPr="005E36EF" w:rsidRDefault="00416430" w:rsidP="00416430">
      <w:pPr>
        <w:pStyle w:val="Headingi"/>
      </w:pPr>
      <w:r w:rsidRPr="005E36EF">
        <w:t>Ateliers</w:t>
      </w:r>
    </w:p>
    <w:p w14:paraId="66333C4D" w14:textId="77777777" w:rsidR="00416430" w:rsidRPr="005E36EF" w:rsidRDefault="00416430" w:rsidP="00416430">
      <w:r w:rsidRPr="005E36EF">
        <w:t>Les trois ateliers suivants ont été organisés par l'UIT:</w:t>
      </w:r>
    </w:p>
    <w:p w14:paraId="569D3AC0" w14:textId="77777777" w:rsidR="00416430" w:rsidRPr="005E36EF" w:rsidRDefault="00416430" w:rsidP="00416430">
      <w:pPr>
        <w:pStyle w:val="enumlev1"/>
      </w:pPr>
      <w:r w:rsidRPr="005E36EF">
        <w:t>•</w:t>
      </w:r>
      <w:r w:rsidRPr="005E36EF">
        <w:tab/>
      </w:r>
      <w:hyperlink r:id="rId161" w:history="1">
        <w:r w:rsidRPr="005E36EF">
          <w:rPr>
            <w:rStyle w:val="Hyperlink"/>
          </w:rPr>
          <w:t>Atelier interrégional sur la préparation de la CMR-23</w:t>
        </w:r>
      </w:hyperlink>
      <w:r w:rsidRPr="005E36EF">
        <w:t>.</w:t>
      </w:r>
    </w:p>
    <w:p w14:paraId="68E3BD5A" w14:textId="77777777" w:rsidR="00416430" w:rsidRPr="005E36EF" w:rsidRDefault="00416430" w:rsidP="00416430">
      <w:pPr>
        <w:pStyle w:val="enumlev1"/>
      </w:pPr>
      <w:r w:rsidRPr="005E36EF">
        <w:t>•</w:t>
      </w:r>
      <w:r w:rsidRPr="005E36EF">
        <w:tab/>
      </w:r>
      <w:hyperlink r:id="rId162" w:history="1">
        <w:r w:rsidRPr="005E36EF">
          <w:rPr>
            <w:rStyle w:val="Hyperlink"/>
          </w:rPr>
          <w:t>"L'UIT au service de l'espace"</w:t>
        </w:r>
      </w:hyperlink>
      <w:r w:rsidRPr="005E36EF">
        <w:t>.</w:t>
      </w:r>
    </w:p>
    <w:p w14:paraId="03E40B3A" w14:textId="77777777" w:rsidR="00416430" w:rsidRPr="005E36EF" w:rsidRDefault="00416430" w:rsidP="00416430">
      <w:pPr>
        <w:pStyle w:val="enumlev1"/>
      </w:pPr>
      <w:r w:rsidRPr="005E36EF">
        <w:t>•</w:t>
      </w:r>
      <w:r w:rsidRPr="005E36EF">
        <w:tab/>
      </w:r>
      <w:hyperlink r:id="rId163" w:history="1">
        <w:r w:rsidRPr="005E36EF">
          <w:rPr>
            <w:rStyle w:val="Hyperlink"/>
          </w:rPr>
          <w:t>"La radiodiffusion en période de crise"</w:t>
        </w:r>
      </w:hyperlink>
      <w:r w:rsidRPr="005E36EF">
        <w:t>.</w:t>
      </w:r>
    </w:p>
    <w:p w14:paraId="5E8F6844" w14:textId="77777777" w:rsidR="00416430" w:rsidRPr="005E36EF" w:rsidRDefault="00416430" w:rsidP="00416430">
      <w:pPr>
        <w:pStyle w:val="Headingb"/>
      </w:pPr>
      <w:r w:rsidRPr="005E36EF">
        <w:t>UIT-T</w:t>
      </w:r>
    </w:p>
    <w:p w14:paraId="3E9FDB62" w14:textId="6A915E76" w:rsidR="00416430" w:rsidRPr="005E36EF" w:rsidRDefault="00416430" w:rsidP="00416430">
      <w:r w:rsidRPr="005E36EF">
        <w:t xml:space="preserve">Quatre-vingt-neuf ateliers, colloques et webinaires de l'UIT-T ont été organisés en 2023, en plus des programmes hebdomadaires de la plate-forme numérique consacrée à </w:t>
      </w:r>
      <w:hyperlink r:id="rId164" w:history="1">
        <w:r w:rsidRPr="005E36EF">
          <w:t>l'</w:t>
        </w:r>
        <w:r w:rsidRPr="005E36EF">
          <w:rPr>
            <w:rStyle w:val="Hyperlink"/>
          </w:rPr>
          <w:t>intelligence artificielle au service du bien social</w:t>
        </w:r>
      </w:hyperlink>
      <w:r w:rsidRPr="005E36EF">
        <w:t xml:space="preserve">, diffusés tout au long de l'année. La liste de toutes les manifestations passées et à venir figure sur la </w:t>
      </w:r>
      <w:hyperlink r:id="rId165" w:history="1">
        <w:r w:rsidRPr="005E36EF">
          <w:rPr>
            <w:rStyle w:val="Hyperlink"/>
          </w:rPr>
          <w:t>page d'accueil des ateliers de l'UIT</w:t>
        </w:r>
        <w:r w:rsidR="008A6609" w:rsidRPr="005E36EF">
          <w:rPr>
            <w:rStyle w:val="Hyperlink"/>
          </w:rPr>
          <w:noBreakHyphen/>
        </w:r>
        <w:r w:rsidRPr="005E36EF">
          <w:rPr>
            <w:rStyle w:val="Hyperlink"/>
          </w:rPr>
          <w:t>T</w:t>
        </w:r>
      </w:hyperlink>
      <w:r w:rsidRPr="005E36EF">
        <w:t>.</w:t>
      </w:r>
    </w:p>
    <w:p w14:paraId="15B020E9" w14:textId="77777777" w:rsidR="00416430" w:rsidRPr="005E36EF" w:rsidRDefault="00416430" w:rsidP="00416430">
      <w:r w:rsidRPr="005E36EF">
        <w:t>Les ateliers, colloques et webinaires de l'UIT-T permettent d'étudier les nouvelles tendances dans le domaine de la normalisation, de mieux faire connaître les travaux de l'UIT-T, de renforcer la collaboration entre ce dernier et d'autres organismes, d'attirer de nouveaux membres au sein de l'UIT-T et de favoriser l'apprentissage collégial dans le domaine de l'élaboration et de l'application de normes internationales.</w:t>
      </w:r>
    </w:p>
    <w:p w14:paraId="20EB4A1C" w14:textId="77777777" w:rsidR="00416430" w:rsidRPr="005E36EF" w:rsidRDefault="00416430" w:rsidP="00416430">
      <w:pPr>
        <w:pStyle w:val="Headingb"/>
      </w:pPr>
      <w:r w:rsidRPr="005E36EF">
        <w:t>UIT-D</w:t>
      </w:r>
    </w:p>
    <w:p w14:paraId="7D86E83D" w14:textId="5ED1A1D0" w:rsidR="00416430" w:rsidRPr="005E36EF" w:rsidRDefault="00416430" w:rsidP="00416430">
      <w:r w:rsidRPr="005E36EF">
        <w:t>Le rapport du BDT au GCDT fournit des informations sur ce point.</w:t>
      </w:r>
    </w:p>
    <w:p w14:paraId="3B8864B8" w14:textId="77777777" w:rsidR="00416430" w:rsidRPr="005E36EF" w:rsidRDefault="00416430" w:rsidP="00416430">
      <w:pPr>
        <w:pStyle w:val="Heading2"/>
      </w:pPr>
      <w:bookmarkStart w:id="86" w:name="_Toc166500761"/>
      <w:r w:rsidRPr="005E36EF">
        <w:t>7.3</w:t>
      </w:r>
      <w:r w:rsidRPr="005E36EF">
        <w:tab/>
        <w:t>Participation des établissements universitaires aux travaux de l'UIT</w:t>
      </w:r>
      <w:bookmarkEnd w:id="86"/>
    </w:p>
    <w:p w14:paraId="7A8CCAB8" w14:textId="77777777" w:rsidR="00416430" w:rsidRPr="005E36EF" w:rsidRDefault="00416430" w:rsidP="00416430">
      <w:r w:rsidRPr="005E36EF">
        <w:t xml:space="preserve">La collaboration des </w:t>
      </w:r>
      <w:hyperlink r:id="rId166" w:anchor="/fr" w:history="1">
        <w:r w:rsidRPr="005E36EF">
          <w:rPr>
            <w:rStyle w:val="Hyperlink"/>
          </w:rPr>
          <w:t>établissements universitaires participant aux travaux de l'UIT</w:t>
        </w:r>
      </w:hyperlink>
      <w:r w:rsidRPr="005E36EF">
        <w:t xml:space="preserve">, le </w:t>
      </w:r>
      <w:hyperlink r:id="rId167" w:history="1">
        <w:r w:rsidRPr="005E36EF">
          <w:rPr>
            <w:rStyle w:val="Hyperlink"/>
          </w:rPr>
          <w:t>Journal de l'UIT sur les technologies futures et les technologies en évolution</w:t>
        </w:r>
      </w:hyperlink>
      <w:r w:rsidRPr="005E36EF">
        <w:t xml:space="preserve"> et les </w:t>
      </w:r>
      <w:hyperlink r:id="rId168" w:history="1">
        <w:r w:rsidRPr="005E36EF">
          <w:rPr>
            <w:rStyle w:val="Hyperlink"/>
          </w:rPr>
          <w:t>conférences multidisciplinaires "Kaléidoscope" de l'UIT</w:t>
        </w:r>
      </w:hyperlink>
      <w:r w:rsidRPr="005E36EF">
        <w:t xml:space="preserve"> constituent les principaux modes de participation des universitaires aux travaux de l'UIT. Ils contribuent au renforcement de la collaboration entre les milieux universitaires et le secteur privé dans le domaine de la recherche et du développement, ainsi qu'à la mise sur le marché des innovations les plus récentes.</w:t>
      </w:r>
    </w:p>
    <w:p w14:paraId="0649F9EC" w14:textId="77777777" w:rsidR="00416430" w:rsidRPr="005E36EF" w:rsidRDefault="00416430" w:rsidP="00416430">
      <w:pPr>
        <w:pStyle w:val="Headingb"/>
      </w:pPr>
      <w:r w:rsidRPr="005E36EF">
        <w:t>Journal de l'UIT</w:t>
      </w:r>
    </w:p>
    <w:p w14:paraId="5F0576A0" w14:textId="77777777" w:rsidR="00416430" w:rsidRPr="005E36EF" w:rsidRDefault="00416430" w:rsidP="00416430">
      <w:r w:rsidRPr="005E36EF">
        <w:t xml:space="preserve">Le </w:t>
      </w:r>
      <w:hyperlink r:id="rId169" w:history="1">
        <w:r w:rsidRPr="005E36EF">
          <w:rPr>
            <w:rStyle w:val="Hyperlink"/>
          </w:rPr>
          <w:t>Journal de l'UIT sur les technologies futures et les technologies en évolution (J-FET de l'UIT)</w:t>
        </w:r>
      </w:hyperlink>
      <w:r w:rsidRPr="005E36EF">
        <w:t>, gratuit tant pour les lecteurs que pour les auteurs, couvre l'ensemble des questions relatives aux communications et à la mise en réseaux. Ce journal en ligne reçoit des propositions d'articles de recherche sur tous les sujets, tout au long de l'année.</w:t>
      </w:r>
    </w:p>
    <w:p w14:paraId="6FA4B230" w14:textId="77777777" w:rsidR="00416430" w:rsidRPr="005E36EF" w:rsidRDefault="00416430" w:rsidP="00416430">
      <w:r w:rsidRPr="005E36EF">
        <w:t xml:space="preserve">Il comprend également les enregistrements de </w:t>
      </w:r>
      <w:hyperlink r:id="rId170" w:history="1">
        <w:r w:rsidRPr="005E36EF">
          <w:rPr>
            <w:rStyle w:val="Hyperlink"/>
          </w:rPr>
          <w:t>discussions tenues lors de webinaires</w:t>
        </w:r>
      </w:hyperlink>
      <w:r w:rsidRPr="005E36EF">
        <w:t xml:space="preserve"> avec des chercheurs et des dirigeants du secteur. Dans le cadre de la série spéciale de webinaires du Journal avec des dirigeants du secteur, lancée en juin 2023, des conférences ont été organisées avec NTT DOCOMO, O-RAN Alliance, GSMA, Nokia et China Mobile.</w:t>
      </w:r>
    </w:p>
    <w:p w14:paraId="1C54C204" w14:textId="77777777" w:rsidR="00416430" w:rsidRPr="005E36EF" w:rsidRDefault="00416430" w:rsidP="00416430">
      <w:r w:rsidRPr="005E36EF">
        <w:lastRenderedPageBreak/>
        <w:t>Le Journal de l'UIT (volume 4 (2023), numéro 4) est consacré aux innovations visant à favoriser l'accessibilité dans le métavers et l'IA. Cette même édition présente également des recherches sur les communications de véhicule à tout autre élément, l'informatique en périphérie et les réseaux à satellite en orbite basse.</w:t>
      </w:r>
    </w:p>
    <w:p w14:paraId="7AA3E08D" w14:textId="77777777" w:rsidR="00416430" w:rsidRPr="005E36EF" w:rsidRDefault="00416430" w:rsidP="00416430">
      <w:pPr>
        <w:pStyle w:val="Headingb"/>
      </w:pPr>
      <w:r w:rsidRPr="005E36EF">
        <w:t>Conférence universitaire "Kaléidoscope"</w:t>
      </w:r>
    </w:p>
    <w:p w14:paraId="7BEA7DE6" w14:textId="77777777" w:rsidR="00416430" w:rsidRPr="005E36EF" w:rsidRDefault="00416430" w:rsidP="00416430">
      <w:r w:rsidRPr="005E36EF">
        <w:t xml:space="preserve">Les conférences </w:t>
      </w:r>
      <w:hyperlink r:id="rId171" w:history="1">
        <w:r w:rsidRPr="005E36EF">
          <w:rPr>
            <w:rStyle w:val="Hyperlink"/>
          </w:rPr>
          <w:t>"Kaléidoscope" de l'UIT</w:t>
        </w:r>
      </w:hyperlink>
      <w:r w:rsidRPr="005E36EF">
        <w:t xml:space="preserve"> consistent en une série de conférences universitaires encadrées par des spécialistes et organisées avec l'aide technique de l'Institut des ingénieurs électriciens et électroniciens (Institute of Electrical and Electronics Engineers – IEEE) et de l'IEEE Communications Society, qui met en lumière les nouvelles tendances de la recherche et leurs répercussions sur la normalisation internationale.</w:t>
      </w:r>
    </w:p>
    <w:p w14:paraId="6DECEA58" w14:textId="77777777" w:rsidR="00416430" w:rsidRPr="005E36EF" w:rsidRDefault="00416430" w:rsidP="00416430">
      <w:pPr>
        <w:pStyle w:val="Heading1"/>
      </w:pPr>
      <w:bookmarkStart w:id="87" w:name="_Toc166500762"/>
      <w:r w:rsidRPr="005E36EF">
        <w:t>8</w:t>
      </w:r>
      <w:r w:rsidRPr="005E36EF">
        <w:tab/>
        <w:t>Assistance technique</w:t>
      </w:r>
      <w:bookmarkEnd w:id="87"/>
    </w:p>
    <w:p w14:paraId="22887BC2" w14:textId="7CC3FFEF" w:rsidR="00283798" w:rsidRPr="005E36EF" w:rsidRDefault="00283798" w:rsidP="00416430">
      <w:r w:rsidRPr="005E36EF">
        <w:t>Outre le fait qu'elle fournit des avis techniques approfondis et assure la coordination dans ce domaine en tant qu'institution spécialisée des Nations Unies, l'UIT fait également fonction d'agent d'exécution pour des projets de développement du numérique qui visent à faire en sorte que tous les habitants de la planète puissent bénéficier des avantages offerts par la connectivité</w:t>
      </w:r>
      <w:r w:rsidR="00416430" w:rsidRPr="005E36EF">
        <w:t>.</w:t>
      </w:r>
    </w:p>
    <w:p w14:paraId="34E733AC" w14:textId="3C54749A" w:rsidR="00416430" w:rsidRPr="005E36EF" w:rsidRDefault="00283798" w:rsidP="00416430">
      <w:r w:rsidRPr="005E36EF">
        <w:t>Le</w:t>
      </w:r>
      <w:r w:rsidR="00416430" w:rsidRPr="005E36EF">
        <w:t xml:space="preserve"> Secteur du développement des télécommunications (UIT-D) a pour principale fonction de mettre en œuvre des projets au titre d'arrangements conclus avec des partenaires financiers. Ces projets visent à faciliter et à renforcer le développement des télécommunications en offrant, organisant et coordonnant les activités de coopération et d'assistance techniques.</w:t>
      </w:r>
    </w:p>
    <w:p w14:paraId="24B61126" w14:textId="77DDC1DF" w:rsidR="00416430" w:rsidRPr="005E36EF" w:rsidRDefault="00416430" w:rsidP="00416430">
      <w:r w:rsidRPr="005E36EF">
        <w:t xml:space="preserve">Dans cet esprit, 87 projets ont été mis en œuvre en 2023, pour un montant de 106,4 millions CHF. Le tableau ci-après présente la répartition générale de ce portefeuille de projets de l'UIT par région et donne un aperçu 1) des fonds mobilisés pour appuyer la mise en œuvre de ces projets; 2) des fonds d'amorçage alloués par l'UIT au titre du Fonds pour le développement des TIC (FDTIC) ou d'autres Fonds de l'UIT destinés à appuyer la mise en œuvre des initiatives régionales approuvées par la </w:t>
      </w:r>
      <w:r w:rsidR="00495308" w:rsidRPr="005E36EF">
        <w:t>Conférence mondiale de développement des télécommunications en 2017 et en 2022</w:t>
      </w:r>
      <w:r w:rsidRPr="005E36EF">
        <w:t>.</w:t>
      </w:r>
    </w:p>
    <w:p w14:paraId="77BC931A" w14:textId="77777777" w:rsidR="00416430" w:rsidRPr="005E36EF" w:rsidRDefault="00416430" w:rsidP="00416430">
      <w:r w:rsidRPr="005E36EF">
        <w:t>L'UIT a signé au total 23 nouveaux projets en 2023, pour un montant de 20,9 millions CHF. Ces chiffres confirment la tendance positive observée depuis 2017 concernant l'augmentation des fonds mobilisés en faveur des projets.</w:t>
      </w:r>
    </w:p>
    <w:p w14:paraId="18644469" w14:textId="77777777" w:rsidR="00416430" w:rsidRPr="005E36EF" w:rsidRDefault="00416430" w:rsidP="00416430">
      <w:r w:rsidRPr="005E36EF">
        <w:t xml:space="preserve">On trouvera davantage de détails et de données sur la mise en œuvre des projets sur le Portail qui y est consacré et dans le nouveau </w:t>
      </w:r>
      <w:hyperlink r:id="rId172" w:history="1">
        <w:r w:rsidRPr="005E36EF">
          <w:rPr>
            <w:rStyle w:val="Hyperlink"/>
          </w:rPr>
          <w:t>tableau de bord destiné aux membres de l'UIT concernant l'état d'avancement des projets</w:t>
        </w:r>
      </w:hyperlink>
      <w:r w:rsidRPr="005E36EF">
        <w:t xml:space="preserve"> (accès réservé aux titulaires d'un compte TIES).</w:t>
      </w:r>
    </w:p>
    <w:p w14:paraId="59A11C47" w14:textId="77777777" w:rsidR="00416430" w:rsidRPr="005E36EF" w:rsidRDefault="00416430" w:rsidP="004D0CA8">
      <w:pPr>
        <w:pStyle w:val="Tabletitle"/>
        <w:keepLines/>
        <w:spacing w:before="240"/>
      </w:pPr>
      <w:r w:rsidRPr="005E36EF">
        <w:lastRenderedPageBreak/>
        <w:t>Vue d'ensemble des projets de l'UIT en cours, par région (en milliers CHF)</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76"/>
        <w:gridCol w:w="1026"/>
        <w:gridCol w:w="1384"/>
        <w:gridCol w:w="1134"/>
        <w:gridCol w:w="100"/>
        <w:gridCol w:w="1169"/>
        <w:gridCol w:w="1424"/>
      </w:tblGrid>
      <w:tr w:rsidR="00416430" w:rsidRPr="005E36EF" w14:paraId="78A5F7FB" w14:textId="77777777" w:rsidTr="003631C1">
        <w:trPr>
          <w:trHeight w:val="852"/>
          <w:jc w:val="center"/>
        </w:trPr>
        <w:tc>
          <w:tcPr>
            <w:tcW w:w="1276" w:type="dxa"/>
            <w:shd w:val="clear" w:color="auto" w:fill="8DB3E2" w:themeFill="text2" w:themeFillTint="66"/>
            <w:noWrap/>
            <w:vAlign w:val="center"/>
            <w:hideMark/>
          </w:tcPr>
          <w:p w14:paraId="14C6A91C" w14:textId="77777777" w:rsidR="00416430" w:rsidRPr="005E36EF" w:rsidRDefault="00416430" w:rsidP="004D0CA8">
            <w:pPr>
              <w:pStyle w:val="Tablehead"/>
              <w:keepNext/>
              <w:keepLines/>
              <w:rPr>
                <w:rFonts w:eastAsiaTheme="minorEastAsia"/>
              </w:rPr>
            </w:pPr>
            <w:r w:rsidRPr="005E36EF">
              <w:rPr>
                <w:rFonts w:eastAsiaTheme="minorEastAsia"/>
                <w:lang w:eastAsia="zh-CN"/>
              </w:rPr>
              <w:t>Région</w:t>
            </w:r>
          </w:p>
        </w:tc>
        <w:tc>
          <w:tcPr>
            <w:tcW w:w="1026" w:type="dxa"/>
            <w:shd w:val="clear" w:color="auto" w:fill="8DB3E2" w:themeFill="text2" w:themeFillTint="66"/>
            <w:noWrap/>
            <w:vAlign w:val="center"/>
            <w:hideMark/>
          </w:tcPr>
          <w:p w14:paraId="24525E6E" w14:textId="77777777" w:rsidR="00416430" w:rsidRPr="005E36EF" w:rsidRDefault="00416430" w:rsidP="004D0CA8">
            <w:pPr>
              <w:pStyle w:val="Tablehead"/>
              <w:keepNext/>
              <w:keepLines/>
              <w:rPr>
                <w:rFonts w:eastAsiaTheme="minorEastAsia"/>
                <w:lang w:eastAsia="zh-CN"/>
              </w:rPr>
            </w:pPr>
            <w:r w:rsidRPr="005E36EF">
              <w:rPr>
                <w:rFonts w:eastAsiaTheme="minorEastAsia"/>
                <w:lang w:eastAsia="zh-CN"/>
              </w:rPr>
              <w:t>Nombre de projets</w:t>
            </w:r>
          </w:p>
        </w:tc>
        <w:tc>
          <w:tcPr>
            <w:tcW w:w="1384" w:type="dxa"/>
            <w:shd w:val="clear" w:color="auto" w:fill="8DB3E2" w:themeFill="text2" w:themeFillTint="66"/>
            <w:noWrap/>
            <w:vAlign w:val="center"/>
            <w:hideMark/>
          </w:tcPr>
          <w:p w14:paraId="06FD71D7" w14:textId="77777777" w:rsidR="00416430" w:rsidRPr="005E36EF" w:rsidRDefault="00416430" w:rsidP="004D0CA8">
            <w:pPr>
              <w:pStyle w:val="Tablehead"/>
              <w:keepNext/>
              <w:keepLines/>
              <w:rPr>
                <w:rFonts w:eastAsiaTheme="minorEastAsia"/>
                <w:lang w:eastAsia="zh-CN"/>
              </w:rPr>
            </w:pPr>
            <w:r w:rsidRPr="005E36EF">
              <w:rPr>
                <w:rFonts w:eastAsiaTheme="minorEastAsia"/>
                <w:lang w:eastAsia="zh-CN"/>
              </w:rPr>
              <w:t xml:space="preserve">Fonds provenant de partenaires </w:t>
            </w:r>
          </w:p>
        </w:tc>
        <w:tc>
          <w:tcPr>
            <w:tcW w:w="1134" w:type="dxa"/>
            <w:shd w:val="clear" w:color="auto" w:fill="8DB3E2" w:themeFill="text2" w:themeFillTint="66"/>
            <w:noWrap/>
            <w:vAlign w:val="center"/>
          </w:tcPr>
          <w:p w14:paraId="4404EA58" w14:textId="77777777" w:rsidR="00416430" w:rsidRPr="005E36EF" w:rsidRDefault="00416430" w:rsidP="004D0CA8">
            <w:pPr>
              <w:pStyle w:val="Tablehead"/>
              <w:keepNext/>
              <w:keepLines/>
              <w:rPr>
                <w:rFonts w:eastAsiaTheme="minorEastAsia"/>
                <w:lang w:eastAsia="zh-CN"/>
              </w:rPr>
            </w:pPr>
            <w:r w:rsidRPr="005E36EF">
              <w:rPr>
                <w:rFonts w:eastAsiaTheme="minorEastAsia"/>
                <w:lang w:eastAsia="zh-CN"/>
              </w:rPr>
              <w:t>Fonds de l'UIT (FDTIC)</w:t>
            </w:r>
          </w:p>
        </w:tc>
        <w:tc>
          <w:tcPr>
            <w:tcW w:w="1269" w:type="dxa"/>
            <w:gridSpan w:val="2"/>
            <w:shd w:val="clear" w:color="auto" w:fill="8DB3E2" w:themeFill="text2" w:themeFillTint="66"/>
            <w:noWrap/>
            <w:vAlign w:val="center"/>
          </w:tcPr>
          <w:p w14:paraId="0B9F1660" w14:textId="77777777" w:rsidR="00416430" w:rsidRPr="005E36EF" w:rsidRDefault="00416430" w:rsidP="004D0CA8">
            <w:pPr>
              <w:pStyle w:val="Tablehead"/>
              <w:keepNext/>
              <w:keepLines/>
              <w:rPr>
                <w:rFonts w:eastAsiaTheme="minorEastAsia"/>
                <w:lang w:eastAsia="zh-CN"/>
              </w:rPr>
            </w:pPr>
            <w:r w:rsidRPr="005E36EF">
              <w:rPr>
                <w:rFonts w:eastAsiaTheme="minorEastAsia"/>
                <w:lang w:eastAsia="zh-CN"/>
              </w:rPr>
              <w:t>Fonds de l'UIT (initiatives régionales)</w:t>
            </w:r>
          </w:p>
        </w:tc>
        <w:tc>
          <w:tcPr>
            <w:tcW w:w="1424" w:type="dxa"/>
            <w:shd w:val="clear" w:color="auto" w:fill="8DB3E2" w:themeFill="text2" w:themeFillTint="66"/>
            <w:noWrap/>
            <w:vAlign w:val="center"/>
            <w:hideMark/>
          </w:tcPr>
          <w:p w14:paraId="712A23A2" w14:textId="77777777" w:rsidR="00416430" w:rsidRPr="005E36EF" w:rsidRDefault="00416430" w:rsidP="004D0CA8">
            <w:pPr>
              <w:pStyle w:val="Tablehead"/>
              <w:keepNext/>
              <w:keepLines/>
              <w:rPr>
                <w:rFonts w:eastAsiaTheme="minorEastAsia"/>
                <w:lang w:eastAsia="zh-CN"/>
              </w:rPr>
            </w:pPr>
            <w:r w:rsidRPr="005E36EF">
              <w:rPr>
                <w:rFonts w:eastAsiaTheme="minorEastAsia"/>
                <w:lang w:eastAsia="zh-CN"/>
              </w:rPr>
              <w:t>Total du financement des projets</w:t>
            </w:r>
          </w:p>
        </w:tc>
      </w:tr>
      <w:tr w:rsidR="00416430" w:rsidRPr="005E36EF" w14:paraId="3C8E6300" w14:textId="77777777" w:rsidTr="003631C1">
        <w:trPr>
          <w:trHeight w:val="54"/>
          <w:jc w:val="center"/>
        </w:trPr>
        <w:tc>
          <w:tcPr>
            <w:tcW w:w="1276" w:type="dxa"/>
            <w:hideMark/>
          </w:tcPr>
          <w:p w14:paraId="12275B63" w14:textId="77777777" w:rsidR="00416430" w:rsidRPr="005E36EF" w:rsidRDefault="00416430" w:rsidP="004D0CA8">
            <w:pPr>
              <w:pStyle w:val="Tabletext"/>
              <w:keepNext/>
              <w:keepLines/>
              <w:rPr>
                <w:rFonts w:cstheme="minorHAnsi"/>
                <w:szCs w:val="22"/>
              </w:rPr>
            </w:pPr>
            <w:r w:rsidRPr="005E36EF">
              <w:t>AFR</w:t>
            </w:r>
          </w:p>
        </w:tc>
        <w:tc>
          <w:tcPr>
            <w:tcW w:w="1026" w:type="dxa"/>
            <w:noWrap/>
            <w:vAlign w:val="bottom"/>
            <w:hideMark/>
          </w:tcPr>
          <w:p w14:paraId="0AE99A8B" w14:textId="77777777" w:rsidR="00416430" w:rsidRPr="005E36EF" w:rsidRDefault="00416430" w:rsidP="004D0CA8">
            <w:pPr>
              <w:pStyle w:val="Tabletext"/>
              <w:keepNext/>
              <w:keepLines/>
              <w:jc w:val="center"/>
              <w:rPr>
                <w:rFonts w:eastAsiaTheme="minorEastAsia" w:cstheme="minorHAnsi"/>
                <w:szCs w:val="22"/>
              </w:rPr>
            </w:pPr>
            <w:r w:rsidRPr="005E36EF">
              <w:t>13</w:t>
            </w:r>
          </w:p>
        </w:tc>
        <w:tc>
          <w:tcPr>
            <w:tcW w:w="1384" w:type="dxa"/>
            <w:vAlign w:val="bottom"/>
            <w:hideMark/>
          </w:tcPr>
          <w:p w14:paraId="3EDA751A" w14:textId="77777777" w:rsidR="00416430" w:rsidRPr="005E36EF" w:rsidRDefault="00416430" w:rsidP="004D0CA8">
            <w:pPr>
              <w:pStyle w:val="Tabletext"/>
              <w:keepNext/>
              <w:keepLines/>
              <w:jc w:val="right"/>
              <w:rPr>
                <w:rFonts w:eastAsiaTheme="minorEastAsia" w:cstheme="minorHAnsi"/>
                <w:szCs w:val="22"/>
              </w:rPr>
            </w:pPr>
            <w:r w:rsidRPr="005E36EF">
              <w:t>11 732,4</w:t>
            </w:r>
          </w:p>
        </w:tc>
        <w:tc>
          <w:tcPr>
            <w:tcW w:w="1234" w:type="dxa"/>
            <w:gridSpan w:val="2"/>
            <w:vAlign w:val="bottom"/>
            <w:hideMark/>
          </w:tcPr>
          <w:p w14:paraId="5DCB3F89" w14:textId="77777777" w:rsidR="00416430" w:rsidRPr="005E36EF" w:rsidRDefault="00416430" w:rsidP="004D0CA8">
            <w:pPr>
              <w:pStyle w:val="Tabletext"/>
              <w:keepNext/>
              <w:keepLines/>
              <w:jc w:val="right"/>
              <w:rPr>
                <w:rFonts w:eastAsiaTheme="minorEastAsia" w:cstheme="minorHAnsi"/>
                <w:szCs w:val="22"/>
              </w:rPr>
            </w:pPr>
            <w:r w:rsidRPr="005E36EF">
              <w:t>938,7</w:t>
            </w:r>
          </w:p>
        </w:tc>
        <w:tc>
          <w:tcPr>
            <w:tcW w:w="1169" w:type="dxa"/>
            <w:vAlign w:val="bottom"/>
            <w:hideMark/>
          </w:tcPr>
          <w:p w14:paraId="5951437C" w14:textId="77777777" w:rsidR="00416430" w:rsidRPr="005E36EF" w:rsidRDefault="00416430" w:rsidP="004D0CA8">
            <w:pPr>
              <w:pStyle w:val="Tabletext"/>
              <w:keepNext/>
              <w:keepLines/>
              <w:jc w:val="right"/>
              <w:rPr>
                <w:rFonts w:eastAsiaTheme="minorEastAsia" w:cstheme="minorHAnsi"/>
                <w:szCs w:val="22"/>
              </w:rPr>
            </w:pPr>
            <w:r w:rsidRPr="005E36EF">
              <w:t>670,0</w:t>
            </w:r>
          </w:p>
        </w:tc>
        <w:tc>
          <w:tcPr>
            <w:tcW w:w="1424" w:type="dxa"/>
            <w:shd w:val="clear" w:color="auto" w:fill="DBE5F1" w:themeFill="accent1" w:themeFillTint="33"/>
            <w:vAlign w:val="bottom"/>
            <w:hideMark/>
          </w:tcPr>
          <w:p w14:paraId="1D96C849" w14:textId="77777777" w:rsidR="00416430" w:rsidRPr="005E36EF" w:rsidRDefault="00416430" w:rsidP="004D0CA8">
            <w:pPr>
              <w:pStyle w:val="Tabletext"/>
              <w:keepNext/>
              <w:keepLines/>
              <w:jc w:val="right"/>
              <w:rPr>
                <w:rFonts w:eastAsiaTheme="minorEastAsia" w:cstheme="minorHAnsi"/>
                <w:b/>
                <w:bCs/>
                <w:szCs w:val="22"/>
              </w:rPr>
            </w:pPr>
            <w:r w:rsidRPr="005E36EF">
              <w:rPr>
                <w:b/>
                <w:bCs/>
              </w:rPr>
              <w:t>13 913,1</w:t>
            </w:r>
          </w:p>
        </w:tc>
      </w:tr>
      <w:tr w:rsidR="00416430" w:rsidRPr="005E36EF" w14:paraId="155C79B8" w14:textId="77777777" w:rsidTr="003631C1">
        <w:trPr>
          <w:trHeight w:val="54"/>
          <w:jc w:val="center"/>
        </w:trPr>
        <w:tc>
          <w:tcPr>
            <w:tcW w:w="1276" w:type="dxa"/>
            <w:hideMark/>
          </w:tcPr>
          <w:p w14:paraId="3D78BF9B" w14:textId="77777777" w:rsidR="00416430" w:rsidRPr="005E36EF" w:rsidRDefault="00416430" w:rsidP="004D0CA8">
            <w:pPr>
              <w:pStyle w:val="Tabletext"/>
              <w:keepNext/>
              <w:keepLines/>
              <w:rPr>
                <w:rFonts w:cstheme="minorHAnsi"/>
                <w:szCs w:val="22"/>
              </w:rPr>
            </w:pPr>
            <w:r w:rsidRPr="005E36EF">
              <w:t>AMS</w:t>
            </w:r>
          </w:p>
        </w:tc>
        <w:tc>
          <w:tcPr>
            <w:tcW w:w="1026" w:type="dxa"/>
            <w:noWrap/>
            <w:vAlign w:val="bottom"/>
            <w:hideMark/>
          </w:tcPr>
          <w:p w14:paraId="5C5B7785" w14:textId="77777777" w:rsidR="00416430" w:rsidRPr="005E36EF" w:rsidRDefault="00416430" w:rsidP="004D0CA8">
            <w:pPr>
              <w:pStyle w:val="Tabletext"/>
              <w:keepNext/>
              <w:keepLines/>
              <w:jc w:val="center"/>
              <w:rPr>
                <w:rFonts w:eastAsiaTheme="minorEastAsia" w:cstheme="minorHAnsi"/>
                <w:szCs w:val="22"/>
              </w:rPr>
            </w:pPr>
            <w:r w:rsidRPr="005E36EF">
              <w:t>15</w:t>
            </w:r>
          </w:p>
        </w:tc>
        <w:tc>
          <w:tcPr>
            <w:tcW w:w="1384" w:type="dxa"/>
            <w:vAlign w:val="bottom"/>
            <w:hideMark/>
          </w:tcPr>
          <w:p w14:paraId="3C051DD5" w14:textId="77777777" w:rsidR="00416430" w:rsidRPr="005E36EF" w:rsidRDefault="00416430" w:rsidP="004D0CA8">
            <w:pPr>
              <w:pStyle w:val="Tabletext"/>
              <w:keepNext/>
              <w:keepLines/>
              <w:jc w:val="right"/>
              <w:rPr>
                <w:rFonts w:eastAsiaTheme="minorEastAsia" w:cstheme="minorHAnsi"/>
                <w:szCs w:val="22"/>
              </w:rPr>
            </w:pPr>
            <w:r w:rsidRPr="005E36EF">
              <w:t>40 112,6</w:t>
            </w:r>
          </w:p>
        </w:tc>
        <w:tc>
          <w:tcPr>
            <w:tcW w:w="1234" w:type="dxa"/>
            <w:gridSpan w:val="2"/>
            <w:vAlign w:val="bottom"/>
            <w:hideMark/>
          </w:tcPr>
          <w:p w14:paraId="2B56392A" w14:textId="77777777" w:rsidR="00416430" w:rsidRPr="005E36EF" w:rsidRDefault="00416430" w:rsidP="004D0CA8">
            <w:pPr>
              <w:pStyle w:val="Tabletext"/>
              <w:keepNext/>
              <w:keepLines/>
              <w:jc w:val="right"/>
              <w:rPr>
                <w:rFonts w:eastAsiaTheme="minorEastAsia" w:cstheme="minorHAnsi"/>
                <w:szCs w:val="22"/>
              </w:rPr>
            </w:pPr>
            <w:r w:rsidRPr="005E36EF">
              <w:t>158,6</w:t>
            </w:r>
          </w:p>
        </w:tc>
        <w:tc>
          <w:tcPr>
            <w:tcW w:w="1169" w:type="dxa"/>
            <w:vAlign w:val="bottom"/>
            <w:hideMark/>
          </w:tcPr>
          <w:p w14:paraId="25DBD05C" w14:textId="77777777" w:rsidR="00416430" w:rsidRPr="005E36EF" w:rsidRDefault="00416430" w:rsidP="004D0CA8">
            <w:pPr>
              <w:pStyle w:val="Tabletext"/>
              <w:keepNext/>
              <w:keepLines/>
              <w:jc w:val="right"/>
              <w:rPr>
                <w:rFonts w:eastAsiaTheme="minorEastAsia" w:cstheme="minorHAnsi"/>
                <w:szCs w:val="22"/>
              </w:rPr>
            </w:pPr>
            <w:r w:rsidRPr="005E36EF">
              <w:t>667,5</w:t>
            </w:r>
          </w:p>
        </w:tc>
        <w:tc>
          <w:tcPr>
            <w:tcW w:w="1424" w:type="dxa"/>
            <w:shd w:val="clear" w:color="auto" w:fill="DBE5F1" w:themeFill="accent1" w:themeFillTint="33"/>
            <w:vAlign w:val="bottom"/>
            <w:hideMark/>
          </w:tcPr>
          <w:p w14:paraId="7CD51390" w14:textId="77777777" w:rsidR="00416430" w:rsidRPr="005E36EF" w:rsidRDefault="00416430" w:rsidP="004D0CA8">
            <w:pPr>
              <w:pStyle w:val="Tabletext"/>
              <w:keepNext/>
              <w:keepLines/>
              <w:jc w:val="right"/>
              <w:rPr>
                <w:rFonts w:eastAsiaTheme="minorEastAsia" w:cstheme="minorHAnsi"/>
                <w:b/>
                <w:bCs/>
                <w:szCs w:val="22"/>
              </w:rPr>
            </w:pPr>
            <w:r w:rsidRPr="005E36EF">
              <w:rPr>
                <w:b/>
                <w:bCs/>
              </w:rPr>
              <w:t>41 008,4</w:t>
            </w:r>
          </w:p>
        </w:tc>
      </w:tr>
      <w:tr w:rsidR="00416430" w:rsidRPr="005E36EF" w14:paraId="7C40953B" w14:textId="77777777" w:rsidTr="003631C1">
        <w:trPr>
          <w:trHeight w:val="300"/>
          <w:jc w:val="center"/>
        </w:trPr>
        <w:tc>
          <w:tcPr>
            <w:tcW w:w="1276" w:type="dxa"/>
            <w:hideMark/>
          </w:tcPr>
          <w:p w14:paraId="17B64BCE" w14:textId="77777777" w:rsidR="00416430" w:rsidRPr="005E36EF" w:rsidRDefault="00416430" w:rsidP="004D0CA8">
            <w:pPr>
              <w:pStyle w:val="Tabletext"/>
              <w:keepNext/>
              <w:keepLines/>
              <w:rPr>
                <w:rFonts w:cstheme="minorHAnsi"/>
                <w:szCs w:val="22"/>
              </w:rPr>
            </w:pPr>
            <w:r w:rsidRPr="005E36EF">
              <w:t>ARB</w:t>
            </w:r>
          </w:p>
        </w:tc>
        <w:tc>
          <w:tcPr>
            <w:tcW w:w="1026" w:type="dxa"/>
            <w:vAlign w:val="bottom"/>
            <w:hideMark/>
          </w:tcPr>
          <w:p w14:paraId="4786EE02" w14:textId="77777777" w:rsidR="00416430" w:rsidRPr="005E36EF" w:rsidRDefault="00416430" w:rsidP="004D0CA8">
            <w:pPr>
              <w:pStyle w:val="Tabletext"/>
              <w:keepNext/>
              <w:keepLines/>
              <w:jc w:val="center"/>
              <w:rPr>
                <w:rFonts w:eastAsiaTheme="minorEastAsia" w:cstheme="minorHAnsi"/>
                <w:szCs w:val="22"/>
              </w:rPr>
            </w:pPr>
            <w:r w:rsidRPr="005E36EF">
              <w:t>7</w:t>
            </w:r>
          </w:p>
        </w:tc>
        <w:tc>
          <w:tcPr>
            <w:tcW w:w="1384" w:type="dxa"/>
            <w:vAlign w:val="bottom"/>
            <w:hideMark/>
          </w:tcPr>
          <w:p w14:paraId="1E65AA34" w14:textId="77777777" w:rsidR="00416430" w:rsidRPr="005E36EF" w:rsidRDefault="00416430" w:rsidP="004D0CA8">
            <w:pPr>
              <w:pStyle w:val="Tabletext"/>
              <w:keepNext/>
              <w:keepLines/>
              <w:jc w:val="right"/>
              <w:rPr>
                <w:rFonts w:eastAsiaTheme="minorEastAsia" w:cstheme="minorHAnsi"/>
                <w:szCs w:val="22"/>
              </w:rPr>
            </w:pPr>
            <w:r w:rsidRPr="005E36EF">
              <w:t>4 311,1</w:t>
            </w:r>
          </w:p>
        </w:tc>
        <w:tc>
          <w:tcPr>
            <w:tcW w:w="1234" w:type="dxa"/>
            <w:gridSpan w:val="2"/>
            <w:vAlign w:val="bottom"/>
            <w:hideMark/>
          </w:tcPr>
          <w:p w14:paraId="3D3F60D0" w14:textId="77777777" w:rsidR="00416430" w:rsidRPr="005E36EF" w:rsidRDefault="00416430" w:rsidP="004D0CA8">
            <w:pPr>
              <w:pStyle w:val="Tabletext"/>
              <w:keepNext/>
              <w:keepLines/>
              <w:jc w:val="right"/>
              <w:rPr>
                <w:rFonts w:eastAsiaTheme="minorEastAsia" w:cstheme="minorHAnsi"/>
                <w:szCs w:val="22"/>
              </w:rPr>
            </w:pPr>
            <w:r w:rsidRPr="005E36EF">
              <w:t>662,2</w:t>
            </w:r>
          </w:p>
        </w:tc>
        <w:tc>
          <w:tcPr>
            <w:tcW w:w="1169" w:type="dxa"/>
            <w:vAlign w:val="bottom"/>
            <w:hideMark/>
          </w:tcPr>
          <w:p w14:paraId="4371CFD3" w14:textId="77777777" w:rsidR="00416430" w:rsidRPr="005E36EF" w:rsidRDefault="00416430" w:rsidP="004D0CA8">
            <w:pPr>
              <w:pStyle w:val="Tabletext"/>
              <w:keepNext/>
              <w:keepLines/>
              <w:jc w:val="right"/>
              <w:rPr>
                <w:rFonts w:eastAsiaTheme="minorEastAsia" w:cstheme="minorHAnsi"/>
                <w:szCs w:val="22"/>
              </w:rPr>
            </w:pPr>
            <w:r w:rsidRPr="005E36EF">
              <w:t>88,0</w:t>
            </w:r>
          </w:p>
        </w:tc>
        <w:tc>
          <w:tcPr>
            <w:tcW w:w="1424" w:type="dxa"/>
            <w:shd w:val="clear" w:color="auto" w:fill="DBE5F1" w:themeFill="accent1" w:themeFillTint="33"/>
            <w:vAlign w:val="bottom"/>
            <w:hideMark/>
          </w:tcPr>
          <w:p w14:paraId="003E9757" w14:textId="77777777" w:rsidR="00416430" w:rsidRPr="005E36EF" w:rsidRDefault="00416430" w:rsidP="004D0CA8">
            <w:pPr>
              <w:pStyle w:val="Tabletext"/>
              <w:keepNext/>
              <w:keepLines/>
              <w:jc w:val="right"/>
              <w:rPr>
                <w:rFonts w:eastAsiaTheme="minorEastAsia" w:cstheme="minorHAnsi"/>
                <w:b/>
                <w:bCs/>
                <w:szCs w:val="22"/>
              </w:rPr>
            </w:pPr>
            <w:r w:rsidRPr="005E36EF">
              <w:rPr>
                <w:b/>
                <w:bCs/>
              </w:rPr>
              <w:t>5 061,3</w:t>
            </w:r>
          </w:p>
        </w:tc>
      </w:tr>
      <w:tr w:rsidR="00416430" w:rsidRPr="005E36EF" w14:paraId="0A09A517" w14:textId="77777777" w:rsidTr="003631C1">
        <w:trPr>
          <w:trHeight w:val="54"/>
          <w:jc w:val="center"/>
        </w:trPr>
        <w:tc>
          <w:tcPr>
            <w:tcW w:w="1276" w:type="dxa"/>
            <w:vAlign w:val="center"/>
            <w:hideMark/>
          </w:tcPr>
          <w:p w14:paraId="54A9F437" w14:textId="77777777" w:rsidR="00416430" w:rsidRPr="005E36EF" w:rsidRDefault="00416430" w:rsidP="003631C1">
            <w:pPr>
              <w:pStyle w:val="Tabletext"/>
              <w:rPr>
                <w:rFonts w:cstheme="minorHAnsi"/>
                <w:szCs w:val="22"/>
              </w:rPr>
            </w:pPr>
            <w:r w:rsidRPr="005E36EF">
              <w:t>ASP</w:t>
            </w:r>
          </w:p>
        </w:tc>
        <w:tc>
          <w:tcPr>
            <w:tcW w:w="1026" w:type="dxa"/>
            <w:noWrap/>
            <w:vAlign w:val="bottom"/>
            <w:hideMark/>
          </w:tcPr>
          <w:p w14:paraId="170ACCE8" w14:textId="77777777" w:rsidR="00416430" w:rsidRPr="005E36EF" w:rsidRDefault="00416430" w:rsidP="003631C1">
            <w:pPr>
              <w:pStyle w:val="Tabletext"/>
              <w:jc w:val="center"/>
              <w:rPr>
                <w:rFonts w:eastAsiaTheme="minorEastAsia" w:cstheme="minorHAnsi"/>
                <w:szCs w:val="22"/>
              </w:rPr>
            </w:pPr>
            <w:r w:rsidRPr="005E36EF">
              <w:t>14</w:t>
            </w:r>
          </w:p>
        </w:tc>
        <w:tc>
          <w:tcPr>
            <w:tcW w:w="1384" w:type="dxa"/>
            <w:vAlign w:val="bottom"/>
            <w:hideMark/>
          </w:tcPr>
          <w:p w14:paraId="14639B7A" w14:textId="77777777" w:rsidR="00416430" w:rsidRPr="005E36EF" w:rsidRDefault="00416430" w:rsidP="003631C1">
            <w:pPr>
              <w:pStyle w:val="Tabletext"/>
              <w:jc w:val="right"/>
              <w:rPr>
                <w:rFonts w:eastAsiaTheme="minorEastAsia" w:cstheme="minorHAnsi"/>
                <w:szCs w:val="22"/>
              </w:rPr>
            </w:pPr>
            <w:r w:rsidRPr="005E36EF">
              <w:t>6 948,8</w:t>
            </w:r>
          </w:p>
        </w:tc>
        <w:tc>
          <w:tcPr>
            <w:tcW w:w="1234" w:type="dxa"/>
            <w:gridSpan w:val="2"/>
            <w:vAlign w:val="bottom"/>
          </w:tcPr>
          <w:p w14:paraId="4C505DD4" w14:textId="77777777" w:rsidR="00416430" w:rsidRPr="005E36EF" w:rsidRDefault="00416430" w:rsidP="003631C1">
            <w:pPr>
              <w:pStyle w:val="Tabletext"/>
              <w:jc w:val="right"/>
              <w:rPr>
                <w:rFonts w:eastAsiaTheme="minorEastAsia" w:cstheme="minorHAnsi"/>
                <w:szCs w:val="22"/>
              </w:rPr>
            </w:pPr>
            <w:r w:rsidRPr="005E36EF">
              <w:t>345,4</w:t>
            </w:r>
          </w:p>
        </w:tc>
        <w:tc>
          <w:tcPr>
            <w:tcW w:w="1169" w:type="dxa"/>
            <w:vAlign w:val="bottom"/>
            <w:hideMark/>
          </w:tcPr>
          <w:p w14:paraId="422C64EF" w14:textId="77777777" w:rsidR="00416430" w:rsidRPr="005E36EF" w:rsidRDefault="00416430" w:rsidP="003631C1">
            <w:pPr>
              <w:pStyle w:val="Tabletext"/>
              <w:jc w:val="right"/>
              <w:rPr>
                <w:rFonts w:eastAsiaTheme="minorEastAsia" w:cstheme="minorHAnsi"/>
                <w:szCs w:val="22"/>
              </w:rPr>
            </w:pPr>
            <w:r w:rsidRPr="005E36EF">
              <w:t>440,0</w:t>
            </w:r>
          </w:p>
        </w:tc>
        <w:tc>
          <w:tcPr>
            <w:tcW w:w="1424" w:type="dxa"/>
            <w:shd w:val="clear" w:color="auto" w:fill="DBE5F1" w:themeFill="accent1" w:themeFillTint="33"/>
            <w:vAlign w:val="bottom"/>
            <w:hideMark/>
          </w:tcPr>
          <w:p w14:paraId="3C28F346" w14:textId="77777777" w:rsidR="00416430" w:rsidRPr="005E36EF" w:rsidRDefault="00416430" w:rsidP="003631C1">
            <w:pPr>
              <w:pStyle w:val="Tabletext"/>
              <w:jc w:val="right"/>
              <w:rPr>
                <w:rFonts w:eastAsiaTheme="minorEastAsia" w:cstheme="minorHAnsi"/>
                <w:b/>
                <w:bCs/>
                <w:szCs w:val="22"/>
              </w:rPr>
            </w:pPr>
            <w:r w:rsidRPr="005E36EF">
              <w:rPr>
                <w:b/>
                <w:bCs/>
              </w:rPr>
              <w:t>7 909,2</w:t>
            </w:r>
          </w:p>
        </w:tc>
      </w:tr>
      <w:tr w:rsidR="00416430" w:rsidRPr="005E36EF" w14:paraId="05F5FC04" w14:textId="77777777" w:rsidTr="003631C1">
        <w:trPr>
          <w:trHeight w:val="54"/>
          <w:jc w:val="center"/>
        </w:trPr>
        <w:tc>
          <w:tcPr>
            <w:tcW w:w="1276" w:type="dxa"/>
            <w:hideMark/>
          </w:tcPr>
          <w:p w14:paraId="2F0F22F9" w14:textId="77777777" w:rsidR="00416430" w:rsidRPr="005E36EF" w:rsidRDefault="00416430" w:rsidP="003631C1">
            <w:pPr>
              <w:pStyle w:val="Tabletext"/>
              <w:rPr>
                <w:rFonts w:cstheme="minorHAnsi"/>
                <w:szCs w:val="22"/>
              </w:rPr>
            </w:pPr>
            <w:r w:rsidRPr="005E36EF">
              <w:t>CEI</w:t>
            </w:r>
          </w:p>
        </w:tc>
        <w:tc>
          <w:tcPr>
            <w:tcW w:w="1026" w:type="dxa"/>
            <w:vAlign w:val="bottom"/>
            <w:hideMark/>
          </w:tcPr>
          <w:p w14:paraId="72BD6619" w14:textId="77777777" w:rsidR="00416430" w:rsidRPr="005E36EF" w:rsidRDefault="00416430" w:rsidP="003631C1">
            <w:pPr>
              <w:pStyle w:val="Tabletext"/>
              <w:jc w:val="center"/>
              <w:rPr>
                <w:rFonts w:eastAsiaTheme="minorEastAsia" w:cstheme="minorHAnsi"/>
                <w:szCs w:val="22"/>
              </w:rPr>
            </w:pPr>
            <w:r w:rsidRPr="005E36EF">
              <w:t>3</w:t>
            </w:r>
          </w:p>
        </w:tc>
        <w:tc>
          <w:tcPr>
            <w:tcW w:w="1384" w:type="dxa"/>
            <w:vAlign w:val="bottom"/>
            <w:hideMark/>
          </w:tcPr>
          <w:p w14:paraId="6702BD66" w14:textId="77777777" w:rsidR="00416430" w:rsidRPr="005E36EF" w:rsidRDefault="00416430" w:rsidP="003631C1">
            <w:pPr>
              <w:pStyle w:val="Tabletext"/>
              <w:jc w:val="right"/>
              <w:rPr>
                <w:rFonts w:eastAsiaTheme="minorEastAsia" w:cstheme="minorHAnsi"/>
                <w:szCs w:val="22"/>
              </w:rPr>
            </w:pPr>
            <w:r w:rsidRPr="005E36EF">
              <w:t>253,7</w:t>
            </w:r>
          </w:p>
        </w:tc>
        <w:tc>
          <w:tcPr>
            <w:tcW w:w="1234" w:type="dxa"/>
            <w:gridSpan w:val="2"/>
            <w:vAlign w:val="bottom"/>
          </w:tcPr>
          <w:p w14:paraId="6F28D6AE" w14:textId="77777777" w:rsidR="00416430" w:rsidRPr="005E36EF" w:rsidRDefault="00416430" w:rsidP="003631C1">
            <w:pPr>
              <w:pStyle w:val="Tabletext"/>
              <w:jc w:val="right"/>
              <w:rPr>
                <w:rFonts w:eastAsiaTheme="minorEastAsia" w:cstheme="minorHAnsi"/>
                <w:szCs w:val="22"/>
                <w:lang w:eastAsia="zh-CN"/>
              </w:rPr>
            </w:pPr>
          </w:p>
        </w:tc>
        <w:tc>
          <w:tcPr>
            <w:tcW w:w="1169" w:type="dxa"/>
            <w:vAlign w:val="bottom"/>
            <w:hideMark/>
          </w:tcPr>
          <w:p w14:paraId="0CC0CF3E" w14:textId="77777777" w:rsidR="00416430" w:rsidRPr="005E36EF" w:rsidRDefault="00416430" w:rsidP="003631C1">
            <w:pPr>
              <w:pStyle w:val="Tabletext"/>
              <w:jc w:val="right"/>
              <w:rPr>
                <w:rFonts w:eastAsiaTheme="minorEastAsia" w:cstheme="minorHAnsi"/>
                <w:szCs w:val="22"/>
              </w:rPr>
            </w:pPr>
            <w:r w:rsidRPr="005E36EF">
              <w:t>443,8</w:t>
            </w:r>
          </w:p>
        </w:tc>
        <w:tc>
          <w:tcPr>
            <w:tcW w:w="1424" w:type="dxa"/>
            <w:shd w:val="clear" w:color="auto" w:fill="DBE5F1" w:themeFill="accent1" w:themeFillTint="33"/>
            <w:vAlign w:val="bottom"/>
            <w:hideMark/>
          </w:tcPr>
          <w:p w14:paraId="5BDB4514" w14:textId="77777777" w:rsidR="00416430" w:rsidRPr="005E36EF" w:rsidRDefault="00416430" w:rsidP="003631C1">
            <w:pPr>
              <w:pStyle w:val="Tabletext"/>
              <w:jc w:val="right"/>
              <w:rPr>
                <w:rFonts w:eastAsiaTheme="minorEastAsia" w:cstheme="minorHAnsi"/>
                <w:b/>
                <w:bCs/>
                <w:szCs w:val="22"/>
              </w:rPr>
            </w:pPr>
            <w:r w:rsidRPr="005E36EF">
              <w:rPr>
                <w:b/>
                <w:bCs/>
              </w:rPr>
              <w:t>697,5</w:t>
            </w:r>
          </w:p>
        </w:tc>
      </w:tr>
      <w:tr w:rsidR="00416430" w:rsidRPr="005E36EF" w14:paraId="2E80071D" w14:textId="77777777" w:rsidTr="003631C1">
        <w:trPr>
          <w:trHeight w:val="54"/>
          <w:jc w:val="center"/>
        </w:trPr>
        <w:tc>
          <w:tcPr>
            <w:tcW w:w="1276" w:type="dxa"/>
            <w:vAlign w:val="bottom"/>
            <w:hideMark/>
          </w:tcPr>
          <w:p w14:paraId="48D1E092" w14:textId="77777777" w:rsidR="00416430" w:rsidRPr="005E36EF" w:rsidRDefault="00416430" w:rsidP="003631C1">
            <w:pPr>
              <w:pStyle w:val="Tabletext"/>
              <w:rPr>
                <w:rFonts w:cstheme="minorHAnsi"/>
                <w:szCs w:val="22"/>
              </w:rPr>
            </w:pPr>
            <w:r w:rsidRPr="005E36EF">
              <w:t>EUR</w:t>
            </w:r>
          </w:p>
        </w:tc>
        <w:tc>
          <w:tcPr>
            <w:tcW w:w="1026" w:type="dxa"/>
            <w:vAlign w:val="bottom"/>
            <w:hideMark/>
          </w:tcPr>
          <w:p w14:paraId="36A126F1" w14:textId="77777777" w:rsidR="00416430" w:rsidRPr="005E36EF" w:rsidRDefault="00416430" w:rsidP="003631C1">
            <w:pPr>
              <w:pStyle w:val="Tabletext"/>
              <w:jc w:val="center"/>
              <w:rPr>
                <w:rFonts w:eastAsiaTheme="minorEastAsia" w:cstheme="minorHAnsi"/>
                <w:szCs w:val="22"/>
              </w:rPr>
            </w:pPr>
            <w:r w:rsidRPr="005E36EF">
              <w:t>2</w:t>
            </w:r>
          </w:p>
        </w:tc>
        <w:tc>
          <w:tcPr>
            <w:tcW w:w="1384" w:type="dxa"/>
            <w:vAlign w:val="bottom"/>
            <w:hideMark/>
          </w:tcPr>
          <w:p w14:paraId="5F5FC696" w14:textId="77777777" w:rsidR="00416430" w:rsidRPr="005E36EF" w:rsidRDefault="00416430" w:rsidP="003631C1">
            <w:pPr>
              <w:pStyle w:val="Tabletext"/>
              <w:jc w:val="right"/>
              <w:rPr>
                <w:rFonts w:eastAsiaTheme="minorEastAsia" w:cstheme="minorHAnsi"/>
                <w:szCs w:val="22"/>
              </w:rPr>
            </w:pPr>
            <w:r w:rsidRPr="005E36EF">
              <w:t>3 642,5</w:t>
            </w:r>
          </w:p>
        </w:tc>
        <w:tc>
          <w:tcPr>
            <w:tcW w:w="1234" w:type="dxa"/>
            <w:gridSpan w:val="2"/>
            <w:vAlign w:val="bottom"/>
          </w:tcPr>
          <w:p w14:paraId="78525CED" w14:textId="77777777" w:rsidR="00416430" w:rsidRPr="005E36EF" w:rsidRDefault="00416430" w:rsidP="003631C1">
            <w:pPr>
              <w:pStyle w:val="Tabletext"/>
              <w:jc w:val="right"/>
              <w:rPr>
                <w:rFonts w:eastAsiaTheme="minorEastAsia" w:cstheme="minorHAnsi"/>
                <w:szCs w:val="22"/>
                <w:lang w:eastAsia="zh-CN"/>
              </w:rPr>
            </w:pPr>
          </w:p>
        </w:tc>
        <w:tc>
          <w:tcPr>
            <w:tcW w:w="1169" w:type="dxa"/>
            <w:vAlign w:val="bottom"/>
            <w:hideMark/>
          </w:tcPr>
          <w:p w14:paraId="0AC3FAA5" w14:textId="77777777" w:rsidR="00416430" w:rsidRPr="005E36EF" w:rsidRDefault="00416430" w:rsidP="003631C1">
            <w:pPr>
              <w:pStyle w:val="Tabletext"/>
              <w:jc w:val="right"/>
              <w:rPr>
                <w:rFonts w:eastAsiaTheme="minorEastAsia" w:cstheme="minorHAnsi"/>
                <w:szCs w:val="22"/>
              </w:rPr>
            </w:pPr>
            <w:r w:rsidRPr="005E36EF">
              <w:t>47,5</w:t>
            </w:r>
          </w:p>
        </w:tc>
        <w:tc>
          <w:tcPr>
            <w:tcW w:w="1424" w:type="dxa"/>
            <w:shd w:val="clear" w:color="auto" w:fill="DBE5F1" w:themeFill="accent1" w:themeFillTint="33"/>
            <w:vAlign w:val="bottom"/>
            <w:hideMark/>
          </w:tcPr>
          <w:p w14:paraId="1B7339E0" w14:textId="77777777" w:rsidR="00416430" w:rsidRPr="005E36EF" w:rsidRDefault="00416430" w:rsidP="003631C1">
            <w:pPr>
              <w:pStyle w:val="Tabletext"/>
              <w:jc w:val="right"/>
              <w:rPr>
                <w:rFonts w:eastAsiaTheme="minorEastAsia" w:cstheme="minorHAnsi"/>
                <w:b/>
                <w:bCs/>
                <w:szCs w:val="22"/>
              </w:rPr>
            </w:pPr>
            <w:r w:rsidRPr="005E36EF">
              <w:rPr>
                <w:b/>
                <w:bCs/>
              </w:rPr>
              <w:t>3 690,1</w:t>
            </w:r>
          </w:p>
        </w:tc>
      </w:tr>
      <w:tr w:rsidR="00416430" w:rsidRPr="005E36EF" w14:paraId="5DFC70B3" w14:textId="77777777" w:rsidTr="003631C1">
        <w:trPr>
          <w:trHeight w:val="54"/>
          <w:jc w:val="center"/>
        </w:trPr>
        <w:tc>
          <w:tcPr>
            <w:tcW w:w="1276" w:type="dxa"/>
            <w:hideMark/>
          </w:tcPr>
          <w:p w14:paraId="009DBAFB" w14:textId="77777777" w:rsidR="00416430" w:rsidRPr="005E36EF" w:rsidRDefault="00416430" w:rsidP="003631C1">
            <w:pPr>
              <w:pStyle w:val="Tabletext"/>
              <w:rPr>
                <w:rFonts w:cstheme="minorHAnsi"/>
                <w:szCs w:val="22"/>
              </w:rPr>
            </w:pPr>
            <w:r w:rsidRPr="005E36EF">
              <w:t>Plusieurs régions (*)</w:t>
            </w:r>
            <w:bookmarkStart w:id="88" w:name="_Hlk161739046"/>
            <w:bookmarkEnd w:id="88"/>
          </w:p>
        </w:tc>
        <w:tc>
          <w:tcPr>
            <w:tcW w:w="1026" w:type="dxa"/>
            <w:noWrap/>
            <w:vAlign w:val="bottom"/>
            <w:hideMark/>
          </w:tcPr>
          <w:p w14:paraId="3E1AE1B0" w14:textId="77777777" w:rsidR="00416430" w:rsidRPr="005E36EF" w:rsidRDefault="00416430" w:rsidP="003631C1">
            <w:pPr>
              <w:pStyle w:val="Tabletext"/>
              <w:jc w:val="center"/>
              <w:rPr>
                <w:rFonts w:eastAsiaTheme="minorEastAsia" w:cstheme="minorHAnsi"/>
                <w:szCs w:val="22"/>
              </w:rPr>
            </w:pPr>
            <w:r w:rsidRPr="005E36EF">
              <w:t>33</w:t>
            </w:r>
          </w:p>
        </w:tc>
        <w:tc>
          <w:tcPr>
            <w:tcW w:w="1384" w:type="dxa"/>
            <w:vAlign w:val="bottom"/>
            <w:hideMark/>
          </w:tcPr>
          <w:p w14:paraId="2850E0C0" w14:textId="77777777" w:rsidR="00416430" w:rsidRPr="005E36EF" w:rsidRDefault="00416430" w:rsidP="003631C1">
            <w:pPr>
              <w:pStyle w:val="Tabletext"/>
              <w:jc w:val="right"/>
              <w:rPr>
                <w:rFonts w:eastAsiaTheme="minorEastAsia" w:cstheme="minorHAnsi"/>
                <w:szCs w:val="22"/>
              </w:rPr>
            </w:pPr>
            <w:r w:rsidRPr="005E36EF">
              <w:t>27 794,1</w:t>
            </w:r>
          </w:p>
        </w:tc>
        <w:tc>
          <w:tcPr>
            <w:tcW w:w="1234" w:type="dxa"/>
            <w:gridSpan w:val="2"/>
            <w:vAlign w:val="bottom"/>
            <w:hideMark/>
          </w:tcPr>
          <w:p w14:paraId="41CAF373" w14:textId="77777777" w:rsidR="00416430" w:rsidRPr="005E36EF" w:rsidRDefault="00416430" w:rsidP="003631C1">
            <w:pPr>
              <w:pStyle w:val="Tabletext"/>
              <w:jc w:val="right"/>
              <w:rPr>
                <w:rFonts w:eastAsiaTheme="minorEastAsia" w:cstheme="minorHAnsi"/>
                <w:szCs w:val="22"/>
              </w:rPr>
            </w:pPr>
            <w:r w:rsidRPr="005E36EF">
              <w:t>4 394,6</w:t>
            </w:r>
          </w:p>
        </w:tc>
        <w:tc>
          <w:tcPr>
            <w:tcW w:w="1169" w:type="dxa"/>
            <w:vAlign w:val="bottom"/>
            <w:hideMark/>
          </w:tcPr>
          <w:p w14:paraId="21EA6A7B" w14:textId="77777777" w:rsidR="00416430" w:rsidRPr="005E36EF" w:rsidRDefault="00416430" w:rsidP="003631C1">
            <w:pPr>
              <w:pStyle w:val="Tabletext"/>
              <w:jc w:val="right"/>
              <w:rPr>
                <w:rFonts w:eastAsiaTheme="minorEastAsia" w:cstheme="minorHAnsi"/>
                <w:szCs w:val="22"/>
              </w:rPr>
            </w:pPr>
            <w:r w:rsidRPr="005E36EF">
              <w:t>1 551,8</w:t>
            </w:r>
          </w:p>
        </w:tc>
        <w:tc>
          <w:tcPr>
            <w:tcW w:w="1424" w:type="dxa"/>
            <w:shd w:val="clear" w:color="auto" w:fill="DBE5F1" w:themeFill="accent1" w:themeFillTint="33"/>
            <w:vAlign w:val="bottom"/>
            <w:hideMark/>
          </w:tcPr>
          <w:p w14:paraId="3903B325" w14:textId="77777777" w:rsidR="00416430" w:rsidRPr="005E36EF" w:rsidRDefault="00416430" w:rsidP="003631C1">
            <w:pPr>
              <w:pStyle w:val="Tabletext"/>
              <w:jc w:val="right"/>
              <w:rPr>
                <w:rFonts w:eastAsiaTheme="minorEastAsia" w:cstheme="minorHAnsi"/>
                <w:b/>
                <w:bCs/>
                <w:szCs w:val="22"/>
              </w:rPr>
            </w:pPr>
            <w:r w:rsidRPr="005E36EF">
              <w:rPr>
                <w:b/>
                <w:bCs/>
              </w:rPr>
              <w:t>34 122,8</w:t>
            </w:r>
          </w:p>
        </w:tc>
      </w:tr>
      <w:tr w:rsidR="00416430" w:rsidRPr="005E36EF" w14:paraId="6DAC21C6" w14:textId="77777777" w:rsidTr="003631C1">
        <w:trPr>
          <w:trHeight w:val="54"/>
          <w:jc w:val="center"/>
        </w:trPr>
        <w:tc>
          <w:tcPr>
            <w:tcW w:w="1276" w:type="dxa"/>
            <w:shd w:val="clear" w:color="auto" w:fill="DBE5F1" w:themeFill="accent1" w:themeFillTint="33"/>
            <w:noWrap/>
            <w:vAlign w:val="center"/>
            <w:hideMark/>
          </w:tcPr>
          <w:p w14:paraId="387C7033" w14:textId="77777777" w:rsidR="00416430" w:rsidRPr="005E36EF" w:rsidRDefault="00416430" w:rsidP="003631C1">
            <w:pPr>
              <w:pStyle w:val="Tabletext"/>
              <w:rPr>
                <w:rFonts w:cstheme="minorHAnsi"/>
                <w:b/>
                <w:bCs/>
                <w:szCs w:val="22"/>
              </w:rPr>
            </w:pPr>
            <w:r w:rsidRPr="005E36EF">
              <w:rPr>
                <w:b/>
                <w:bCs/>
              </w:rPr>
              <w:t>Total</w:t>
            </w:r>
          </w:p>
        </w:tc>
        <w:tc>
          <w:tcPr>
            <w:tcW w:w="1026" w:type="dxa"/>
            <w:shd w:val="clear" w:color="auto" w:fill="DBE5F1" w:themeFill="accent1" w:themeFillTint="33"/>
            <w:noWrap/>
            <w:vAlign w:val="bottom"/>
            <w:hideMark/>
          </w:tcPr>
          <w:p w14:paraId="18E920F5" w14:textId="77777777" w:rsidR="00416430" w:rsidRPr="005E36EF" w:rsidRDefault="00416430" w:rsidP="003631C1">
            <w:pPr>
              <w:pStyle w:val="Tabletext"/>
              <w:jc w:val="center"/>
              <w:rPr>
                <w:rFonts w:eastAsiaTheme="minorEastAsia" w:cstheme="minorHAnsi"/>
                <w:b/>
                <w:bCs/>
                <w:szCs w:val="22"/>
              </w:rPr>
            </w:pPr>
            <w:r w:rsidRPr="005E36EF">
              <w:rPr>
                <w:b/>
                <w:bCs/>
              </w:rPr>
              <w:t>87</w:t>
            </w:r>
          </w:p>
        </w:tc>
        <w:tc>
          <w:tcPr>
            <w:tcW w:w="1384" w:type="dxa"/>
            <w:shd w:val="clear" w:color="auto" w:fill="DBE5F1" w:themeFill="accent1" w:themeFillTint="33"/>
            <w:noWrap/>
            <w:vAlign w:val="bottom"/>
            <w:hideMark/>
          </w:tcPr>
          <w:p w14:paraId="42A214F8" w14:textId="77777777" w:rsidR="00416430" w:rsidRPr="005E36EF" w:rsidRDefault="00416430" w:rsidP="003631C1">
            <w:pPr>
              <w:pStyle w:val="Tabletext"/>
              <w:jc w:val="right"/>
              <w:rPr>
                <w:rFonts w:eastAsiaTheme="minorEastAsia" w:cstheme="minorHAnsi"/>
                <w:b/>
                <w:bCs/>
                <w:szCs w:val="22"/>
              </w:rPr>
            </w:pPr>
            <w:r w:rsidRPr="005E36EF">
              <w:rPr>
                <w:b/>
                <w:bCs/>
              </w:rPr>
              <w:t>94 795,3</w:t>
            </w:r>
          </w:p>
        </w:tc>
        <w:tc>
          <w:tcPr>
            <w:tcW w:w="1234" w:type="dxa"/>
            <w:gridSpan w:val="2"/>
            <w:shd w:val="clear" w:color="auto" w:fill="DBE5F1" w:themeFill="accent1" w:themeFillTint="33"/>
            <w:noWrap/>
            <w:vAlign w:val="bottom"/>
            <w:hideMark/>
          </w:tcPr>
          <w:p w14:paraId="5F0B5040" w14:textId="77777777" w:rsidR="00416430" w:rsidRPr="005E36EF" w:rsidRDefault="00416430" w:rsidP="003631C1">
            <w:pPr>
              <w:pStyle w:val="Tabletext"/>
              <w:jc w:val="right"/>
              <w:rPr>
                <w:rFonts w:eastAsiaTheme="minorEastAsia" w:cstheme="minorHAnsi"/>
                <w:b/>
                <w:bCs/>
                <w:szCs w:val="22"/>
              </w:rPr>
            </w:pPr>
            <w:r w:rsidRPr="005E36EF">
              <w:rPr>
                <w:b/>
                <w:bCs/>
              </w:rPr>
              <w:t>6 499,5</w:t>
            </w:r>
          </w:p>
        </w:tc>
        <w:tc>
          <w:tcPr>
            <w:tcW w:w="1169" w:type="dxa"/>
            <w:shd w:val="clear" w:color="auto" w:fill="DBE5F1" w:themeFill="accent1" w:themeFillTint="33"/>
            <w:noWrap/>
            <w:vAlign w:val="bottom"/>
            <w:hideMark/>
          </w:tcPr>
          <w:p w14:paraId="50127F24" w14:textId="77777777" w:rsidR="00416430" w:rsidRPr="005E36EF" w:rsidRDefault="00416430" w:rsidP="003631C1">
            <w:pPr>
              <w:pStyle w:val="Tabletext"/>
              <w:jc w:val="right"/>
              <w:rPr>
                <w:rFonts w:eastAsiaTheme="minorEastAsia" w:cstheme="minorHAnsi"/>
                <w:b/>
                <w:bCs/>
                <w:szCs w:val="22"/>
              </w:rPr>
            </w:pPr>
            <w:r w:rsidRPr="005E36EF">
              <w:rPr>
                <w:b/>
                <w:bCs/>
              </w:rPr>
              <w:t>3 908,7</w:t>
            </w:r>
          </w:p>
        </w:tc>
        <w:tc>
          <w:tcPr>
            <w:tcW w:w="1424" w:type="dxa"/>
            <w:shd w:val="clear" w:color="auto" w:fill="DBE5F1" w:themeFill="accent1" w:themeFillTint="33"/>
            <w:noWrap/>
            <w:vAlign w:val="bottom"/>
            <w:hideMark/>
          </w:tcPr>
          <w:p w14:paraId="70A46463" w14:textId="77777777" w:rsidR="00416430" w:rsidRPr="005E36EF" w:rsidRDefault="00416430" w:rsidP="003631C1">
            <w:pPr>
              <w:pStyle w:val="Tabletext"/>
              <w:jc w:val="right"/>
              <w:rPr>
                <w:rFonts w:eastAsiaTheme="minorEastAsia" w:cstheme="minorHAnsi"/>
                <w:b/>
                <w:bCs/>
                <w:szCs w:val="22"/>
              </w:rPr>
            </w:pPr>
            <w:r w:rsidRPr="005E36EF">
              <w:rPr>
                <w:b/>
                <w:bCs/>
              </w:rPr>
              <w:t>106 402,4</w:t>
            </w:r>
          </w:p>
        </w:tc>
      </w:tr>
    </w:tbl>
    <w:p w14:paraId="7F9893D9" w14:textId="4E4E4C0B" w:rsidR="00416430" w:rsidRPr="005E36EF" w:rsidRDefault="00416430" w:rsidP="00416430">
      <w:pPr>
        <w:pStyle w:val="Tablelegend"/>
        <w:ind w:firstLine="851"/>
      </w:pPr>
      <w:r w:rsidRPr="005E36EF">
        <w:t>(*)</w:t>
      </w:r>
      <w:r w:rsidRPr="005E36EF">
        <w:tab/>
        <w:t>Projets multirégionaux dont bénéficient toutes les régions.</w:t>
      </w:r>
    </w:p>
    <w:p w14:paraId="2CC822CE" w14:textId="7FEB77FE" w:rsidR="00950805" w:rsidRPr="005E36EF" w:rsidRDefault="00950805" w:rsidP="004D0CA8">
      <w:r w:rsidRPr="005E36EF">
        <w:t xml:space="preserve">Le </w:t>
      </w:r>
      <w:hyperlink r:id="rId173" w:anchor=":~:text=The%20ITU%20Area%20Office%20and,sustainable%20development%20in%20South%20Asia." w:history="1">
        <w:r w:rsidRPr="005E36EF">
          <w:rPr>
            <w:rStyle w:val="Hyperlink"/>
            <w:b/>
            <w:bCs/>
          </w:rPr>
          <w:t>Bureau de zone et centre d'innovation de l'UIT</w:t>
        </w:r>
      </w:hyperlink>
      <w:r w:rsidRPr="005E36EF">
        <w:t xml:space="preserve"> à New Delhi (Inde) a été officiellement inauguré le 22 mars 2023, symbole du renforcement de la présence de l'UIT en vue de promouvoir les technologies et le développement durable en Asie du </w:t>
      </w:r>
      <w:r w:rsidR="004D0CA8" w:rsidRPr="005E36EF">
        <w:t>s</w:t>
      </w:r>
      <w:r w:rsidRPr="005E36EF">
        <w:t>ud. Ce nouveau bureau situé dans la capitale indienne comprend le tout premier centre d'innovation de l'UIT, ce qui en fait un pôle pour la promotion des technologies d'avant-garde au sein et à l'extérieur de la région.</w:t>
      </w:r>
    </w:p>
    <w:p w14:paraId="1B6CF3D4" w14:textId="77777777" w:rsidR="00416430" w:rsidRPr="005E36EF" w:rsidRDefault="00416430" w:rsidP="004D0CA8">
      <w:pPr>
        <w:pStyle w:val="Heading1"/>
        <w:keepNext w:val="0"/>
        <w:keepLines w:val="0"/>
      </w:pPr>
      <w:bookmarkStart w:id="89" w:name="_Toc166500763"/>
      <w:r w:rsidRPr="005E36EF">
        <w:t>9</w:t>
      </w:r>
      <w:r w:rsidRPr="005E36EF">
        <w:tab/>
        <w:t>Approche de l'UIT reposant sur les contributions de ses membres</w:t>
      </w:r>
      <w:bookmarkEnd w:id="89"/>
    </w:p>
    <w:p w14:paraId="3DD2D991" w14:textId="77777777" w:rsidR="00416430" w:rsidRPr="005E36EF" w:rsidRDefault="00416430" w:rsidP="004D0CA8">
      <w:pPr>
        <w:spacing w:after="240"/>
      </w:pPr>
      <w:r w:rsidRPr="005E36EF">
        <w:t>L'UIT répond avant tout aux besoins de ses 193 États Membres, ainsi qu'à ceux des plus de 1 000 entreprises, organisations et établissements universitaires qui participent à ses travaux en tant que Membres de Secteur. Cette approche reposant sur les contributions des membres permet à l'organisation de rester concentrée sur ses travaux, de les mener en temps opportun et de veiller à leur pertinence, tout en répondant à des demandes ou à des besoins spécifiques à mesure qu'ils se présentent.</w:t>
      </w:r>
    </w:p>
    <w:p w14:paraId="5CF16970" w14:textId="77777777" w:rsidR="00416430" w:rsidRPr="005E36EF" w:rsidRDefault="00416430" w:rsidP="004D0CA8">
      <w:pPr>
        <w:pStyle w:val="Figure"/>
        <w:keepNext w:val="0"/>
        <w:keepLines w:val="0"/>
      </w:pPr>
      <w:r w:rsidRPr="005E36EF">
        <w:rPr>
          <w:noProof/>
        </w:rPr>
        <w:drawing>
          <wp:inline distT="0" distB="0" distL="0" distR="0" wp14:anchorId="0B58B695" wp14:editId="65612D9F">
            <wp:extent cx="5760085" cy="1210945"/>
            <wp:effectExtent l="0" t="0" r="0" b="6985"/>
            <wp:docPr id="7" name="Picture 7" descr="A blue and white rectangular box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white rectangular box with numbers and text&#10;&#10;Description automatically generated"/>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760085" cy="1210945"/>
                    </a:xfrm>
                    <a:prstGeom prst="rect">
                      <a:avLst/>
                    </a:prstGeom>
                    <a:noFill/>
                    <a:ln>
                      <a:noFill/>
                    </a:ln>
                  </pic:spPr>
                </pic:pic>
              </a:graphicData>
            </a:graphic>
          </wp:inline>
        </w:drawing>
      </w:r>
    </w:p>
    <w:p w14:paraId="3466DEC1" w14:textId="77777777" w:rsidR="00416430" w:rsidRPr="005E36EF" w:rsidRDefault="00416430" w:rsidP="004D0CA8">
      <w:pPr>
        <w:keepNext/>
        <w:keepLines/>
        <w:spacing w:before="240"/>
      </w:pPr>
      <w:r w:rsidRPr="005E36EF">
        <w:lastRenderedPageBreak/>
        <w:t>L'UIT compte aujourd'hui 989 entités membres distinctes (+93/+29 nouvelles entités en un an) qui sont Membres de Secteur, Associés ou établissements universitaires participant aux travaux de l'UIT. La quasi-totalité des adhésions correspondent à de nouvelles entités: 108 nouvelles entités sont devenues membres en 2023, tandis que 7 membres ont opté pour une catégorie de membre supérieure.</w:t>
      </w:r>
    </w:p>
    <w:p w14:paraId="697C6F9F" w14:textId="77777777" w:rsidR="00416430" w:rsidRPr="005E36EF" w:rsidRDefault="00416430" w:rsidP="00416430">
      <w:pPr>
        <w:pStyle w:val="enumlev1"/>
      </w:pPr>
      <w:r w:rsidRPr="005E36EF">
        <w:t>•</w:t>
      </w:r>
      <w:r w:rsidRPr="005E36EF">
        <w:tab/>
        <w:t>On compte au total 1 324 membres, tous Secteurs confondus, dont 108 nouveaux membres et 66 membres en moins, qui ont fait l'objet d'une dénonciation ou ont été exclus.</w:t>
      </w:r>
    </w:p>
    <w:p w14:paraId="65D31AF9" w14:textId="77777777" w:rsidR="00416430" w:rsidRPr="005E36EF" w:rsidRDefault="00416430" w:rsidP="00416430">
      <w:pPr>
        <w:pStyle w:val="enumlev1"/>
      </w:pPr>
      <w:r w:rsidRPr="005E36EF">
        <w:t>•</w:t>
      </w:r>
      <w:r w:rsidRPr="005E36EF">
        <w:tab/>
        <w:t>Les Membres de Secteur représentent 48% de l'ensemble des nouvelles adhésions (31% en 2022), les Associés, 36% (46% en 2022), et les établissements universitaires participant aux travaux de l'UIT, 16% (23% en 2022).</w:t>
      </w:r>
    </w:p>
    <w:p w14:paraId="6EBEB818" w14:textId="77777777" w:rsidR="00416430" w:rsidRPr="005E36EF" w:rsidRDefault="00416430" w:rsidP="00416430">
      <w:pPr>
        <w:pStyle w:val="enumlev1"/>
      </w:pPr>
      <w:r w:rsidRPr="005E36EF">
        <w:t>•</w:t>
      </w:r>
      <w:r w:rsidRPr="005E36EF">
        <w:tab/>
        <w:t>Tendance positive/stable dans tous les Secteurs: UIT-R (augmentation nette de 15 membres), UIT-T (augmentation nette de 13 membres), UIT-D (augmentation nette de 15 membres), établissements universitaires (diminution nette d'un membre).</w:t>
      </w:r>
    </w:p>
    <w:p w14:paraId="25A9514E" w14:textId="77777777" w:rsidR="00416430" w:rsidRPr="005E36EF" w:rsidRDefault="00416430" w:rsidP="00416430">
      <w:pPr>
        <w:pStyle w:val="enumlev1"/>
      </w:pPr>
      <w:r w:rsidRPr="005E36EF">
        <w:t>•</w:t>
      </w:r>
      <w:r w:rsidRPr="005E36EF">
        <w:tab/>
        <w:t>Comparaison avec les chiffres de 2022. Alors que l'augmentation du nombre d'adhésions concernait principalement les régions Europe (augmentation nette de 22 membres) et Asie-Pacifique (augmentation nette de 16 membres), en 2023, presque toutes les régions ont vu leur nombre de membres croître: Amériques (+12), International (+12), Asie-Pacifique (+10), États arabes (+5), Europe (+4) et Afrique (+2).</w:t>
      </w:r>
    </w:p>
    <w:p w14:paraId="6BA0D60E" w14:textId="77777777" w:rsidR="00416430" w:rsidRPr="005E36EF" w:rsidRDefault="00416430" w:rsidP="00416430">
      <w:pPr>
        <w:pStyle w:val="enumlev1"/>
      </w:pPr>
      <w:r w:rsidRPr="005E36EF">
        <w:t>•</w:t>
      </w:r>
      <w:r w:rsidRPr="005E36EF">
        <w:tab/>
        <w:t>La contribution attendue n'a que légèrement augmenté pour atteindre un peu plus de 17 millions CHF, en dépit de l'augmentation nette du nombre de membres. Cela s'explique par l'augmentation du nombre de membres relevant de catégories redevables de contributions peu élevées et d'entités bénéficiant d'une exonération. En 2023, on observe néanmoins une progression encourageante du nombre de Membres de Secteur versant une demi-unité contributive (augmentation nette de 8 membres).</w:t>
      </w:r>
    </w:p>
    <w:p w14:paraId="1440C42F" w14:textId="77777777" w:rsidR="00416430" w:rsidRPr="005E36EF" w:rsidRDefault="00416430" w:rsidP="00416430">
      <w:pPr>
        <w:pStyle w:val="enumlev1"/>
        <w:keepNext/>
        <w:keepLines/>
      </w:pPr>
      <w:r w:rsidRPr="005E36EF">
        <w:t>•</w:t>
      </w:r>
      <w:r w:rsidRPr="005E36EF">
        <w:tab/>
        <w:t>La communauté des PME s'agrandit, mais à un rythme légèrement plus lent qu'en 2022. Parmi les associés bénéficiant de l'option de contribution réduite accordée aux PME (disponible depuis janvier 2020), 88 membres (66 de l'UIT-T et 22 de l'UIT-R) ont bénéficié de la réduction de contributions réduites et on a constaté une augmentation nette de 15 entités membres en 2023 (augmentation nette de 24 entités membres en 2022).</w:t>
      </w:r>
    </w:p>
    <w:p w14:paraId="13B30489" w14:textId="77777777" w:rsidR="00416430" w:rsidRPr="005E36EF" w:rsidRDefault="00416430" w:rsidP="00416430">
      <w:r w:rsidRPr="005E36EF">
        <w:rPr>
          <w:u w:val="single"/>
        </w:rPr>
        <w:t>Perspectives pour 2024</w:t>
      </w:r>
      <w:r w:rsidRPr="005E36EF">
        <w:t>:</w:t>
      </w:r>
    </w:p>
    <w:p w14:paraId="55C1BDDB" w14:textId="77777777" w:rsidR="00416430" w:rsidRPr="005E36EF" w:rsidRDefault="00416430" w:rsidP="00416430">
      <w:pPr>
        <w:pStyle w:val="enumlev1"/>
      </w:pPr>
      <w:r w:rsidRPr="005E36EF">
        <w:t>•</w:t>
      </w:r>
      <w:r w:rsidRPr="005E36EF">
        <w:tab/>
        <w:t>En cours: 66 demandes en attente d'approbation administrative et 31 demandes de paiement en attente.</w:t>
      </w:r>
    </w:p>
    <w:p w14:paraId="049D5C58" w14:textId="77777777" w:rsidR="00416430" w:rsidRPr="005E36EF" w:rsidRDefault="00416430" w:rsidP="00416430">
      <w:pPr>
        <w:pStyle w:val="enumlev1"/>
      </w:pPr>
      <w:r w:rsidRPr="005E36EF">
        <w:t>•</w:t>
      </w:r>
      <w:r w:rsidRPr="005E36EF">
        <w:tab/>
        <w:t>La fidélisation reste un problème: l'UIT a perdu 66 membres en 2023.</w:t>
      </w:r>
    </w:p>
    <w:p w14:paraId="23EC5105" w14:textId="77777777" w:rsidR="00416430" w:rsidRPr="005E36EF" w:rsidRDefault="00416430" w:rsidP="00416430">
      <w:r w:rsidRPr="005E36EF">
        <w:rPr>
          <w:u w:val="single"/>
        </w:rPr>
        <w:t>Risques financiers</w:t>
      </w:r>
      <w:r w:rsidRPr="005E36EF">
        <w:t>:</w:t>
      </w:r>
    </w:p>
    <w:p w14:paraId="3BECF75F" w14:textId="77777777" w:rsidR="00416430" w:rsidRPr="005E36EF" w:rsidRDefault="00416430" w:rsidP="00416430">
      <w:pPr>
        <w:pStyle w:val="enumlev1"/>
      </w:pPr>
      <w:r w:rsidRPr="005E36EF">
        <w:t>•</w:t>
      </w:r>
      <w:r w:rsidRPr="005E36EF">
        <w:tab/>
        <w:t>130 entités membres représentent 50% des recettes totales provenant des contributions des membres, soit 8,5 millions CHF.</w:t>
      </w:r>
    </w:p>
    <w:p w14:paraId="0CDAC717" w14:textId="77777777" w:rsidR="00416430" w:rsidRPr="005E36EF" w:rsidRDefault="00416430" w:rsidP="00416430">
      <w:pPr>
        <w:pStyle w:val="enumlev1"/>
        <w:spacing w:after="240"/>
      </w:pPr>
      <w:r w:rsidRPr="005E36EF">
        <w:t>•</w:t>
      </w:r>
      <w:r w:rsidRPr="005E36EF">
        <w:tab/>
        <w:t>Actuellement, la participation de 38 membres est suspendue et elle est gelée pour 25 autres, ce qui représente un montant de 582 000 CHF.</w:t>
      </w:r>
    </w:p>
    <w:p w14:paraId="40146D16" w14:textId="00DE8E5B" w:rsidR="00416430" w:rsidRPr="005E36EF" w:rsidRDefault="00416430" w:rsidP="00416430">
      <w:pPr>
        <w:pStyle w:val="Figure"/>
        <w:rPr>
          <w:lang w:eastAsia="fr-FR"/>
        </w:rPr>
      </w:pPr>
      <w:r w:rsidRPr="005E36EF">
        <w:rPr>
          <w:noProof/>
          <w:lang w:eastAsia="fr-FR"/>
        </w:rPr>
        <w:lastRenderedPageBreak/>
        <w:drawing>
          <wp:inline distT="0" distB="0" distL="0" distR="0" wp14:anchorId="5C200F24" wp14:editId="54F1C4E0">
            <wp:extent cx="5760085" cy="3227070"/>
            <wp:effectExtent l="0" t="0" r="0" b="0"/>
            <wp:docPr id="14203631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63113" name="Picture 1" descr="A screenshot of a computer&#10;&#10;Description automatically generated"/>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760085" cy="3227070"/>
                    </a:xfrm>
                    <a:prstGeom prst="rect">
                      <a:avLst/>
                    </a:prstGeom>
                    <a:noFill/>
                    <a:ln>
                      <a:noFill/>
                    </a:ln>
                  </pic:spPr>
                </pic:pic>
              </a:graphicData>
            </a:graphic>
          </wp:inline>
        </w:drawing>
      </w:r>
    </w:p>
    <w:p w14:paraId="7507F752" w14:textId="43473A81" w:rsidR="00950805" w:rsidRPr="005E36EF" w:rsidRDefault="00950805" w:rsidP="004D0CA8">
      <w:pPr>
        <w:pStyle w:val="Heading1"/>
        <w:rPr>
          <w:lang w:eastAsia="fr-FR"/>
        </w:rPr>
      </w:pPr>
      <w:bookmarkStart w:id="90" w:name="_Toc166500764"/>
      <w:r w:rsidRPr="005E36EF">
        <w:rPr>
          <w:lang w:eastAsia="fr-FR"/>
        </w:rPr>
        <w:t>10</w:t>
      </w:r>
      <w:r w:rsidR="004D0CA8" w:rsidRPr="005E36EF">
        <w:rPr>
          <w:lang w:eastAsia="fr-FR"/>
        </w:rPr>
        <w:tab/>
      </w:r>
      <w:r w:rsidRPr="005E36EF">
        <w:rPr>
          <w:lang w:eastAsia="fr-FR"/>
        </w:rPr>
        <w:t>Mise en œuvre des Résolutions de la Conférence de plénipotentiaires</w:t>
      </w:r>
      <w:bookmarkEnd w:id="90"/>
    </w:p>
    <w:p w14:paraId="3D264F0A" w14:textId="4DDF48E4" w:rsidR="00950805" w:rsidRPr="005E36EF" w:rsidRDefault="00950805" w:rsidP="004D0CA8">
      <w:pPr>
        <w:rPr>
          <w:lang w:eastAsia="fr-FR"/>
        </w:rPr>
      </w:pPr>
      <w:r w:rsidRPr="005E36EF">
        <w:rPr>
          <w:lang w:eastAsia="fr-FR"/>
        </w:rPr>
        <w:t xml:space="preserve">L'état d'avancement de la mise en œuvre des Résolutions de la </w:t>
      </w:r>
      <w:r w:rsidR="009F063C" w:rsidRPr="005E36EF">
        <w:rPr>
          <w:lang w:eastAsia="fr-FR"/>
        </w:rPr>
        <w:t>Conférence de plénipotentiaires</w:t>
      </w:r>
      <w:r w:rsidRPr="005E36EF">
        <w:rPr>
          <w:lang w:eastAsia="fr-FR"/>
        </w:rPr>
        <w:t xml:space="preserve"> est disponible sur la plate-forme web conçue à cet effet, consultable </w:t>
      </w:r>
      <w:hyperlink r:id="rId176" w:history="1">
        <w:r w:rsidRPr="005E36EF">
          <w:rPr>
            <w:rStyle w:val="Hyperlink"/>
            <w:lang w:eastAsia="fr-FR"/>
          </w:rPr>
          <w:t>ici</w:t>
        </w:r>
      </w:hyperlink>
      <w:r w:rsidRPr="005E36EF">
        <w:rPr>
          <w:lang w:eastAsia="fr-FR"/>
        </w:rPr>
        <w:t>.</w:t>
      </w:r>
    </w:p>
    <w:p w14:paraId="3BC173D8" w14:textId="77777777" w:rsidR="004D0CA8" w:rsidRPr="005E36EF" w:rsidRDefault="004D0CA8">
      <w:pPr>
        <w:jc w:val="center"/>
      </w:pPr>
      <w:r w:rsidRPr="005E36EF">
        <w:t>______________</w:t>
      </w:r>
    </w:p>
    <w:bookmarkEnd w:id="10"/>
    <w:bookmarkEnd w:id="11"/>
    <w:bookmarkEnd w:id="12"/>
    <w:bookmarkEnd w:id="13"/>
    <w:sectPr w:rsidR="004D0CA8" w:rsidRPr="005E36EF" w:rsidSect="00D72F49">
      <w:headerReference w:type="even" r:id="rId177"/>
      <w:headerReference w:type="default" r:id="rId178"/>
      <w:footerReference w:type="even" r:id="rId179"/>
      <w:footerReference w:type="default" r:id="rId180"/>
      <w:headerReference w:type="first" r:id="rId181"/>
      <w:footerReference w:type="first" r:id="rId18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6AEE" w14:textId="77777777" w:rsidR="005B15C5" w:rsidRDefault="005B15C5">
      <w:r>
        <w:separator/>
      </w:r>
    </w:p>
  </w:endnote>
  <w:endnote w:type="continuationSeparator" w:id="0">
    <w:p w14:paraId="333CCD11" w14:textId="77777777" w:rsidR="005B15C5" w:rsidRDefault="005B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353B" w14:textId="599642B8" w:rsidR="00732045" w:rsidRPr="005727AB" w:rsidRDefault="00FA2EDB">
    <w:pPr>
      <w:pStyle w:val="Footer"/>
      <w:rPr>
        <w:lang w:val="it-IT"/>
      </w:rPr>
    </w:pPr>
    <w:r>
      <w:fldChar w:fldCharType="begin"/>
    </w:r>
    <w:r w:rsidRPr="005727AB">
      <w:rPr>
        <w:lang w:val="it-IT"/>
      </w:rPr>
      <w:instrText xml:space="preserve"> FILENAME \p \* MERGEFORMAT </w:instrText>
    </w:r>
    <w:r>
      <w:fldChar w:fldCharType="separate"/>
    </w:r>
    <w:r w:rsidR="005E36EF">
      <w:rPr>
        <w:lang w:val="it-IT"/>
      </w:rPr>
      <w:t>P:\FRA\gDoc\SG\C24\24-00570V3F.docx</w:t>
    </w:r>
    <w:r>
      <w:fldChar w:fldCharType="end"/>
    </w:r>
    <w:r w:rsidR="00732045" w:rsidRPr="005727AB">
      <w:rPr>
        <w:lang w:val="it-IT"/>
      </w:rPr>
      <w:tab/>
    </w:r>
    <w:r w:rsidR="002F1B76">
      <w:fldChar w:fldCharType="begin"/>
    </w:r>
    <w:r w:rsidR="00732045">
      <w:instrText xml:space="preserve"> savedate \@ dd.MM.yy </w:instrText>
    </w:r>
    <w:r w:rsidR="002F1B76">
      <w:fldChar w:fldCharType="separate"/>
    </w:r>
    <w:r w:rsidR="00776C69">
      <w:t>13.05.24</w:t>
    </w:r>
    <w:r w:rsidR="002F1B76">
      <w:fldChar w:fldCharType="end"/>
    </w:r>
    <w:r w:rsidR="00732045" w:rsidRPr="005727AB">
      <w:rPr>
        <w:lang w:val="it-IT"/>
      </w:rPr>
      <w:tab/>
    </w:r>
    <w:r w:rsidR="002F1B76">
      <w:fldChar w:fldCharType="begin"/>
    </w:r>
    <w:r w:rsidR="00732045">
      <w:instrText xml:space="preserve"> printdate \@ dd.MM.yy </w:instrText>
    </w:r>
    <w:r w:rsidR="002F1B76">
      <w:fldChar w:fldCharType="separate"/>
    </w:r>
    <w:r w:rsidR="005E36E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CAF7E87" w14:textId="77777777" w:rsidTr="00E31DCE">
      <w:trPr>
        <w:jc w:val="center"/>
      </w:trPr>
      <w:tc>
        <w:tcPr>
          <w:tcW w:w="1803" w:type="dxa"/>
          <w:vAlign w:val="center"/>
        </w:tcPr>
        <w:p w14:paraId="3D0DD5AB" w14:textId="654166DC" w:rsidR="00A51849" w:rsidRDefault="00A51849" w:rsidP="00A51849">
          <w:pPr>
            <w:pStyle w:val="Header"/>
            <w:jc w:val="left"/>
            <w:rPr>
              <w:noProof/>
            </w:rPr>
          </w:pPr>
        </w:p>
      </w:tc>
      <w:tc>
        <w:tcPr>
          <w:tcW w:w="8261" w:type="dxa"/>
        </w:tcPr>
        <w:p w14:paraId="56CAC9E0" w14:textId="3E56E01E"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9174CD">
            <w:rPr>
              <w:bCs/>
            </w:rPr>
            <w:t>35</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3395C6F4" w14:textId="79058EBA"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FB6BDB8" w14:textId="77777777" w:rsidTr="00E31DCE">
      <w:trPr>
        <w:jc w:val="center"/>
      </w:trPr>
      <w:tc>
        <w:tcPr>
          <w:tcW w:w="1803" w:type="dxa"/>
          <w:vAlign w:val="center"/>
        </w:tcPr>
        <w:p w14:paraId="7FB4C5EF" w14:textId="77777777" w:rsidR="00A51849" w:rsidRPr="0082299A" w:rsidRDefault="001A6AF2"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551A5EE1" w14:textId="3EE3919B"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EA2B37">
            <w:rPr>
              <w:bCs/>
            </w:rPr>
            <w:t>35</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0992FD5" w14:textId="4528B589"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B3AC" w14:textId="77777777" w:rsidR="005B15C5" w:rsidRDefault="005B15C5">
      <w:r>
        <w:t>____________________</w:t>
      </w:r>
    </w:p>
  </w:footnote>
  <w:footnote w:type="continuationSeparator" w:id="0">
    <w:p w14:paraId="4330A247" w14:textId="77777777" w:rsidR="005B15C5" w:rsidRDefault="005B1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354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48E13DB"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8627" w14:textId="63886A9B" w:rsidR="006A11AE" w:rsidRDefault="009174CD">
    <w:pPr>
      <w:pStyle w:val="Header"/>
    </w:pPr>
    <w:r w:rsidRPr="009174CD">
      <w:t>Rapport sur la mise en œuvre du Plan stratégique et les activités de l</w:t>
    </w:r>
    <w:r w:rsidR="00A8661D">
      <w:t>'</w:t>
    </w:r>
    <w:r w:rsidRPr="009174CD">
      <w:t>Union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632A3F19" w14:textId="77777777" w:rsidTr="00E31DCE">
      <w:trPr>
        <w:trHeight w:val="1104"/>
        <w:jc w:val="center"/>
      </w:trPr>
      <w:tc>
        <w:tcPr>
          <w:tcW w:w="4390" w:type="dxa"/>
          <w:vAlign w:val="center"/>
        </w:tcPr>
        <w:p w14:paraId="1C8A3B68"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1461B6C9" wp14:editId="03AE075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7E15BC13" w14:textId="77777777" w:rsidR="00A51849" w:rsidRDefault="00A51849" w:rsidP="00A51849">
          <w:pPr>
            <w:pStyle w:val="Header"/>
            <w:jc w:val="right"/>
            <w:rPr>
              <w:rFonts w:ascii="Arial" w:hAnsi="Arial" w:cs="Arial"/>
              <w:b/>
              <w:bCs/>
              <w:color w:val="009CD6"/>
              <w:szCs w:val="18"/>
            </w:rPr>
          </w:pPr>
        </w:p>
        <w:p w14:paraId="22DD270E" w14:textId="77777777" w:rsidR="00A51849" w:rsidRDefault="00A51849" w:rsidP="00A51849">
          <w:pPr>
            <w:pStyle w:val="Header"/>
            <w:jc w:val="right"/>
            <w:rPr>
              <w:rFonts w:ascii="Arial" w:hAnsi="Arial" w:cs="Arial"/>
              <w:b/>
              <w:bCs/>
              <w:color w:val="009CD6"/>
              <w:szCs w:val="18"/>
            </w:rPr>
          </w:pPr>
        </w:p>
        <w:p w14:paraId="19300B32"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66C39C4A"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65CC25D" wp14:editId="6F994C3D">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D816C4"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1D7B"/>
    <w:multiLevelType w:val="hybridMultilevel"/>
    <w:tmpl w:val="41A4AFF6"/>
    <w:lvl w:ilvl="0" w:tplc="08090001">
      <w:start w:val="1"/>
      <w:numFmt w:val="bullet"/>
      <w:lvlText w:val=""/>
      <w:lvlJc w:val="left"/>
      <w:pPr>
        <w:ind w:left="720" w:hanging="360"/>
      </w:pPr>
      <w:rPr>
        <w:rFonts w:ascii="Symbol" w:hAnsi="Symbol" w:hint="default"/>
      </w:rPr>
    </w:lvl>
    <w:lvl w:ilvl="1" w:tplc="0772E1C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F3004"/>
    <w:multiLevelType w:val="hybridMultilevel"/>
    <w:tmpl w:val="54D27DC0"/>
    <w:lvl w:ilvl="0" w:tplc="7E54F20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45FB9"/>
    <w:multiLevelType w:val="hybridMultilevel"/>
    <w:tmpl w:val="0590D032"/>
    <w:lvl w:ilvl="0" w:tplc="AD24B7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41986"/>
    <w:multiLevelType w:val="hybridMultilevel"/>
    <w:tmpl w:val="92F089E4"/>
    <w:lvl w:ilvl="0" w:tplc="1ED655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5" w15:restartNumberingAfterBreak="0">
    <w:nsid w:val="40AD7F39"/>
    <w:multiLevelType w:val="hybridMultilevel"/>
    <w:tmpl w:val="0688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812BAB"/>
    <w:multiLevelType w:val="hybridMultilevel"/>
    <w:tmpl w:val="3C54C508"/>
    <w:lvl w:ilvl="0" w:tplc="2F309D4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D79C5"/>
    <w:multiLevelType w:val="hybridMultilevel"/>
    <w:tmpl w:val="F99091A4"/>
    <w:lvl w:ilvl="0" w:tplc="52B42FB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236744">
    <w:abstractNumId w:val="5"/>
  </w:num>
  <w:num w:numId="2" w16cid:durableId="76900442">
    <w:abstractNumId w:val="0"/>
  </w:num>
  <w:num w:numId="3" w16cid:durableId="1123697738">
    <w:abstractNumId w:val="6"/>
  </w:num>
  <w:num w:numId="4" w16cid:durableId="786699086">
    <w:abstractNumId w:val="1"/>
  </w:num>
  <w:num w:numId="5" w16cid:durableId="339964855">
    <w:abstractNumId w:val="3"/>
  </w:num>
  <w:num w:numId="6" w16cid:durableId="1977639964">
    <w:abstractNumId w:val="2"/>
  </w:num>
  <w:num w:numId="7" w16cid:durableId="705181710">
    <w:abstractNumId w:val="7"/>
  </w:num>
  <w:num w:numId="8" w16cid:durableId="1390573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771D"/>
    <w:rsid w:val="00007EA2"/>
    <w:rsid w:val="0002073F"/>
    <w:rsid w:val="0002106C"/>
    <w:rsid w:val="00021D3C"/>
    <w:rsid w:val="00026453"/>
    <w:rsid w:val="000301D7"/>
    <w:rsid w:val="00034105"/>
    <w:rsid w:val="000352D9"/>
    <w:rsid w:val="0004638C"/>
    <w:rsid w:val="00055E11"/>
    <w:rsid w:val="0005634C"/>
    <w:rsid w:val="00060426"/>
    <w:rsid w:val="00065370"/>
    <w:rsid w:val="000703B9"/>
    <w:rsid w:val="000754B1"/>
    <w:rsid w:val="000756AB"/>
    <w:rsid w:val="00076A2C"/>
    <w:rsid w:val="0008094F"/>
    <w:rsid w:val="00080E5B"/>
    <w:rsid w:val="00081994"/>
    <w:rsid w:val="000842F8"/>
    <w:rsid w:val="000913D5"/>
    <w:rsid w:val="00093521"/>
    <w:rsid w:val="000A3429"/>
    <w:rsid w:val="000B079B"/>
    <w:rsid w:val="000B2D2D"/>
    <w:rsid w:val="000B4087"/>
    <w:rsid w:val="000C1EA1"/>
    <w:rsid w:val="000D0D0A"/>
    <w:rsid w:val="000D39EC"/>
    <w:rsid w:val="000D5151"/>
    <w:rsid w:val="000D7C49"/>
    <w:rsid w:val="000E3A2E"/>
    <w:rsid w:val="000F163C"/>
    <w:rsid w:val="000F312F"/>
    <w:rsid w:val="000F342A"/>
    <w:rsid w:val="00103163"/>
    <w:rsid w:val="00103B6B"/>
    <w:rsid w:val="00106B19"/>
    <w:rsid w:val="001133EF"/>
    <w:rsid w:val="001142F1"/>
    <w:rsid w:val="00115D93"/>
    <w:rsid w:val="001247A8"/>
    <w:rsid w:val="00126A68"/>
    <w:rsid w:val="0012744C"/>
    <w:rsid w:val="001304BE"/>
    <w:rsid w:val="00132408"/>
    <w:rsid w:val="00137484"/>
    <w:rsid w:val="001378C0"/>
    <w:rsid w:val="001404B6"/>
    <w:rsid w:val="001417CA"/>
    <w:rsid w:val="001449E5"/>
    <w:rsid w:val="00145064"/>
    <w:rsid w:val="001530C2"/>
    <w:rsid w:val="001544E7"/>
    <w:rsid w:val="00161536"/>
    <w:rsid w:val="00161CE8"/>
    <w:rsid w:val="001658D0"/>
    <w:rsid w:val="001660AB"/>
    <w:rsid w:val="00166A93"/>
    <w:rsid w:val="00171115"/>
    <w:rsid w:val="00174E93"/>
    <w:rsid w:val="00181A1C"/>
    <w:rsid w:val="00181EA8"/>
    <w:rsid w:val="0018205E"/>
    <w:rsid w:val="00184F7F"/>
    <w:rsid w:val="0018694A"/>
    <w:rsid w:val="00186BEB"/>
    <w:rsid w:val="0019470A"/>
    <w:rsid w:val="001A3287"/>
    <w:rsid w:val="001A5045"/>
    <w:rsid w:val="001A6508"/>
    <w:rsid w:val="001A6AF2"/>
    <w:rsid w:val="001B10BB"/>
    <w:rsid w:val="001B1D03"/>
    <w:rsid w:val="001B2254"/>
    <w:rsid w:val="001B5592"/>
    <w:rsid w:val="001B671D"/>
    <w:rsid w:val="001C03DA"/>
    <w:rsid w:val="001C6943"/>
    <w:rsid w:val="001D0FEE"/>
    <w:rsid w:val="001D4C31"/>
    <w:rsid w:val="001D524C"/>
    <w:rsid w:val="001E4D21"/>
    <w:rsid w:val="001E5B48"/>
    <w:rsid w:val="001E75AF"/>
    <w:rsid w:val="001F333D"/>
    <w:rsid w:val="001F3E83"/>
    <w:rsid w:val="001F4638"/>
    <w:rsid w:val="002008D6"/>
    <w:rsid w:val="00207CD1"/>
    <w:rsid w:val="002100D8"/>
    <w:rsid w:val="00212246"/>
    <w:rsid w:val="00213221"/>
    <w:rsid w:val="0022012A"/>
    <w:rsid w:val="00222208"/>
    <w:rsid w:val="00224501"/>
    <w:rsid w:val="00224A66"/>
    <w:rsid w:val="00226657"/>
    <w:rsid w:val="00231E8C"/>
    <w:rsid w:val="0023309E"/>
    <w:rsid w:val="002345E9"/>
    <w:rsid w:val="00234D5D"/>
    <w:rsid w:val="00244941"/>
    <w:rsid w:val="00244D56"/>
    <w:rsid w:val="00246724"/>
    <w:rsid w:val="00246F58"/>
    <w:rsid w:val="002477A2"/>
    <w:rsid w:val="00251ACB"/>
    <w:rsid w:val="00251F47"/>
    <w:rsid w:val="002536C2"/>
    <w:rsid w:val="002559F5"/>
    <w:rsid w:val="0026126E"/>
    <w:rsid w:val="0026197C"/>
    <w:rsid w:val="00262019"/>
    <w:rsid w:val="00263A51"/>
    <w:rsid w:val="00266F2C"/>
    <w:rsid w:val="00267E02"/>
    <w:rsid w:val="00270742"/>
    <w:rsid w:val="0027335C"/>
    <w:rsid w:val="00277C67"/>
    <w:rsid w:val="00283798"/>
    <w:rsid w:val="00284609"/>
    <w:rsid w:val="002847AC"/>
    <w:rsid w:val="00291880"/>
    <w:rsid w:val="00294760"/>
    <w:rsid w:val="00297875"/>
    <w:rsid w:val="002A5D44"/>
    <w:rsid w:val="002B02B0"/>
    <w:rsid w:val="002B0C08"/>
    <w:rsid w:val="002B182F"/>
    <w:rsid w:val="002B7092"/>
    <w:rsid w:val="002C0AAA"/>
    <w:rsid w:val="002C245E"/>
    <w:rsid w:val="002C7AB0"/>
    <w:rsid w:val="002C7F34"/>
    <w:rsid w:val="002D711E"/>
    <w:rsid w:val="002D7D43"/>
    <w:rsid w:val="002E0BC4"/>
    <w:rsid w:val="002E11FD"/>
    <w:rsid w:val="002E726D"/>
    <w:rsid w:val="002E74CE"/>
    <w:rsid w:val="002F0615"/>
    <w:rsid w:val="002F1B76"/>
    <w:rsid w:val="002F25DB"/>
    <w:rsid w:val="002F3FB8"/>
    <w:rsid w:val="002F595A"/>
    <w:rsid w:val="003014EA"/>
    <w:rsid w:val="00302FDD"/>
    <w:rsid w:val="00305927"/>
    <w:rsid w:val="00322694"/>
    <w:rsid w:val="00326556"/>
    <w:rsid w:val="00326F1F"/>
    <w:rsid w:val="003301D0"/>
    <w:rsid w:val="0033568E"/>
    <w:rsid w:val="00336B29"/>
    <w:rsid w:val="00343D19"/>
    <w:rsid w:val="00345DD0"/>
    <w:rsid w:val="003509F6"/>
    <w:rsid w:val="00350D61"/>
    <w:rsid w:val="0035229F"/>
    <w:rsid w:val="00355FF5"/>
    <w:rsid w:val="003562F6"/>
    <w:rsid w:val="00360247"/>
    <w:rsid w:val="00361350"/>
    <w:rsid w:val="003614EA"/>
    <w:rsid w:val="00363ABA"/>
    <w:rsid w:val="00371808"/>
    <w:rsid w:val="00371A97"/>
    <w:rsid w:val="00373505"/>
    <w:rsid w:val="003776CB"/>
    <w:rsid w:val="00377F47"/>
    <w:rsid w:val="00393628"/>
    <w:rsid w:val="00394203"/>
    <w:rsid w:val="0039525F"/>
    <w:rsid w:val="00396876"/>
    <w:rsid w:val="00396B17"/>
    <w:rsid w:val="003A0B23"/>
    <w:rsid w:val="003A1B1E"/>
    <w:rsid w:val="003A2F0F"/>
    <w:rsid w:val="003A3839"/>
    <w:rsid w:val="003B1E97"/>
    <w:rsid w:val="003C0889"/>
    <w:rsid w:val="003C0E45"/>
    <w:rsid w:val="003C3FAE"/>
    <w:rsid w:val="003C44E1"/>
    <w:rsid w:val="003D198B"/>
    <w:rsid w:val="003F2157"/>
    <w:rsid w:val="003F36C4"/>
    <w:rsid w:val="003F3C16"/>
    <w:rsid w:val="004038CB"/>
    <w:rsid w:val="0040546F"/>
    <w:rsid w:val="00406287"/>
    <w:rsid w:val="00407E94"/>
    <w:rsid w:val="00412411"/>
    <w:rsid w:val="00413418"/>
    <w:rsid w:val="00413501"/>
    <w:rsid w:val="0041443F"/>
    <w:rsid w:val="00416430"/>
    <w:rsid w:val="004206F7"/>
    <w:rsid w:val="00420BDC"/>
    <w:rsid w:val="0042404A"/>
    <w:rsid w:val="00425205"/>
    <w:rsid w:val="00425B85"/>
    <w:rsid w:val="0043076A"/>
    <w:rsid w:val="004314DC"/>
    <w:rsid w:val="0043176C"/>
    <w:rsid w:val="0044536A"/>
    <w:rsid w:val="0044618F"/>
    <w:rsid w:val="00451547"/>
    <w:rsid w:val="00452752"/>
    <w:rsid w:val="00455225"/>
    <w:rsid w:val="00455C0D"/>
    <w:rsid w:val="00456F50"/>
    <w:rsid w:val="00462B58"/>
    <w:rsid w:val="004643D8"/>
    <w:rsid w:val="00466992"/>
    <w:rsid w:val="0046769A"/>
    <w:rsid w:val="004679A7"/>
    <w:rsid w:val="004727B8"/>
    <w:rsid w:val="00473B4B"/>
    <w:rsid w:val="00475FB3"/>
    <w:rsid w:val="0048249B"/>
    <w:rsid w:val="0049529E"/>
    <w:rsid w:val="00495308"/>
    <w:rsid w:val="00496F90"/>
    <w:rsid w:val="004B136F"/>
    <w:rsid w:val="004B6387"/>
    <w:rsid w:val="004B7B05"/>
    <w:rsid w:val="004C02E1"/>
    <w:rsid w:val="004C0A97"/>
    <w:rsid w:val="004C2908"/>
    <w:rsid w:val="004C37A9"/>
    <w:rsid w:val="004C5165"/>
    <w:rsid w:val="004C7D02"/>
    <w:rsid w:val="004D0CA8"/>
    <w:rsid w:val="004D1D50"/>
    <w:rsid w:val="004D641D"/>
    <w:rsid w:val="004D7578"/>
    <w:rsid w:val="004E4DA4"/>
    <w:rsid w:val="004F259E"/>
    <w:rsid w:val="004F6017"/>
    <w:rsid w:val="004F6AFF"/>
    <w:rsid w:val="0050407E"/>
    <w:rsid w:val="00511F1D"/>
    <w:rsid w:val="00513AE1"/>
    <w:rsid w:val="00513DF6"/>
    <w:rsid w:val="00520F36"/>
    <w:rsid w:val="005238D1"/>
    <w:rsid w:val="00523938"/>
    <w:rsid w:val="0052605F"/>
    <w:rsid w:val="00526D7F"/>
    <w:rsid w:val="00534E13"/>
    <w:rsid w:val="00540615"/>
    <w:rsid w:val="00540A6D"/>
    <w:rsid w:val="00541285"/>
    <w:rsid w:val="00541FCB"/>
    <w:rsid w:val="005455E7"/>
    <w:rsid w:val="005519CF"/>
    <w:rsid w:val="00555160"/>
    <w:rsid w:val="005551C3"/>
    <w:rsid w:val="00565BD4"/>
    <w:rsid w:val="00565F56"/>
    <w:rsid w:val="00566679"/>
    <w:rsid w:val="00570178"/>
    <w:rsid w:val="00571EEA"/>
    <w:rsid w:val="005727AB"/>
    <w:rsid w:val="00574151"/>
    <w:rsid w:val="0057415A"/>
    <w:rsid w:val="00575417"/>
    <w:rsid w:val="00575AFF"/>
    <w:rsid w:val="005766E2"/>
    <w:rsid w:val="005768E1"/>
    <w:rsid w:val="00583A35"/>
    <w:rsid w:val="005862AD"/>
    <w:rsid w:val="005906B2"/>
    <w:rsid w:val="005913E8"/>
    <w:rsid w:val="005934B5"/>
    <w:rsid w:val="00597DC1"/>
    <w:rsid w:val="005A1C2D"/>
    <w:rsid w:val="005A58A7"/>
    <w:rsid w:val="005B15C5"/>
    <w:rsid w:val="005B1938"/>
    <w:rsid w:val="005B550A"/>
    <w:rsid w:val="005B7D34"/>
    <w:rsid w:val="005C05AB"/>
    <w:rsid w:val="005C1E4A"/>
    <w:rsid w:val="005C3890"/>
    <w:rsid w:val="005C5159"/>
    <w:rsid w:val="005D5928"/>
    <w:rsid w:val="005D7A51"/>
    <w:rsid w:val="005D7A5D"/>
    <w:rsid w:val="005E087E"/>
    <w:rsid w:val="005E29CA"/>
    <w:rsid w:val="005E3072"/>
    <w:rsid w:val="005E36EF"/>
    <w:rsid w:val="005E3C05"/>
    <w:rsid w:val="005E65B9"/>
    <w:rsid w:val="005F174A"/>
    <w:rsid w:val="005F4FD9"/>
    <w:rsid w:val="005F7BFE"/>
    <w:rsid w:val="00600017"/>
    <w:rsid w:val="006007B8"/>
    <w:rsid w:val="00601C1F"/>
    <w:rsid w:val="006045E9"/>
    <w:rsid w:val="00607C73"/>
    <w:rsid w:val="00611F9C"/>
    <w:rsid w:val="006167A7"/>
    <w:rsid w:val="006235CA"/>
    <w:rsid w:val="00623670"/>
    <w:rsid w:val="0062414B"/>
    <w:rsid w:val="00624890"/>
    <w:rsid w:val="00630A99"/>
    <w:rsid w:val="00633982"/>
    <w:rsid w:val="006341E7"/>
    <w:rsid w:val="0063599A"/>
    <w:rsid w:val="00647E89"/>
    <w:rsid w:val="006573BA"/>
    <w:rsid w:val="00657AAC"/>
    <w:rsid w:val="00660B7C"/>
    <w:rsid w:val="006628D7"/>
    <w:rsid w:val="00663F53"/>
    <w:rsid w:val="006643AB"/>
    <w:rsid w:val="00670D4E"/>
    <w:rsid w:val="00674F42"/>
    <w:rsid w:val="00674FBB"/>
    <w:rsid w:val="00680246"/>
    <w:rsid w:val="0068070B"/>
    <w:rsid w:val="0068128B"/>
    <w:rsid w:val="00684468"/>
    <w:rsid w:val="00685342"/>
    <w:rsid w:val="00691B21"/>
    <w:rsid w:val="00693341"/>
    <w:rsid w:val="00694903"/>
    <w:rsid w:val="00695C59"/>
    <w:rsid w:val="00696584"/>
    <w:rsid w:val="006A00C6"/>
    <w:rsid w:val="006A1039"/>
    <w:rsid w:val="006A11AE"/>
    <w:rsid w:val="006A1570"/>
    <w:rsid w:val="006A4B15"/>
    <w:rsid w:val="006A53A4"/>
    <w:rsid w:val="006A7562"/>
    <w:rsid w:val="006B0FB6"/>
    <w:rsid w:val="006B1700"/>
    <w:rsid w:val="006B4D59"/>
    <w:rsid w:val="006C3CE7"/>
    <w:rsid w:val="006D03EE"/>
    <w:rsid w:val="006D417F"/>
    <w:rsid w:val="006D4C57"/>
    <w:rsid w:val="006E2123"/>
    <w:rsid w:val="006F0A53"/>
    <w:rsid w:val="006F1ABC"/>
    <w:rsid w:val="0070098A"/>
    <w:rsid w:val="00704692"/>
    <w:rsid w:val="0070472F"/>
    <w:rsid w:val="00715B23"/>
    <w:rsid w:val="00716BBB"/>
    <w:rsid w:val="00720C9C"/>
    <w:rsid w:val="007210CD"/>
    <w:rsid w:val="007226F2"/>
    <w:rsid w:val="0072598E"/>
    <w:rsid w:val="00731FE9"/>
    <w:rsid w:val="00732045"/>
    <w:rsid w:val="0073275D"/>
    <w:rsid w:val="007328BC"/>
    <w:rsid w:val="00732BD8"/>
    <w:rsid w:val="007335E2"/>
    <w:rsid w:val="007369DB"/>
    <w:rsid w:val="00736DCF"/>
    <w:rsid w:val="00743296"/>
    <w:rsid w:val="00743922"/>
    <w:rsid w:val="00753FBE"/>
    <w:rsid w:val="007545A1"/>
    <w:rsid w:val="00755E15"/>
    <w:rsid w:val="00757F73"/>
    <w:rsid w:val="00761FD0"/>
    <w:rsid w:val="00774F7F"/>
    <w:rsid w:val="00776C69"/>
    <w:rsid w:val="0078193B"/>
    <w:rsid w:val="00784111"/>
    <w:rsid w:val="00785399"/>
    <w:rsid w:val="007956C2"/>
    <w:rsid w:val="00796249"/>
    <w:rsid w:val="00797926"/>
    <w:rsid w:val="00797C73"/>
    <w:rsid w:val="007A187E"/>
    <w:rsid w:val="007A2475"/>
    <w:rsid w:val="007B252A"/>
    <w:rsid w:val="007B3D35"/>
    <w:rsid w:val="007B5BBF"/>
    <w:rsid w:val="007B68CC"/>
    <w:rsid w:val="007C2E83"/>
    <w:rsid w:val="007C3EB3"/>
    <w:rsid w:val="007C4AEF"/>
    <w:rsid w:val="007C4C8F"/>
    <w:rsid w:val="007C644F"/>
    <w:rsid w:val="007C72C2"/>
    <w:rsid w:val="007D0458"/>
    <w:rsid w:val="007D0E95"/>
    <w:rsid w:val="007D4436"/>
    <w:rsid w:val="007D7EBB"/>
    <w:rsid w:val="007E6889"/>
    <w:rsid w:val="007E6DCE"/>
    <w:rsid w:val="007F257A"/>
    <w:rsid w:val="007F3665"/>
    <w:rsid w:val="007F3A57"/>
    <w:rsid w:val="007F48D2"/>
    <w:rsid w:val="00800037"/>
    <w:rsid w:val="00800B7E"/>
    <w:rsid w:val="008052FA"/>
    <w:rsid w:val="0081036A"/>
    <w:rsid w:val="00810742"/>
    <w:rsid w:val="00811FE1"/>
    <w:rsid w:val="00817C69"/>
    <w:rsid w:val="00820DD7"/>
    <w:rsid w:val="00821EAC"/>
    <w:rsid w:val="0082299A"/>
    <w:rsid w:val="00823AD4"/>
    <w:rsid w:val="008243B1"/>
    <w:rsid w:val="0082565C"/>
    <w:rsid w:val="0083391C"/>
    <w:rsid w:val="00842D4C"/>
    <w:rsid w:val="00845928"/>
    <w:rsid w:val="00846C67"/>
    <w:rsid w:val="008517C9"/>
    <w:rsid w:val="008601BB"/>
    <w:rsid w:val="00861D73"/>
    <w:rsid w:val="00862B5C"/>
    <w:rsid w:val="008662C7"/>
    <w:rsid w:val="00867BF5"/>
    <w:rsid w:val="00871CF6"/>
    <w:rsid w:val="0087327D"/>
    <w:rsid w:val="0087417B"/>
    <w:rsid w:val="008762A3"/>
    <w:rsid w:val="00876EC3"/>
    <w:rsid w:val="008811E1"/>
    <w:rsid w:val="008832B6"/>
    <w:rsid w:val="00883D7C"/>
    <w:rsid w:val="00885EF9"/>
    <w:rsid w:val="0089036A"/>
    <w:rsid w:val="00890BD3"/>
    <w:rsid w:val="008971FF"/>
    <w:rsid w:val="00897553"/>
    <w:rsid w:val="00897811"/>
    <w:rsid w:val="008A4E87"/>
    <w:rsid w:val="008A6609"/>
    <w:rsid w:val="008B1723"/>
    <w:rsid w:val="008B1C90"/>
    <w:rsid w:val="008B6068"/>
    <w:rsid w:val="008B7593"/>
    <w:rsid w:val="008C1A85"/>
    <w:rsid w:val="008C72A3"/>
    <w:rsid w:val="008D03E8"/>
    <w:rsid w:val="008D05CF"/>
    <w:rsid w:val="008D103D"/>
    <w:rsid w:val="008D76E6"/>
    <w:rsid w:val="008E656D"/>
    <w:rsid w:val="008F2F65"/>
    <w:rsid w:val="008F6379"/>
    <w:rsid w:val="008F6A1C"/>
    <w:rsid w:val="009031F6"/>
    <w:rsid w:val="009045E9"/>
    <w:rsid w:val="009070AB"/>
    <w:rsid w:val="0091028B"/>
    <w:rsid w:val="00911CC5"/>
    <w:rsid w:val="00914B65"/>
    <w:rsid w:val="00915F8C"/>
    <w:rsid w:val="00916265"/>
    <w:rsid w:val="00916E23"/>
    <w:rsid w:val="009174CD"/>
    <w:rsid w:val="0091763C"/>
    <w:rsid w:val="0092137A"/>
    <w:rsid w:val="0092392D"/>
    <w:rsid w:val="00923C6F"/>
    <w:rsid w:val="00924AC3"/>
    <w:rsid w:val="00926F2F"/>
    <w:rsid w:val="009278C0"/>
    <w:rsid w:val="0093234A"/>
    <w:rsid w:val="00935E81"/>
    <w:rsid w:val="00935E98"/>
    <w:rsid w:val="00944029"/>
    <w:rsid w:val="0094696A"/>
    <w:rsid w:val="00950805"/>
    <w:rsid w:val="00956A78"/>
    <w:rsid w:val="009576C0"/>
    <w:rsid w:val="009610BC"/>
    <w:rsid w:val="00962AB1"/>
    <w:rsid w:val="00964936"/>
    <w:rsid w:val="0097363B"/>
    <w:rsid w:val="00973F53"/>
    <w:rsid w:val="0097581E"/>
    <w:rsid w:val="00975E9E"/>
    <w:rsid w:val="00985D91"/>
    <w:rsid w:val="00986486"/>
    <w:rsid w:val="00986731"/>
    <w:rsid w:val="009867EB"/>
    <w:rsid w:val="0099026C"/>
    <w:rsid w:val="00990526"/>
    <w:rsid w:val="00990949"/>
    <w:rsid w:val="00991E0C"/>
    <w:rsid w:val="0099614F"/>
    <w:rsid w:val="009963F5"/>
    <w:rsid w:val="009A5A79"/>
    <w:rsid w:val="009A6BAA"/>
    <w:rsid w:val="009B4277"/>
    <w:rsid w:val="009B57B0"/>
    <w:rsid w:val="009C307F"/>
    <w:rsid w:val="009C353C"/>
    <w:rsid w:val="009D234F"/>
    <w:rsid w:val="009D23DA"/>
    <w:rsid w:val="009D686F"/>
    <w:rsid w:val="009E1719"/>
    <w:rsid w:val="009E203F"/>
    <w:rsid w:val="009E3510"/>
    <w:rsid w:val="009E3908"/>
    <w:rsid w:val="009E63FC"/>
    <w:rsid w:val="009E7837"/>
    <w:rsid w:val="009F063C"/>
    <w:rsid w:val="009F2018"/>
    <w:rsid w:val="009F26FC"/>
    <w:rsid w:val="009F4C0F"/>
    <w:rsid w:val="009F4DC8"/>
    <w:rsid w:val="009F68C2"/>
    <w:rsid w:val="00A00995"/>
    <w:rsid w:val="00A0388C"/>
    <w:rsid w:val="00A07C79"/>
    <w:rsid w:val="00A10869"/>
    <w:rsid w:val="00A15D23"/>
    <w:rsid w:val="00A167E5"/>
    <w:rsid w:val="00A1690B"/>
    <w:rsid w:val="00A170AA"/>
    <w:rsid w:val="00A204C8"/>
    <w:rsid w:val="00A2113E"/>
    <w:rsid w:val="00A23792"/>
    <w:rsid w:val="00A23A51"/>
    <w:rsid w:val="00A24607"/>
    <w:rsid w:val="00A24C38"/>
    <w:rsid w:val="00A25CD3"/>
    <w:rsid w:val="00A27494"/>
    <w:rsid w:val="00A3630D"/>
    <w:rsid w:val="00A40065"/>
    <w:rsid w:val="00A42D8E"/>
    <w:rsid w:val="00A456B3"/>
    <w:rsid w:val="00A45B4B"/>
    <w:rsid w:val="00A46B59"/>
    <w:rsid w:val="00A51849"/>
    <w:rsid w:val="00A63B1C"/>
    <w:rsid w:val="00A6508C"/>
    <w:rsid w:val="00A709FE"/>
    <w:rsid w:val="00A73C60"/>
    <w:rsid w:val="00A761EF"/>
    <w:rsid w:val="00A76CE1"/>
    <w:rsid w:val="00A80E30"/>
    <w:rsid w:val="00A82767"/>
    <w:rsid w:val="00A830D7"/>
    <w:rsid w:val="00A85809"/>
    <w:rsid w:val="00A8661D"/>
    <w:rsid w:val="00A94294"/>
    <w:rsid w:val="00A94475"/>
    <w:rsid w:val="00A94CD4"/>
    <w:rsid w:val="00AA2A9F"/>
    <w:rsid w:val="00AA332F"/>
    <w:rsid w:val="00AA7BBB"/>
    <w:rsid w:val="00AA7FF1"/>
    <w:rsid w:val="00AB4151"/>
    <w:rsid w:val="00AB64A8"/>
    <w:rsid w:val="00AB7A8F"/>
    <w:rsid w:val="00AC012E"/>
    <w:rsid w:val="00AC0266"/>
    <w:rsid w:val="00AC2297"/>
    <w:rsid w:val="00AD00ED"/>
    <w:rsid w:val="00AD1919"/>
    <w:rsid w:val="00AD24EC"/>
    <w:rsid w:val="00AD3169"/>
    <w:rsid w:val="00AD5FD4"/>
    <w:rsid w:val="00AE3B3D"/>
    <w:rsid w:val="00AE4B89"/>
    <w:rsid w:val="00AE5475"/>
    <w:rsid w:val="00AF2CDD"/>
    <w:rsid w:val="00AF527C"/>
    <w:rsid w:val="00AF6385"/>
    <w:rsid w:val="00B00046"/>
    <w:rsid w:val="00B029BE"/>
    <w:rsid w:val="00B075E6"/>
    <w:rsid w:val="00B10DA4"/>
    <w:rsid w:val="00B12E05"/>
    <w:rsid w:val="00B1328B"/>
    <w:rsid w:val="00B14E04"/>
    <w:rsid w:val="00B162B3"/>
    <w:rsid w:val="00B16ADD"/>
    <w:rsid w:val="00B23F40"/>
    <w:rsid w:val="00B26F79"/>
    <w:rsid w:val="00B2786A"/>
    <w:rsid w:val="00B27DFE"/>
    <w:rsid w:val="00B309F9"/>
    <w:rsid w:val="00B31DB8"/>
    <w:rsid w:val="00B32B60"/>
    <w:rsid w:val="00B3740B"/>
    <w:rsid w:val="00B37854"/>
    <w:rsid w:val="00B421C1"/>
    <w:rsid w:val="00B4355F"/>
    <w:rsid w:val="00B4427D"/>
    <w:rsid w:val="00B524EE"/>
    <w:rsid w:val="00B61619"/>
    <w:rsid w:val="00B619F9"/>
    <w:rsid w:val="00B65D2B"/>
    <w:rsid w:val="00B67046"/>
    <w:rsid w:val="00B74CBB"/>
    <w:rsid w:val="00B80A13"/>
    <w:rsid w:val="00B8288A"/>
    <w:rsid w:val="00B84F24"/>
    <w:rsid w:val="00B869B2"/>
    <w:rsid w:val="00B909D8"/>
    <w:rsid w:val="00B91ED2"/>
    <w:rsid w:val="00B92A91"/>
    <w:rsid w:val="00BA5B6C"/>
    <w:rsid w:val="00BA68C4"/>
    <w:rsid w:val="00BA6C40"/>
    <w:rsid w:val="00BA7F31"/>
    <w:rsid w:val="00BB39EF"/>
    <w:rsid w:val="00BB4545"/>
    <w:rsid w:val="00BB4549"/>
    <w:rsid w:val="00BB5183"/>
    <w:rsid w:val="00BB5950"/>
    <w:rsid w:val="00BC137F"/>
    <w:rsid w:val="00BC306E"/>
    <w:rsid w:val="00BD1D2C"/>
    <w:rsid w:val="00BD2055"/>
    <w:rsid w:val="00BD32E6"/>
    <w:rsid w:val="00BD5873"/>
    <w:rsid w:val="00BD7935"/>
    <w:rsid w:val="00BE1BCD"/>
    <w:rsid w:val="00BE4707"/>
    <w:rsid w:val="00BE4CC7"/>
    <w:rsid w:val="00BE4E38"/>
    <w:rsid w:val="00BE689C"/>
    <w:rsid w:val="00BF028B"/>
    <w:rsid w:val="00BF1908"/>
    <w:rsid w:val="00BF4B60"/>
    <w:rsid w:val="00C01FA5"/>
    <w:rsid w:val="00C02654"/>
    <w:rsid w:val="00C043AE"/>
    <w:rsid w:val="00C04BE3"/>
    <w:rsid w:val="00C06B99"/>
    <w:rsid w:val="00C06DE5"/>
    <w:rsid w:val="00C118A9"/>
    <w:rsid w:val="00C166C2"/>
    <w:rsid w:val="00C21CE5"/>
    <w:rsid w:val="00C25960"/>
    <w:rsid w:val="00C25D29"/>
    <w:rsid w:val="00C26377"/>
    <w:rsid w:val="00C2658F"/>
    <w:rsid w:val="00C27A7C"/>
    <w:rsid w:val="00C33824"/>
    <w:rsid w:val="00C36157"/>
    <w:rsid w:val="00C41C6D"/>
    <w:rsid w:val="00C41CD9"/>
    <w:rsid w:val="00C42437"/>
    <w:rsid w:val="00C4395C"/>
    <w:rsid w:val="00C46834"/>
    <w:rsid w:val="00C569E6"/>
    <w:rsid w:val="00C60C07"/>
    <w:rsid w:val="00C64C56"/>
    <w:rsid w:val="00C670D0"/>
    <w:rsid w:val="00C711C7"/>
    <w:rsid w:val="00C80CE9"/>
    <w:rsid w:val="00C867BA"/>
    <w:rsid w:val="00C9611D"/>
    <w:rsid w:val="00CA08ED"/>
    <w:rsid w:val="00CA1DEF"/>
    <w:rsid w:val="00CA415B"/>
    <w:rsid w:val="00CA591D"/>
    <w:rsid w:val="00CA6D4A"/>
    <w:rsid w:val="00CB0F78"/>
    <w:rsid w:val="00CB16CC"/>
    <w:rsid w:val="00CB37EC"/>
    <w:rsid w:val="00CB493C"/>
    <w:rsid w:val="00CB5ED3"/>
    <w:rsid w:val="00CC0CE2"/>
    <w:rsid w:val="00CC23F4"/>
    <w:rsid w:val="00CC4DDE"/>
    <w:rsid w:val="00CC5ABC"/>
    <w:rsid w:val="00CD28EB"/>
    <w:rsid w:val="00CD462D"/>
    <w:rsid w:val="00CE260B"/>
    <w:rsid w:val="00CE2B62"/>
    <w:rsid w:val="00CE3486"/>
    <w:rsid w:val="00CE38AC"/>
    <w:rsid w:val="00CE444E"/>
    <w:rsid w:val="00CF183B"/>
    <w:rsid w:val="00CF1924"/>
    <w:rsid w:val="00CF3158"/>
    <w:rsid w:val="00D030EF"/>
    <w:rsid w:val="00D07BAA"/>
    <w:rsid w:val="00D153FE"/>
    <w:rsid w:val="00D20CC4"/>
    <w:rsid w:val="00D2709B"/>
    <w:rsid w:val="00D27B80"/>
    <w:rsid w:val="00D361C2"/>
    <w:rsid w:val="00D375CD"/>
    <w:rsid w:val="00D4410B"/>
    <w:rsid w:val="00D46938"/>
    <w:rsid w:val="00D47857"/>
    <w:rsid w:val="00D51B85"/>
    <w:rsid w:val="00D53849"/>
    <w:rsid w:val="00D553A2"/>
    <w:rsid w:val="00D60A7F"/>
    <w:rsid w:val="00D72536"/>
    <w:rsid w:val="00D72F49"/>
    <w:rsid w:val="00D7498A"/>
    <w:rsid w:val="00D774D3"/>
    <w:rsid w:val="00D85387"/>
    <w:rsid w:val="00D871D5"/>
    <w:rsid w:val="00D904E8"/>
    <w:rsid w:val="00D962D9"/>
    <w:rsid w:val="00DA08C3"/>
    <w:rsid w:val="00DA4050"/>
    <w:rsid w:val="00DB0EFE"/>
    <w:rsid w:val="00DB490B"/>
    <w:rsid w:val="00DB574F"/>
    <w:rsid w:val="00DB5A3E"/>
    <w:rsid w:val="00DC0504"/>
    <w:rsid w:val="00DC22AA"/>
    <w:rsid w:val="00DC24C7"/>
    <w:rsid w:val="00DD597E"/>
    <w:rsid w:val="00DD645B"/>
    <w:rsid w:val="00DE03A0"/>
    <w:rsid w:val="00DE1500"/>
    <w:rsid w:val="00DE3659"/>
    <w:rsid w:val="00DE42BF"/>
    <w:rsid w:val="00DF089E"/>
    <w:rsid w:val="00DF0D85"/>
    <w:rsid w:val="00DF1092"/>
    <w:rsid w:val="00DF2358"/>
    <w:rsid w:val="00DF4498"/>
    <w:rsid w:val="00DF5494"/>
    <w:rsid w:val="00DF622C"/>
    <w:rsid w:val="00DF74DD"/>
    <w:rsid w:val="00DF785F"/>
    <w:rsid w:val="00E07CBA"/>
    <w:rsid w:val="00E1158E"/>
    <w:rsid w:val="00E1533A"/>
    <w:rsid w:val="00E160C1"/>
    <w:rsid w:val="00E17BD4"/>
    <w:rsid w:val="00E204F9"/>
    <w:rsid w:val="00E20936"/>
    <w:rsid w:val="00E223F9"/>
    <w:rsid w:val="00E25AD0"/>
    <w:rsid w:val="00E319E2"/>
    <w:rsid w:val="00E33D7E"/>
    <w:rsid w:val="00E41B1C"/>
    <w:rsid w:val="00E41D3D"/>
    <w:rsid w:val="00E4428F"/>
    <w:rsid w:val="00E537C9"/>
    <w:rsid w:val="00E57F69"/>
    <w:rsid w:val="00E62BEE"/>
    <w:rsid w:val="00E7074D"/>
    <w:rsid w:val="00E827AC"/>
    <w:rsid w:val="00E86FD3"/>
    <w:rsid w:val="00E90D54"/>
    <w:rsid w:val="00E91894"/>
    <w:rsid w:val="00E93668"/>
    <w:rsid w:val="00E949C6"/>
    <w:rsid w:val="00E95647"/>
    <w:rsid w:val="00E9626A"/>
    <w:rsid w:val="00EA2B37"/>
    <w:rsid w:val="00EA4C7F"/>
    <w:rsid w:val="00EB06F6"/>
    <w:rsid w:val="00EB2E9D"/>
    <w:rsid w:val="00EB4307"/>
    <w:rsid w:val="00EB5772"/>
    <w:rsid w:val="00EB6350"/>
    <w:rsid w:val="00EB6353"/>
    <w:rsid w:val="00EB7146"/>
    <w:rsid w:val="00EC1429"/>
    <w:rsid w:val="00EC33BD"/>
    <w:rsid w:val="00EC68AD"/>
    <w:rsid w:val="00EC7321"/>
    <w:rsid w:val="00ED00CB"/>
    <w:rsid w:val="00ED0B12"/>
    <w:rsid w:val="00ED341F"/>
    <w:rsid w:val="00ED7F82"/>
    <w:rsid w:val="00EE532A"/>
    <w:rsid w:val="00EF358C"/>
    <w:rsid w:val="00EF3B84"/>
    <w:rsid w:val="00F00CE7"/>
    <w:rsid w:val="00F03941"/>
    <w:rsid w:val="00F05FA8"/>
    <w:rsid w:val="00F07373"/>
    <w:rsid w:val="00F12E2B"/>
    <w:rsid w:val="00F13987"/>
    <w:rsid w:val="00F15402"/>
    <w:rsid w:val="00F15B57"/>
    <w:rsid w:val="00F20372"/>
    <w:rsid w:val="00F238E3"/>
    <w:rsid w:val="00F35A80"/>
    <w:rsid w:val="00F35EF4"/>
    <w:rsid w:val="00F37FE5"/>
    <w:rsid w:val="00F40DB2"/>
    <w:rsid w:val="00F427DB"/>
    <w:rsid w:val="00F4520C"/>
    <w:rsid w:val="00F465DD"/>
    <w:rsid w:val="00F467D9"/>
    <w:rsid w:val="00F4778E"/>
    <w:rsid w:val="00F47EE6"/>
    <w:rsid w:val="00F52FCB"/>
    <w:rsid w:val="00F55909"/>
    <w:rsid w:val="00F6746C"/>
    <w:rsid w:val="00F7358D"/>
    <w:rsid w:val="00F7594C"/>
    <w:rsid w:val="00F77D09"/>
    <w:rsid w:val="00F81F44"/>
    <w:rsid w:val="00F829F3"/>
    <w:rsid w:val="00F83FA0"/>
    <w:rsid w:val="00F85EE1"/>
    <w:rsid w:val="00FA05F8"/>
    <w:rsid w:val="00FA1D7A"/>
    <w:rsid w:val="00FA2EDB"/>
    <w:rsid w:val="00FA5EB1"/>
    <w:rsid w:val="00FA70E3"/>
    <w:rsid w:val="00FA7439"/>
    <w:rsid w:val="00FB4345"/>
    <w:rsid w:val="00FB59DE"/>
    <w:rsid w:val="00FC4786"/>
    <w:rsid w:val="00FC4E4A"/>
    <w:rsid w:val="00FC4EC0"/>
    <w:rsid w:val="00FD201C"/>
    <w:rsid w:val="00FD3E35"/>
    <w:rsid w:val="00FD54BF"/>
    <w:rsid w:val="00FD624E"/>
    <w:rsid w:val="00FE1964"/>
    <w:rsid w:val="00FF0181"/>
    <w:rsid w:val="00FF0453"/>
    <w:rsid w:val="00FF06A9"/>
    <w:rsid w:val="00FF16D8"/>
    <w:rsid w:val="00FF1D22"/>
    <w:rsid w:val="00FF2CF8"/>
    <w:rsid w:val="00FF47A6"/>
    <w:rsid w:val="00FF67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95700"/>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EA2B37"/>
    <w:rPr>
      <w:color w:val="605E5C"/>
      <w:shd w:val="clear" w:color="auto" w:fill="E1DFDD"/>
    </w:rPr>
  </w:style>
  <w:style w:type="character" w:styleId="CommentReference">
    <w:name w:val="annotation reference"/>
    <w:basedOn w:val="DefaultParagraphFont"/>
    <w:uiPriority w:val="99"/>
    <w:semiHidden/>
    <w:unhideWhenUsed/>
    <w:rsid w:val="00EA4C7F"/>
    <w:rPr>
      <w:sz w:val="16"/>
      <w:szCs w:val="16"/>
    </w:rPr>
  </w:style>
  <w:style w:type="paragraph" w:styleId="CommentText">
    <w:name w:val="annotation text"/>
    <w:basedOn w:val="Normal"/>
    <w:link w:val="CommentTextChar"/>
    <w:uiPriority w:val="99"/>
    <w:unhideWhenUsed/>
    <w:rsid w:val="00EA4C7F"/>
    <w:rPr>
      <w:sz w:val="20"/>
    </w:rPr>
  </w:style>
  <w:style w:type="character" w:customStyle="1" w:styleId="CommentTextChar">
    <w:name w:val="Comment Text Char"/>
    <w:basedOn w:val="DefaultParagraphFont"/>
    <w:link w:val="CommentText"/>
    <w:uiPriority w:val="99"/>
    <w:rsid w:val="00EA4C7F"/>
    <w:rPr>
      <w:rFonts w:ascii="Calibri" w:hAnsi="Calibri"/>
      <w:lang w:val="fr-FR" w:eastAsia="en-US"/>
    </w:rPr>
  </w:style>
  <w:style w:type="paragraph" w:styleId="CommentSubject">
    <w:name w:val="annotation subject"/>
    <w:basedOn w:val="CommentText"/>
    <w:next w:val="CommentText"/>
    <w:link w:val="CommentSubjectChar"/>
    <w:semiHidden/>
    <w:unhideWhenUsed/>
    <w:rsid w:val="00EA4C7F"/>
    <w:rPr>
      <w:b/>
      <w:bCs/>
    </w:rPr>
  </w:style>
  <w:style w:type="character" w:customStyle="1" w:styleId="CommentSubjectChar">
    <w:name w:val="Comment Subject Char"/>
    <w:basedOn w:val="CommentTextChar"/>
    <w:link w:val="CommentSubject"/>
    <w:semiHidden/>
    <w:rsid w:val="00EA4C7F"/>
    <w:rPr>
      <w:rFonts w:ascii="Calibri" w:hAnsi="Calibri"/>
      <w:b/>
      <w:bCs/>
      <w:lang w:val="fr-FR" w:eastAsia="en-US"/>
    </w:rPr>
  </w:style>
  <w:style w:type="paragraph" w:styleId="ListParagraph">
    <w:name w:val="List Paragraph"/>
    <w:basedOn w:val="Normal"/>
    <w:uiPriority w:val="34"/>
    <w:qFormat/>
    <w:rsid w:val="005E3072"/>
    <w:pPr>
      <w:ind w:left="720"/>
      <w:contextualSpacing/>
    </w:pPr>
  </w:style>
  <w:style w:type="paragraph" w:styleId="NoSpacing">
    <w:name w:val="No Spacing"/>
    <w:uiPriority w:val="1"/>
    <w:qFormat/>
    <w:rsid w:val="00DF089E"/>
    <w:rPr>
      <w:rFonts w:asciiTheme="minorHAnsi" w:eastAsiaTheme="minorEastAsia" w:hAnsiTheme="minorHAnsi" w:cstheme="minorBidi"/>
      <w:kern w:val="2"/>
      <w:sz w:val="22"/>
      <w:szCs w:val="22"/>
      <w:lang w:val="en-GB"/>
      <w14:ligatures w14:val="standardContextual"/>
    </w:rPr>
  </w:style>
  <w:style w:type="character" w:customStyle="1" w:styleId="normalWSISChar">
    <w:name w:val="normal WSIS Char"/>
    <w:basedOn w:val="DefaultParagraphFont"/>
    <w:link w:val="normalWSIS"/>
    <w:locked/>
    <w:rsid w:val="00C25960"/>
    <w:rPr>
      <w:rFonts w:ascii="Calibri" w:eastAsia="SimSun" w:hAnsi="Calibri" w:cs="Arial"/>
    </w:rPr>
  </w:style>
  <w:style w:type="paragraph" w:customStyle="1" w:styleId="normalWSIS">
    <w:name w:val="normal WSIS"/>
    <w:basedOn w:val="ListParagraph"/>
    <w:link w:val="normalWSISChar"/>
    <w:qFormat/>
    <w:rsid w:val="00C25960"/>
    <w:pPr>
      <w:numPr>
        <w:numId w:val="8"/>
      </w:numPr>
      <w:tabs>
        <w:tab w:val="clear" w:pos="567"/>
        <w:tab w:val="clear" w:pos="1134"/>
        <w:tab w:val="clear" w:pos="1701"/>
        <w:tab w:val="clear" w:pos="2268"/>
        <w:tab w:val="clear" w:pos="2835"/>
        <w:tab w:val="num" w:pos="360"/>
        <w:tab w:val="left" w:pos="426"/>
      </w:tabs>
      <w:overflowPunct/>
      <w:autoSpaceDE/>
      <w:autoSpaceDN/>
      <w:adjustRightInd/>
      <w:spacing w:after="200"/>
      <w:ind w:left="720" w:firstLine="0"/>
      <w:contextualSpacing w:val="0"/>
      <w:textAlignment w:val="auto"/>
    </w:pPr>
    <w:rPr>
      <w:rFonts w:eastAsia="SimSun" w:cs="Arial"/>
      <w:sz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figi.itu.int/figi-resources/dfs-security-lab/" TargetMode="External"/><Relationship Id="rId21" Type="http://schemas.openxmlformats.org/officeDocument/2006/relationships/hyperlink" Target="https://www.itu.int/dms_pubrec/itu-r/rec/bt/R-REC-BT.2100-2-201807-I!!PDF-E.pdf" TargetMode="External"/><Relationship Id="rId42" Type="http://schemas.openxmlformats.org/officeDocument/2006/relationships/hyperlink" Target="https://www.itu.int/itu-d/sites/digital-impact-unlocked/itu-deploys-satellite-telecommunications-equipment-to-papua-new-guinea/" TargetMode="External"/><Relationship Id="rId63" Type="http://schemas.openxmlformats.org/officeDocument/2006/relationships/hyperlink" Target="https://www.itu.int/cities/publications/" TargetMode="External"/><Relationship Id="rId84" Type="http://schemas.openxmlformats.org/officeDocument/2006/relationships/hyperlink" Target="https://www.itu.int/en/ITU-D/Digital-Inclusion/Pages/ICT-digital-accessibility/default.aspx" TargetMode="External"/><Relationship Id="rId138" Type="http://schemas.openxmlformats.org/officeDocument/2006/relationships/hyperlink" Target="https://www.worldstandardscooperation.org/" TargetMode="External"/><Relationship Id="rId159" Type="http://schemas.openxmlformats.org/officeDocument/2006/relationships/hyperlink" Target="https://www.itu.int/en/ITU-R/seminars/rrs/RRS-23-Americas/Pages/default.aspx" TargetMode="External"/><Relationship Id="rId170" Type="http://schemas.openxmlformats.org/officeDocument/2006/relationships/hyperlink" Target="https://www.itu.int/en/journal/j-fet/webinars/Pages/default.aspx" TargetMode="External"/><Relationship Id="rId107" Type="http://schemas.openxmlformats.org/officeDocument/2006/relationships/hyperlink" Target="https://www.equalsintech.org/awards" TargetMode="External"/><Relationship Id="rId11" Type="http://schemas.openxmlformats.org/officeDocument/2006/relationships/hyperlink" Target="https://www.itu.int/en/council/Documents/basic-texts-2023/Convention-F.pdf" TargetMode="External"/><Relationship Id="rId32" Type="http://schemas.openxmlformats.org/officeDocument/2006/relationships/hyperlink" Target="https://app.powerbi.com/view?r=eyJrIjoiYTFjNzM1NGEtNWE0NS00ODQzLTg5MDUtZTE3NGFlZjNjZjkyIiwidCI6IjIzZTQ2NGQ3LTA0ZTYtNGI4Ny05MTNjLTI0YmQ4OTIxOWZkMyIsImMiOjl9" TargetMode="External"/><Relationship Id="rId53" Type="http://schemas.openxmlformats.org/officeDocument/2006/relationships/hyperlink" Target="https://www.itu.int/hub/publication/d-hdb-guidelines-04-2023/" TargetMode="External"/><Relationship Id="rId74" Type="http://schemas.openxmlformats.org/officeDocument/2006/relationships/hyperlink" Target="https://aiforgood.itu.int/event/how-chatgpt-will-change-the-classroom-teachers-and-students-discuss/" TargetMode="External"/><Relationship Id="rId128" Type="http://schemas.openxmlformats.org/officeDocument/2006/relationships/hyperlink" Target="https://fnc.itu.int/" TargetMode="External"/><Relationship Id="rId149" Type="http://schemas.openxmlformats.org/officeDocument/2006/relationships/hyperlink" Target="https://www.itu.int/en/council/Documents/basic-texts-2023/RES-140-F.pdf" TargetMode="External"/><Relationship Id="rId5" Type="http://schemas.openxmlformats.org/officeDocument/2006/relationships/webSettings" Target="webSettings.xml"/><Relationship Id="rId95" Type="http://schemas.openxmlformats.org/officeDocument/2006/relationships/hyperlink" Target="https://www.itu.int/fr/ITU-T/publications/Pages/recs.aspx" TargetMode="External"/><Relationship Id="rId160" Type="http://schemas.openxmlformats.org/officeDocument/2006/relationships/hyperlink" Target="https://www.itu.int/fr/ITU-R/seminars/rrs/RRS-23-Africa/Pages/default.aspx" TargetMode="External"/><Relationship Id="rId181" Type="http://schemas.openxmlformats.org/officeDocument/2006/relationships/header" Target="header3.xml"/><Relationship Id="rId22" Type="http://schemas.openxmlformats.org/officeDocument/2006/relationships/hyperlink" Target="https://www.itu.int/hub/2023/10/itu-receives-emmy-award-for-hdr-tv-and-transforming-the-world-of-television/" TargetMode="External"/><Relationship Id="rId43" Type="http://schemas.openxmlformats.org/officeDocument/2006/relationships/hyperlink" Target="https://www.itu.int/en/ITU-T/focusgroups/Pages/default.aspx" TargetMode="External"/><Relationship Id="rId64" Type="http://schemas.openxmlformats.org/officeDocument/2006/relationships/hyperlink" Target="https://www.itu.int/cities/digitaltransformationdialogues/" TargetMode="External"/><Relationship Id="rId118" Type="http://schemas.openxmlformats.org/officeDocument/2006/relationships/hyperlink" Target="https://www.itu.int/en/ITU-T/webinars/dfs/sc/Pages/default.aspx" TargetMode="External"/><Relationship Id="rId139" Type="http://schemas.openxmlformats.org/officeDocument/2006/relationships/hyperlink" Target="https://www.itu.int/initiatives/green-digital-action-atcop28/wp-content/uploads/sites/4/2023/12/Call-to-Action-Pillar4-Green-standards.pdf" TargetMode="External"/><Relationship Id="rId85" Type="http://schemas.openxmlformats.org/officeDocument/2006/relationships/hyperlink" Target="https://www.itu.int/en/ITU-T/accessibility/Pages/default.aspx" TargetMode="External"/><Relationship Id="rId150" Type="http://schemas.openxmlformats.org/officeDocument/2006/relationships/hyperlink" Target="https://www.itu.int/en/itu-wsis/Pages/Roadmaps.aspx" TargetMode="External"/><Relationship Id="rId171" Type="http://schemas.openxmlformats.org/officeDocument/2006/relationships/hyperlink" Target="https://www.itu.int/en/ITU-T/academia/kaleidoscope/Pages/default.aspx" TargetMode="External"/><Relationship Id="rId12" Type="http://schemas.openxmlformats.org/officeDocument/2006/relationships/hyperlink" Target="https://www.itu.int/fr/mediacentre/Pages/PR-2024-03-20-e-waste-recycling.aspx" TargetMode="External"/><Relationship Id="rId33" Type="http://schemas.openxmlformats.org/officeDocument/2006/relationships/hyperlink" Target="https://www.itu.int/en/ITU-D/Environment/Pages/Spotlight/Global-Ewaste-Monitor-2020.aspx" TargetMode="External"/><Relationship Id="rId108" Type="http://schemas.openxmlformats.org/officeDocument/2006/relationships/hyperlink" Target="https://giga.global/" TargetMode="External"/><Relationship Id="rId129" Type="http://schemas.openxmlformats.org/officeDocument/2006/relationships/hyperlink" Target="https://www.itu.int/en/ITU-T/extcoop/cits/Pages/default.aspx" TargetMode="External"/><Relationship Id="rId54" Type="http://schemas.openxmlformats.org/officeDocument/2006/relationships/hyperlink" Target="https://www.itu.int/hub/publication/d-gen-E_WASTE.04-2023/" TargetMode="External"/><Relationship Id="rId75" Type="http://schemas.openxmlformats.org/officeDocument/2006/relationships/hyperlink" Target="https://mailchi.mp/aiforgood/join-the-global-dialogue-on-ai-and-youth-take-the-survey" TargetMode="External"/><Relationship Id="rId96" Type="http://schemas.openxmlformats.org/officeDocument/2006/relationships/hyperlink" Target="https://www.itu.int/fr/ITU-T/studygroups/2022-2024/Pages/default.aspx" TargetMode="External"/><Relationship Id="rId140" Type="http://schemas.openxmlformats.org/officeDocument/2006/relationships/hyperlink" Target="https://aiforgood.itu.int/about-ai-for-good/aiml-solutions-for-climate-change/" TargetMode="External"/><Relationship Id="rId161" Type="http://schemas.openxmlformats.org/officeDocument/2006/relationships/hyperlink" Target="https://www.itu.int/en/ITU-R/conferences/wrc/2023/irwsp/Pages/2023.aspx" TargetMode="External"/><Relationship Id="rId182" Type="http://schemas.openxmlformats.org/officeDocument/2006/relationships/footer" Target="footer3.xml"/><Relationship Id="rId6" Type="http://schemas.openxmlformats.org/officeDocument/2006/relationships/footnotes" Target="footnotes.xml"/><Relationship Id="rId23" Type="http://schemas.openxmlformats.org/officeDocument/2006/relationships/hyperlink" Target="https://www.itu.int/pub/R-RES-R.1/fr" TargetMode="External"/><Relationship Id="rId119" Type="http://schemas.openxmlformats.org/officeDocument/2006/relationships/hyperlink" Target="https://www.itu.int/en/ITU-T/dfs/Documents/Security%20recommendations%20for%20regulators%20and%20DFS%20providers%20developed%20under%20FIGI-updated%20March%202023.pdf" TargetMode="External"/><Relationship Id="rId44" Type="http://schemas.openxmlformats.org/officeDocument/2006/relationships/hyperlink" Target="https://aiforgood.itu.int/" TargetMode="External"/><Relationship Id="rId60" Type="http://schemas.openxmlformats.org/officeDocument/2006/relationships/hyperlink" Target="https://u4ssc.itu.int/latest-meetings/7th-meeting/" TargetMode="External"/><Relationship Id="rId65" Type="http://schemas.openxmlformats.org/officeDocument/2006/relationships/hyperlink" Target="https://www.itu.int/itu-d/sites/digital-impact-unlocked/smart-seas-project-for-caribbean-small-scale-fishers/" TargetMode="External"/><Relationship Id="rId81" Type="http://schemas.openxmlformats.org/officeDocument/2006/relationships/hyperlink" Target="https://www.itu.int/wtsa/2024" TargetMode="External"/><Relationship Id="rId86" Type="http://schemas.openxmlformats.org/officeDocument/2006/relationships/hyperlink" Target="https://www.itu.int/pub/R-RES-R.67/fr" TargetMode="External"/><Relationship Id="rId130" Type="http://schemas.openxmlformats.org/officeDocument/2006/relationships/hyperlink" Target="https://www.itu.int/itu-t/landscape/?topic=tx21&amp;group=g&amp;search_text=" TargetMode="External"/><Relationship Id="rId135" Type="http://schemas.openxmlformats.org/officeDocument/2006/relationships/hyperlink" Target="https://www.itu.int/en/ITU-T/tsbdir/cto/Documents/Communique_ITU_CxO_2023.pdf" TargetMode="External"/><Relationship Id="rId151" Type="http://schemas.openxmlformats.org/officeDocument/2006/relationships/hyperlink" Target="https://www.itu.int/net4/wsis/stocktaking" TargetMode="External"/><Relationship Id="rId156" Type="http://schemas.openxmlformats.org/officeDocument/2006/relationships/hyperlink" Target="https://www.itu.int/net4/wsis/sdg/" TargetMode="External"/><Relationship Id="rId177" Type="http://schemas.openxmlformats.org/officeDocument/2006/relationships/header" Target="header1.xml"/><Relationship Id="rId172" Type="http://schemas.openxmlformats.org/officeDocument/2006/relationships/hyperlink" Target="https://www.itu.int/en/ITU-D/Projects/Pages/reports/default.aspx" TargetMode="External"/><Relationship Id="rId13" Type="http://schemas.openxmlformats.org/officeDocument/2006/relationships/hyperlink" Target="https://www.itu.int/pub/R-REC/fr" TargetMode="External"/><Relationship Id="rId18" Type="http://schemas.openxmlformats.org/officeDocument/2006/relationships/hyperlink" Target="https://www.itu.int/pub/R-REC/fr" TargetMode="External"/><Relationship Id="rId39" Type="http://schemas.openxmlformats.org/officeDocument/2006/relationships/hyperlink" Target="file:///C:\Users\dawonauth\Documents\&#224;" TargetMode="External"/><Relationship Id="rId109" Type="http://schemas.openxmlformats.org/officeDocument/2006/relationships/hyperlink" Target="https://aiforgood.itu.int/" TargetMode="External"/><Relationship Id="rId34" Type="http://schemas.openxmlformats.org/officeDocument/2006/relationships/hyperlink" Target="https://documents1.worldbank.org/curated/en/099121223165540890/pdf/P17859712a98880541a4b71d57876048abb.pdf" TargetMode="External"/><Relationship Id="rId50" Type="http://schemas.openxmlformats.org/officeDocument/2006/relationships/hyperlink" Target="https://www.itu.int/en/ITU-T/focusgroups/mv/Pages/deliverables.aspx" TargetMode="External"/><Relationship Id="rId55" Type="http://schemas.openxmlformats.org/officeDocument/2006/relationships/hyperlink" Target="https://www.itu.int/pub/D-HDB-E%20WASTE-2023-WB/fr" TargetMode="External"/><Relationship Id="rId76" Type="http://schemas.openxmlformats.org/officeDocument/2006/relationships/hyperlink" Target="https://aiforgood.itu.int/event/replay-the-impact-of-ai-on-youth-opportunities-and-challenges/" TargetMode="External"/><Relationship Id="rId97" Type="http://schemas.openxmlformats.org/officeDocument/2006/relationships/hyperlink" Target="https://www.itu.int/en/ITU-T/focusgroups/Pages/default.aspx" TargetMode="External"/><Relationship Id="rId104" Type="http://schemas.openxmlformats.org/officeDocument/2006/relationships/hyperlink" Target="https://www.un.org/en/conferences/SDGSummit2023/SDG-Action-Weekend" TargetMode="External"/><Relationship Id="rId120" Type="http://schemas.openxmlformats.org/officeDocument/2006/relationships/hyperlink" Target="https://figi.itu.int/" TargetMode="External"/><Relationship Id="rId125" Type="http://schemas.openxmlformats.org/officeDocument/2006/relationships/hyperlink" Target="https://u4ssc.itu.int/latest-meetings/7th-meeting/" TargetMode="External"/><Relationship Id="rId141" Type="http://schemas.openxmlformats.org/officeDocument/2006/relationships/hyperlink" Target="https://aiforgood.itu.int/about-ai-for-good/innovation-factory/" TargetMode="External"/><Relationship Id="rId146" Type="http://schemas.openxmlformats.org/officeDocument/2006/relationships/hyperlink" Target="https://www.itu.int/en/ITU-T/focusgroups/ai4ndm/Pages/default.aspx" TargetMode="External"/><Relationship Id="rId167" Type="http://schemas.openxmlformats.org/officeDocument/2006/relationships/hyperlink" Target="https://www.itu.int/en/journal/j-fet/Pages/default.aspx" TargetMode="External"/><Relationship Id="rId7" Type="http://schemas.openxmlformats.org/officeDocument/2006/relationships/endnotes" Target="endnotes.xml"/><Relationship Id="rId71" Type="http://schemas.openxmlformats.org/officeDocument/2006/relationships/hyperlink" Target="https://www.itu.int/en/action/gender-equality/data/Pages/default.aspx" TargetMode="External"/><Relationship Id="rId92" Type="http://schemas.openxmlformats.org/officeDocument/2006/relationships/hyperlink" Target="https://www.itu.int/fr/ITU-T/publications/Pages/recs.aspx" TargetMode="External"/><Relationship Id="rId162" Type="http://schemas.openxmlformats.org/officeDocument/2006/relationships/hyperlink" Target="https://www.itu.int/en/ITU-R/study-groups/rsg4/Pages/Workshop-ITU-in-Service-of-Space.aspx"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itu.int/pub/R-RES-R.74/fr" TargetMode="External"/><Relationship Id="rId24" Type="http://schemas.openxmlformats.org/officeDocument/2006/relationships/hyperlink" Target="https://www.itu.int/pub/R-RES-R.5/fr" TargetMode="External"/><Relationship Id="rId40" Type="http://schemas.openxmlformats.org/officeDocument/2006/relationships/hyperlink" Target="https://www.itu.int/fr/ITU-R/terrestrial/Pages/default.aspx" TargetMode="External"/><Relationship Id="rId45" Type="http://schemas.openxmlformats.org/officeDocument/2006/relationships/hyperlink" Target="https://aiforgood.itu.int/about-ai-for-good/aiml-in-5g-challenge/" TargetMode="External"/><Relationship Id="rId66" Type="http://schemas.openxmlformats.org/officeDocument/2006/relationships/hyperlink" Target="https://youtu.be/7zl5ZSdoJbE?feature=shared" TargetMode="External"/><Relationship Id="rId87" Type="http://schemas.openxmlformats.org/officeDocument/2006/relationships/hyperlink" Target="https://www.itu.int/rec/R-REC-BT.1702" TargetMode="External"/><Relationship Id="rId110" Type="http://schemas.openxmlformats.org/officeDocument/2006/relationships/hyperlink" Target="https://aiforgood.itu.int/summit23/" TargetMode="External"/><Relationship Id="rId115" Type="http://schemas.openxmlformats.org/officeDocument/2006/relationships/hyperlink" Target="https://www.itu.int/en/ITU-T/focusgroups/ai4h/Pages/default.aspx" TargetMode="External"/><Relationship Id="rId131" Type="http://schemas.openxmlformats.org/officeDocument/2006/relationships/hyperlink" Target="https://www.itu.int/en/ITU-T/extcoop/cits/Pages/egcomad.aspx" TargetMode="External"/><Relationship Id="rId136" Type="http://schemas.openxmlformats.org/officeDocument/2006/relationships/hyperlink" Target="https://www.itu.int/initiatives/green-digital-action-atcop28/" TargetMode="External"/><Relationship Id="rId157" Type="http://schemas.openxmlformats.org/officeDocument/2006/relationships/hyperlink" Target="https://www.itu.int/itu-d/meetings/gsr-23/fr/" TargetMode="External"/><Relationship Id="rId178" Type="http://schemas.openxmlformats.org/officeDocument/2006/relationships/header" Target="header2.xml"/><Relationship Id="rId61" Type="http://schemas.openxmlformats.org/officeDocument/2006/relationships/hyperlink" Target="https://u4ssc.itu.int/u4ssc-management-team/" TargetMode="External"/><Relationship Id="rId82" Type="http://schemas.openxmlformats.org/officeDocument/2006/relationships/hyperlink" Target="https://www.itu.int/en/ITU-D/Digital-Inclusion/Pages/ICT-digital-accessibility/default.aspx" TargetMode="External"/><Relationship Id="rId152" Type="http://schemas.openxmlformats.org/officeDocument/2006/relationships/hyperlink" Target="https://www.itu.int/net4/wsis/stocktaking/Prizes/2024" TargetMode="External"/><Relationship Id="rId173" Type="http://schemas.openxmlformats.org/officeDocument/2006/relationships/hyperlink" Target="https://www.itu.int/hub/2023/03/itu-opens-area-office-and-innovation-centre-in-new-delhi/" TargetMode="External"/><Relationship Id="rId19" Type="http://schemas.openxmlformats.org/officeDocument/2006/relationships/hyperlink" Target="https://www.itu.int/hub/2024/03/new-itu-clock-concept-for-more-resilient-synchronization-networks/" TargetMode="External"/><Relationship Id="rId14" Type="http://schemas.openxmlformats.org/officeDocument/2006/relationships/hyperlink" Target="https://www.itu.int/fr/council/planning/Pages/default.aspx" TargetMode="External"/><Relationship Id="rId30" Type="http://schemas.openxmlformats.org/officeDocument/2006/relationships/hyperlink" Target="https://www.itu.int/pub/R-RES-R.75/fr" TargetMode="External"/><Relationship Id="rId35" Type="http://schemas.openxmlformats.org/officeDocument/2006/relationships/hyperlink" Target="https://www.itu.int/itu-d/reports/statistics/2023/10/10/ff23-mobile-phone-ownership/" TargetMode="External"/><Relationship Id="rId56" Type="http://schemas.openxmlformats.org/officeDocument/2006/relationships/hyperlink" Target="https://www.itu.int/itu-d/sites/environment/" TargetMode="External"/><Relationship Id="rId77" Type="http://schemas.openxmlformats.org/officeDocument/2006/relationships/hyperlink" Target="https://www.itu.int/md/S24-CL-C-0031/en" TargetMode="External"/><Relationship Id="rId100" Type="http://schemas.openxmlformats.org/officeDocument/2006/relationships/hyperlink" Target="https://www.itu.int/itu-d/sites/partner2connect/partner2connect-annual-meeting-2023/" TargetMode="External"/><Relationship Id="rId105" Type="http://schemas.openxmlformats.org/officeDocument/2006/relationships/hyperlink" Target="https://www.un.org/fr/sdg-summit-2023/page/transformative-action" TargetMode="External"/><Relationship Id="rId126" Type="http://schemas.openxmlformats.org/officeDocument/2006/relationships/hyperlink" Target="https://u4ssc.itu.int/u4ssc-management-team/" TargetMode="External"/><Relationship Id="rId147" Type="http://schemas.openxmlformats.org/officeDocument/2006/relationships/hyperlink" Target="https://www.itu.int/en/ITU-T/focusgroups/ai4a/Pages/default.aspx" TargetMode="External"/><Relationship Id="rId168" Type="http://schemas.openxmlformats.org/officeDocument/2006/relationships/hyperlink" Target="https://www.itu.int/en/ITU-T/academia/kaleidoscope/Pages/default.aspx" TargetMode="External"/><Relationship Id="rId8" Type="http://schemas.openxmlformats.org/officeDocument/2006/relationships/hyperlink" Target="https://www.itu.int/en/council/Documents/basic-texts-2023/RES-071-F.pdf" TargetMode="External"/><Relationship Id="rId51" Type="http://schemas.openxmlformats.org/officeDocument/2006/relationships/hyperlink" Target="https://www.itu.int/itu-d/sites/digital-impact-unlocked/opening-of-the-ipv6-laboratory-in-montenegro/" TargetMode="External"/><Relationship Id="rId72" Type="http://schemas.openxmlformats.org/officeDocument/2006/relationships/hyperlink" Target="https://www.itu.int/en/action/youth/Pages/itu-secretary-generals-youth-advisory-board.aspx" TargetMode="External"/><Relationship Id="rId93" Type="http://schemas.openxmlformats.org/officeDocument/2006/relationships/hyperlink" Target="https://www.itu.int/pub/R-REC/fr" TargetMode="External"/><Relationship Id="rId98" Type="http://schemas.openxmlformats.org/officeDocument/2006/relationships/hyperlink" Target="https://www.itu.int/pub/R-REC/fr" TargetMode="External"/><Relationship Id="rId121" Type="http://schemas.openxmlformats.org/officeDocument/2006/relationships/hyperlink" Target="https://u4ssc.itu.int/" TargetMode="External"/><Relationship Id="rId142" Type="http://schemas.openxmlformats.org/officeDocument/2006/relationships/hyperlink" Target="https://www.itu.int/fr/ITU-T/extcoop/Pages/wsc.aspx" TargetMode="External"/><Relationship Id="rId163" Type="http://schemas.openxmlformats.org/officeDocument/2006/relationships/hyperlink" Target="https://www.itu.int/en/ITU-R/study-groups/workshops/sg6-itu-ebu-btc-2023/Pages/default.aspx"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itu.int/pub/R-RES-R.56/fr" TargetMode="External"/><Relationship Id="rId46" Type="http://schemas.openxmlformats.org/officeDocument/2006/relationships/hyperlink" Target="https://aiforgood.itu.int/about-ai-for-good/geoai-challenge/" TargetMode="External"/><Relationship Id="rId67" Type="http://schemas.openxmlformats.org/officeDocument/2006/relationships/hyperlink" Target="https://www.itu.int/md/S24-CL-C-0018/en" TargetMode="External"/><Relationship Id="rId116" Type="http://schemas.openxmlformats.org/officeDocument/2006/relationships/hyperlink" Target="https://www.itu.int/en/ITU-T/dfs/Documents/ITU%20Cyber%20Security%20Resilience%20Assessment%20toolkit%20for%20DFS%20Critical%20Infrastructure.pdf" TargetMode="External"/><Relationship Id="rId137" Type="http://schemas.openxmlformats.org/officeDocument/2006/relationships/hyperlink" Target="https://www.itu.int/initiatives/green-digital-action-atcop28/about/outcomes/" TargetMode="External"/><Relationship Id="rId158" Type="http://schemas.openxmlformats.org/officeDocument/2006/relationships/hyperlink" Target="https://www.itu.int/itu-d/meetings/gsr-23/fr/" TargetMode="External"/><Relationship Id="rId20" Type="http://schemas.openxmlformats.org/officeDocument/2006/relationships/hyperlink" Target="https://www.itu.int/fr/mediacentre/Pages/PR-2024-03-20-e-waste-recycling.aspx" TargetMode="External"/><Relationship Id="rId41" Type="http://schemas.openxmlformats.org/officeDocument/2006/relationships/hyperlink" Target="https://www.itu.int/md/S23-CL-C-0035/fr" TargetMode="External"/><Relationship Id="rId62" Type="http://schemas.openxmlformats.org/officeDocument/2006/relationships/hyperlink" Target="https://u4ssc.itu.int/publications/" TargetMode="External"/><Relationship Id="rId83" Type="http://schemas.openxmlformats.org/officeDocument/2006/relationships/hyperlink" Target="https://www.itu.int/en/action/accessibility/Pages/hlmdd2013.aspx" TargetMode="External"/><Relationship Id="rId88" Type="http://schemas.openxmlformats.org/officeDocument/2006/relationships/hyperlink" Target="https://www.itu.int/fr/ITU-R/information/Pages/disabilities-divide.aspx" TargetMode="External"/><Relationship Id="rId111" Type="http://schemas.openxmlformats.org/officeDocument/2006/relationships/hyperlink" Target="https://aiforgood.itu.int/event/programme/" TargetMode="External"/><Relationship Id="rId132" Type="http://schemas.openxmlformats.org/officeDocument/2006/relationships/hyperlink" Target="https://www.itu.int/en/ITU-T/ITS/Pages/default.aspx" TargetMode="External"/><Relationship Id="rId153" Type="http://schemas.openxmlformats.org/officeDocument/2006/relationships/hyperlink" Target="https://www.itu.int/net4/wsis/forum/2023/fr" TargetMode="External"/><Relationship Id="rId174" Type="http://schemas.openxmlformats.org/officeDocument/2006/relationships/image" Target="media/image1.jpeg"/><Relationship Id="rId179" Type="http://schemas.openxmlformats.org/officeDocument/2006/relationships/footer" Target="footer1.xml"/><Relationship Id="rId15" Type="http://schemas.openxmlformats.org/officeDocument/2006/relationships/hyperlink" Target="https://www.itu.int/generationconnect/" TargetMode="External"/><Relationship Id="rId36" Type="http://schemas.openxmlformats.org/officeDocument/2006/relationships/hyperlink" Target="https://www.itu.int/en/ITU-D/Statistics/Pages/expertgroups.aspx" TargetMode="External"/><Relationship Id="rId57" Type="http://schemas.openxmlformats.org/officeDocument/2006/relationships/hyperlink" Target="https://u4ssc.itu.int/" TargetMode="External"/><Relationship Id="rId106" Type="http://schemas.openxmlformats.org/officeDocument/2006/relationships/hyperlink" Target="https://www.broadbandcommission.org/publication/state-of-broadband-2023/" TargetMode="External"/><Relationship Id="rId127" Type="http://schemas.openxmlformats.org/officeDocument/2006/relationships/hyperlink" Target="https://u4ssc.itu.int/publications/" TargetMode="External"/><Relationship Id="rId10" Type="http://schemas.openxmlformats.org/officeDocument/2006/relationships/hyperlink" Target="https://www.itu.int/en/council/Documents/basic-texts-2023/RES-200-F.pdf" TargetMode="External"/><Relationship Id="rId31" Type="http://schemas.openxmlformats.org/officeDocument/2006/relationships/hyperlink" Target="https://www.itu.int/md/R23-WRC23-C-0217/fr" TargetMode="External"/><Relationship Id="rId52" Type="http://schemas.openxmlformats.org/officeDocument/2006/relationships/hyperlink" Target="https://www.itu.int/en/ITU-D/Environment/Pages/Toolbox/Green-data-center-guide.aspx" TargetMode="External"/><Relationship Id="rId73" Type="http://schemas.openxmlformats.org/officeDocument/2006/relationships/hyperlink" Target="https://www.itu.int/generationconnect/empower/generation-connect-young-leadership-programme-in-partnership-with-huawei/" TargetMode="External"/><Relationship Id="rId78" Type="http://schemas.openxmlformats.org/officeDocument/2006/relationships/hyperlink" Target="https://www.itu.int/md/S24-CL-C-0032/en" TargetMode="External"/><Relationship Id="rId94" Type="http://schemas.openxmlformats.org/officeDocument/2006/relationships/hyperlink" Target="https://www.itu.int/itu-t/workprog/wp_search.aspx?isn_sp=8265&amp;isn_status=-1,2&amp;adf=2022-07-01&amp;adt=2023-03-20&amp;details=0&amp;field=acdefghijo" TargetMode="External"/><Relationship Id="rId99" Type="http://schemas.openxmlformats.org/officeDocument/2006/relationships/hyperlink" Target="https://www.itu.int/itu-d/sites/partner2connect/fr/" TargetMode="External"/><Relationship Id="rId101" Type="http://schemas.openxmlformats.org/officeDocument/2006/relationships/hyperlink" Target="https://www.itu.int/itu-d/reports/partner2connect-annual-report-2023/" TargetMode="External"/><Relationship Id="rId122" Type="http://schemas.openxmlformats.org/officeDocument/2006/relationships/hyperlink" Target="https://u4ssc.itu.int/u4ssc-kpis-report/" TargetMode="External"/><Relationship Id="rId143" Type="http://schemas.openxmlformats.org/officeDocument/2006/relationships/hyperlink" Target="https://www.worldstandardsday.org/home.html" TargetMode="External"/><Relationship Id="rId148" Type="http://schemas.openxmlformats.org/officeDocument/2006/relationships/hyperlink" Target="https://www.itu.int/net4/wsis/forum/2024/fr" TargetMode="External"/><Relationship Id="rId164" Type="http://schemas.openxmlformats.org/officeDocument/2006/relationships/hyperlink" Target="https://aiforgood.itu.int/" TargetMode="External"/><Relationship Id="rId169" Type="http://schemas.openxmlformats.org/officeDocument/2006/relationships/hyperlink" Target="https://www.itu.int/en/journal/j-fet/Pages/default.aspx" TargetMode="External"/><Relationship Id="rId4" Type="http://schemas.openxmlformats.org/officeDocument/2006/relationships/settings" Target="settings.xml"/><Relationship Id="rId9" Type="http://schemas.openxmlformats.org/officeDocument/2006/relationships/hyperlink" Target="https://www.itu.int/en/council/Documents/basic-texts-2023/RES-151-F.pdf" TargetMode="External"/><Relationship Id="rId180" Type="http://schemas.openxmlformats.org/officeDocument/2006/relationships/footer" Target="footer2.xml"/><Relationship Id="rId26" Type="http://schemas.openxmlformats.org/officeDocument/2006/relationships/hyperlink" Target="https://www.itu.int/pub/R-RES-R.65/fr" TargetMode="External"/><Relationship Id="rId47" Type="http://schemas.openxmlformats.org/officeDocument/2006/relationships/hyperlink" Target="https://aiforgood.itu.int/about-ai-for-good/aiml-solutions-for-climate-change/" TargetMode="External"/><Relationship Id="rId68" Type="http://schemas.openxmlformats.org/officeDocument/2006/relationships/hyperlink" Target="https://www.itu.int/en/action/cybersecurity/Pages/default.aspx" TargetMode="External"/><Relationship Id="rId89" Type="http://schemas.openxmlformats.org/officeDocument/2006/relationships/hyperlink" Target="https://www.itu.int/cities/wp-content/uploads/2023/04/The-role-of-Digital-Technologies-in-Aging-and-Health.pdf" TargetMode="External"/><Relationship Id="rId112" Type="http://schemas.openxmlformats.org/officeDocument/2006/relationships/hyperlink" Target="https://aiforgood.itu.int/neural-network/" TargetMode="External"/><Relationship Id="rId133" Type="http://schemas.openxmlformats.org/officeDocument/2006/relationships/hyperlink" Target="https://www.itu.int/en/ITU-T/tsbdir/cto/Pages/default.aspx" TargetMode="External"/><Relationship Id="rId154" Type="http://schemas.openxmlformats.org/officeDocument/2006/relationships/hyperlink" Target="https://www.itu.int/net4/wsis/forum/2024/fr/Home/WSISTalkX" TargetMode="External"/><Relationship Id="rId175" Type="http://schemas.openxmlformats.org/officeDocument/2006/relationships/image" Target="media/image2.png"/><Relationship Id="rId16" Type="http://schemas.openxmlformats.org/officeDocument/2006/relationships/hyperlink" Target="https://www.itu.int/en/ITU-D/Digital-Inclusion/Pages/ICT-digital-accessibility/default.aspx" TargetMode="External"/><Relationship Id="rId37" Type="http://schemas.openxmlformats.org/officeDocument/2006/relationships/hyperlink" Target="https://www.itu.int/highlights-report-activities/connect2030-agenda/" TargetMode="External"/><Relationship Id="rId58" Type="http://schemas.openxmlformats.org/officeDocument/2006/relationships/hyperlink" Target="https://u4ssc.itu.int/u4ssc-kpis-report/" TargetMode="External"/><Relationship Id="rId79" Type="http://schemas.openxmlformats.org/officeDocument/2006/relationships/hyperlink" Target="https://www.itu.int/itu-d/sites/digital-impact-unlocked/empowering-children-online-in-zimbabwe/" TargetMode="External"/><Relationship Id="rId102" Type="http://schemas.openxmlformats.org/officeDocument/2006/relationships/hyperlink" Target="https://www.itu.int/fr/mediacentre/Pages/PR-2024-02-26-mobile-world-congress-universal-meaningful-connectivity.aspx" TargetMode="External"/><Relationship Id="rId123" Type="http://schemas.openxmlformats.org/officeDocument/2006/relationships/hyperlink" Target="https://u4ssc.itu.int/u4ssc-kpis-report/" TargetMode="External"/><Relationship Id="rId144" Type="http://schemas.openxmlformats.org/officeDocument/2006/relationships/hyperlink" Target="https://www.worldstandardscooperation.org/what-we-do/world-standards-day/" TargetMode="External"/><Relationship Id="rId90" Type="http://schemas.openxmlformats.org/officeDocument/2006/relationships/hyperlink" Target="https://www.itu.int/bsg" TargetMode="External"/><Relationship Id="rId165" Type="http://schemas.openxmlformats.org/officeDocument/2006/relationships/hyperlink" Target="https://www.itu.int/en/ITU-T/Workshops-and-Seminars/Pages/default.aspx" TargetMode="External"/><Relationship Id="rId27" Type="http://schemas.openxmlformats.org/officeDocument/2006/relationships/hyperlink" Target="https://www.itu.int/pub/R-RES-R.72/fr" TargetMode="External"/><Relationship Id="rId48" Type="http://schemas.openxmlformats.org/officeDocument/2006/relationships/hyperlink" Target="https://aiforgood.itu.int/about-ai-for-good/ai-for-fusion-energy-challenge/" TargetMode="External"/><Relationship Id="rId69" Type="http://schemas.openxmlformats.org/officeDocument/2006/relationships/hyperlink" Target="https://www.itu.int/md/S24-CL-C-0006/en" TargetMode="External"/><Relationship Id="rId113" Type="http://schemas.openxmlformats.org/officeDocument/2006/relationships/hyperlink" Target="https://www.itu.int/hub/2023/07/new-un-initiative-aims-to-step-up-ais-contribution-to-health/" TargetMode="External"/><Relationship Id="rId134" Type="http://schemas.openxmlformats.org/officeDocument/2006/relationships/hyperlink" Target="https://www.itu.int/en/ITU-T/tsbdir/CxO/Pages/CxO-20231205.aspx" TargetMode="External"/><Relationship Id="rId80" Type="http://schemas.openxmlformats.org/officeDocument/2006/relationships/hyperlink" Target="https://www.itu.int/en/ITU-T/academia/kaleidoscope/2024/Pages/default.aspx" TargetMode="External"/><Relationship Id="rId155" Type="http://schemas.openxmlformats.org/officeDocument/2006/relationships/hyperlink" Target="https://www.itu.int/net4/wsis/forum/2023/fr/Home/Hackathon" TargetMode="External"/><Relationship Id="rId176" Type="http://schemas.openxmlformats.org/officeDocument/2006/relationships/hyperlink" Target="https://www.itu.int/net4/Search/CL24/" TargetMode="External"/><Relationship Id="rId17" Type="http://schemas.openxmlformats.org/officeDocument/2006/relationships/hyperlink" Target="https://aiforgood.itu.int/scaling-up-global-action-on-sustainable-development-winning-ai-start-up-awarded-at-ai-for-good-global-summit/" TargetMode="External"/><Relationship Id="rId38" Type="http://schemas.openxmlformats.org/officeDocument/2006/relationships/hyperlink" Target="https://www.itu.int/highlights-report-activities/connect2030-agenda/" TargetMode="External"/><Relationship Id="rId59" Type="http://schemas.openxmlformats.org/officeDocument/2006/relationships/hyperlink" Target="https://u4ssc.itu.int/u4ssc-kpis-report/" TargetMode="External"/><Relationship Id="rId103" Type="http://schemas.openxmlformats.org/officeDocument/2006/relationships/hyperlink" Target="https://sdgs.un.org/fr" TargetMode="External"/><Relationship Id="rId124" Type="http://schemas.openxmlformats.org/officeDocument/2006/relationships/hyperlink" Target="https://u4ssc.itu.int/publications/" TargetMode="External"/><Relationship Id="rId70" Type="http://schemas.openxmlformats.org/officeDocument/2006/relationships/hyperlink" Target="https://www.itu.int/en/action/gender-equality/Pages/default.aspx" TargetMode="External"/><Relationship Id="rId91" Type="http://schemas.openxmlformats.org/officeDocument/2006/relationships/hyperlink" Target="https://www.itu.int/itu-d/sites/digital-impact-unlocked/national-roll-outs-of-early-warnings-for-all-ew4all-initiative-begin/" TargetMode="External"/><Relationship Id="rId145" Type="http://schemas.openxmlformats.org/officeDocument/2006/relationships/hyperlink" Target="https://www.worldstandardscooperation.org/" TargetMode="External"/><Relationship Id="rId166" Type="http://schemas.openxmlformats.org/officeDocument/2006/relationships/hyperlink" Target="https://www.itu.int/hub/membership/" TargetMode="External"/><Relationship Id="rId1" Type="http://schemas.openxmlformats.org/officeDocument/2006/relationships/customXml" Target="../customXml/item1.xml"/><Relationship Id="rId28" Type="http://schemas.openxmlformats.org/officeDocument/2006/relationships/hyperlink" Target="https://www.itu.int/pub/R-RES-R.73/fr" TargetMode="External"/><Relationship Id="rId49" Type="http://schemas.openxmlformats.org/officeDocument/2006/relationships/hyperlink" Target="https://www.itu.int/en/ITU-T/focusgroups/mv/Pages/default.aspx" TargetMode="External"/><Relationship Id="rId114" Type="http://schemas.openxmlformats.org/officeDocument/2006/relationships/hyperlink" Target="https://aiforgood.itu.int/summit23/"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12F1-A7BF-4086-B6D3-97A62199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55</Pages>
  <Words>24115</Words>
  <Characters>150324</Characters>
  <Application>Microsoft Office Word</Application>
  <DocSecurity>0</DocSecurity>
  <Lines>1252</Lines>
  <Paragraphs>348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174091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Brouard, Ricarda</cp:lastModifiedBy>
  <cp:revision>2</cp:revision>
  <cp:lastPrinted>2000-07-18T08:55:00Z</cp:lastPrinted>
  <dcterms:created xsi:type="dcterms:W3CDTF">2024-05-23T12:51:00Z</dcterms:created>
  <dcterms:modified xsi:type="dcterms:W3CDTF">2024-05-23T12:51:00Z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