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F8275B" w14:paraId="16C8DD02" w14:textId="77777777" w:rsidTr="00C538FC">
        <w:trPr>
          <w:cantSplit/>
          <w:trHeight w:val="23"/>
        </w:trPr>
        <w:tc>
          <w:tcPr>
            <w:tcW w:w="3969" w:type="dxa"/>
            <w:vMerge w:val="restart"/>
            <w:tcMar>
              <w:left w:w="0" w:type="dxa"/>
            </w:tcMar>
          </w:tcPr>
          <w:p w14:paraId="380780FF" w14:textId="6A907A40" w:rsidR="00FE57F6" w:rsidRPr="00F8275B" w:rsidRDefault="00AC3DB7" w:rsidP="00C538FC">
            <w:pPr>
              <w:tabs>
                <w:tab w:val="left" w:pos="851"/>
              </w:tabs>
              <w:spacing w:before="0" w:line="240" w:lineRule="atLeast"/>
              <w:rPr>
                <w:b/>
                <w:lang w:val="es-ES"/>
              </w:rPr>
            </w:pPr>
            <w:bookmarkStart w:id="0" w:name="_Hlk133421839"/>
            <w:r w:rsidRPr="00F8275B">
              <w:rPr>
                <w:b/>
                <w:lang w:val="es-ES"/>
              </w:rPr>
              <w:t>Punto del orden del día: PL 1</w:t>
            </w:r>
          </w:p>
        </w:tc>
        <w:tc>
          <w:tcPr>
            <w:tcW w:w="5245" w:type="dxa"/>
          </w:tcPr>
          <w:p w14:paraId="12EC8577" w14:textId="081D968D" w:rsidR="00FE57F6" w:rsidRPr="00F8275B" w:rsidRDefault="00FE57F6" w:rsidP="00C538FC">
            <w:pPr>
              <w:tabs>
                <w:tab w:val="left" w:pos="851"/>
              </w:tabs>
              <w:spacing w:before="0" w:line="240" w:lineRule="atLeast"/>
              <w:jc w:val="right"/>
              <w:rPr>
                <w:b/>
                <w:lang w:val="es-ES"/>
              </w:rPr>
            </w:pPr>
            <w:r w:rsidRPr="00F8275B">
              <w:rPr>
                <w:b/>
                <w:lang w:val="es-ES"/>
              </w:rPr>
              <w:t>Document</w:t>
            </w:r>
            <w:r w:rsidR="00F24B71" w:rsidRPr="00F8275B">
              <w:rPr>
                <w:b/>
                <w:lang w:val="es-ES"/>
              </w:rPr>
              <w:t>o</w:t>
            </w:r>
            <w:r w:rsidRPr="00F8275B">
              <w:rPr>
                <w:b/>
                <w:lang w:val="es-ES"/>
              </w:rPr>
              <w:t xml:space="preserve"> C2</w:t>
            </w:r>
            <w:r w:rsidR="0064481D" w:rsidRPr="00F8275B">
              <w:rPr>
                <w:b/>
                <w:lang w:val="es-ES"/>
              </w:rPr>
              <w:t>4</w:t>
            </w:r>
            <w:r w:rsidRPr="00F8275B">
              <w:rPr>
                <w:b/>
                <w:lang w:val="es-ES"/>
              </w:rPr>
              <w:t>/</w:t>
            </w:r>
            <w:r w:rsidR="00AC3DB7" w:rsidRPr="00F8275B">
              <w:rPr>
                <w:b/>
                <w:lang w:val="es-ES"/>
              </w:rPr>
              <w:t>35</w:t>
            </w:r>
            <w:r w:rsidRPr="00F8275B">
              <w:rPr>
                <w:b/>
                <w:lang w:val="es-ES"/>
              </w:rPr>
              <w:t>-</w:t>
            </w:r>
            <w:r w:rsidR="00F24B71" w:rsidRPr="00F8275B">
              <w:rPr>
                <w:b/>
                <w:lang w:val="es-ES"/>
              </w:rPr>
              <w:t>S</w:t>
            </w:r>
          </w:p>
        </w:tc>
      </w:tr>
      <w:tr w:rsidR="00FE57F6" w:rsidRPr="00F8275B" w14:paraId="2F7BAD0F" w14:textId="77777777" w:rsidTr="00C538FC">
        <w:trPr>
          <w:cantSplit/>
        </w:trPr>
        <w:tc>
          <w:tcPr>
            <w:tcW w:w="3969" w:type="dxa"/>
            <w:vMerge/>
          </w:tcPr>
          <w:p w14:paraId="32D340BD" w14:textId="77777777" w:rsidR="00FE57F6" w:rsidRPr="00F8275B" w:rsidRDefault="00FE57F6" w:rsidP="00C538FC">
            <w:pPr>
              <w:tabs>
                <w:tab w:val="left" w:pos="851"/>
              </w:tabs>
              <w:spacing w:line="240" w:lineRule="atLeast"/>
              <w:rPr>
                <w:b/>
                <w:lang w:val="es-ES"/>
              </w:rPr>
            </w:pPr>
          </w:p>
        </w:tc>
        <w:tc>
          <w:tcPr>
            <w:tcW w:w="5245" w:type="dxa"/>
          </w:tcPr>
          <w:p w14:paraId="6D67502D" w14:textId="5D7C4C58" w:rsidR="00FE57F6" w:rsidRPr="00F8275B" w:rsidRDefault="00B55A95" w:rsidP="00AC3DB7">
            <w:pPr>
              <w:tabs>
                <w:tab w:val="left" w:pos="851"/>
              </w:tabs>
              <w:spacing w:before="0"/>
              <w:jc w:val="right"/>
              <w:rPr>
                <w:b/>
                <w:lang w:val="es-ES"/>
              </w:rPr>
            </w:pPr>
            <w:r w:rsidRPr="00F8275B">
              <w:rPr>
                <w:b/>
                <w:lang w:val="es-ES"/>
              </w:rPr>
              <w:t>9 de mayo de</w:t>
            </w:r>
            <w:r w:rsidR="00AC3DB7" w:rsidRPr="00F8275B">
              <w:rPr>
                <w:b/>
                <w:lang w:val="es-ES"/>
              </w:rPr>
              <w:t xml:space="preserve"> 2024</w:t>
            </w:r>
          </w:p>
        </w:tc>
      </w:tr>
      <w:tr w:rsidR="00FE57F6" w:rsidRPr="00F8275B" w14:paraId="14ED61B8" w14:textId="77777777" w:rsidTr="00C538FC">
        <w:trPr>
          <w:cantSplit/>
          <w:trHeight w:val="23"/>
        </w:trPr>
        <w:tc>
          <w:tcPr>
            <w:tcW w:w="3969" w:type="dxa"/>
            <w:vMerge/>
          </w:tcPr>
          <w:p w14:paraId="36AAE2B4" w14:textId="77777777" w:rsidR="00FE57F6" w:rsidRPr="00F8275B" w:rsidRDefault="00FE57F6" w:rsidP="00C538FC">
            <w:pPr>
              <w:tabs>
                <w:tab w:val="left" w:pos="851"/>
              </w:tabs>
              <w:spacing w:line="240" w:lineRule="atLeast"/>
              <w:rPr>
                <w:b/>
                <w:lang w:val="es-ES"/>
              </w:rPr>
            </w:pPr>
          </w:p>
        </w:tc>
        <w:tc>
          <w:tcPr>
            <w:tcW w:w="5245" w:type="dxa"/>
          </w:tcPr>
          <w:p w14:paraId="54C7ED74" w14:textId="77777777" w:rsidR="00FE57F6" w:rsidRPr="00F8275B" w:rsidRDefault="00F24B71" w:rsidP="00C538FC">
            <w:pPr>
              <w:tabs>
                <w:tab w:val="left" w:pos="851"/>
              </w:tabs>
              <w:spacing w:before="0" w:line="240" w:lineRule="atLeast"/>
              <w:jc w:val="right"/>
              <w:rPr>
                <w:b/>
                <w:bCs/>
                <w:lang w:val="es-ES"/>
              </w:rPr>
            </w:pPr>
            <w:r w:rsidRPr="00F8275B">
              <w:rPr>
                <w:rFonts w:cstheme="minorHAnsi"/>
                <w:b/>
                <w:bCs/>
                <w:lang w:val="es-ES"/>
              </w:rPr>
              <w:t>Original: inglés</w:t>
            </w:r>
          </w:p>
        </w:tc>
      </w:tr>
      <w:tr w:rsidR="00FE57F6" w:rsidRPr="00F8275B" w14:paraId="28C23F0D" w14:textId="77777777" w:rsidTr="00C538FC">
        <w:trPr>
          <w:cantSplit/>
          <w:trHeight w:val="23"/>
        </w:trPr>
        <w:tc>
          <w:tcPr>
            <w:tcW w:w="3969" w:type="dxa"/>
          </w:tcPr>
          <w:p w14:paraId="71CA9CDE" w14:textId="77777777" w:rsidR="00FE57F6" w:rsidRPr="00F8275B" w:rsidRDefault="00FE57F6" w:rsidP="00C538FC">
            <w:pPr>
              <w:tabs>
                <w:tab w:val="left" w:pos="851"/>
              </w:tabs>
              <w:spacing w:line="240" w:lineRule="atLeast"/>
              <w:rPr>
                <w:b/>
                <w:lang w:val="es-ES"/>
              </w:rPr>
            </w:pPr>
          </w:p>
        </w:tc>
        <w:tc>
          <w:tcPr>
            <w:tcW w:w="5245" w:type="dxa"/>
          </w:tcPr>
          <w:p w14:paraId="04F0E65D" w14:textId="77777777" w:rsidR="00FE57F6" w:rsidRPr="00F8275B" w:rsidRDefault="00FE57F6" w:rsidP="00C538FC">
            <w:pPr>
              <w:tabs>
                <w:tab w:val="left" w:pos="851"/>
              </w:tabs>
              <w:spacing w:before="0" w:line="240" w:lineRule="atLeast"/>
              <w:jc w:val="right"/>
              <w:rPr>
                <w:b/>
                <w:lang w:val="es-ES"/>
              </w:rPr>
            </w:pPr>
          </w:p>
        </w:tc>
      </w:tr>
      <w:tr w:rsidR="00FE57F6" w:rsidRPr="00F8275B" w14:paraId="0744CD5D" w14:textId="77777777" w:rsidTr="00C538FC">
        <w:trPr>
          <w:cantSplit/>
        </w:trPr>
        <w:tc>
          <w:tcPr>
            <w:tcW w:w="9214" w:type="dxa"/>
            <w:gridSpan w:val="2"/>
            <w:tcMar>
              <w:left w:w="0" w:type="dxa"/>
            </w:tcMar>
          </w:tcPr>
          <w:p w14:paraId="3EF99137" w14:textId="77777777" w:rsidR="00FE57F6" w:rsidRPr="00F8275B" w:rsidRDefault="00F24B71" w:rsidP="00C538FC">
            <w:pPr>
              <w:pStyle w:val="Source"/>
              <w:jc w:val="left"/>
              <w:rPr>
                <w:sz w:val="34"/>
                <w:szCs w:val="34"/>
                <w:lang w:val="es-ES"/>
              </w:rPr>
            </w:pPr>
            <w:r w:rsidRPr="00F8275B">
              <w:rPr>
                <w:rFonts w:cstheme="minorHAnsi"/>
                <w:sz w:val="34"/>
                <w:szCs w:val="34"/>
                <w:lang w:val="es-ES"/>
              </w:rPr>
              <w:t>Informe de</w:t>
            </w:r>
            <w:r w:rsidR="004B5D49" w:rsidRPr="00F8275B">
              <w:rPr>
                <w:rFonts w:cstheme="minorHAnsi"/>
                <w:sz w:val="34"/>
                <w:szCs w:val="34"/>
                <w:lang w:val="es-ES"/>
              </w:rPr>
              <w:t xml:space="preserve"> </w:t>
            </w:r>
            <w:r w:rsidRPr="00F8275B">
              <w:rPr>
                <w:rFonts w:cstheme="minorHAnsi"/>
                <w:sz w:val="34"/>
                <w:szCs w:val="34"/>
                <w:lang w:val="es-ES"/>
              </w:rPr>
              <w:t>l</w:t>
            </w:r>
            <w:r w:rsidR="004B5D49" w:rsidRPr="00F8275B">
              <w:rPr>
                <w:rFonts w:cstheme="minorHAnsi"/>
                <w:sz w:val="34"/>
                <w:szCs w:val="34"/>
                <w:lang w:val="es-ES"/>
              </w:rPr>
              <w:t>a</w:t>
            </w:r>
            <w:r w:rsidRPr="00F8275B">
              <w:rPr>
                <w:rFonts w:cstheme="minorHAnsi"/>
                <w:sz w:val="34"/>
                <w:szCs w:val="34"/>
                <w:lang w:val="es-ES"/>
              </w:rPr>
              <w:t xml:space="preserve"> Secretari</w:t>
            </w:r>
            <w:r w:rsidR="004B5D49" w:rsidRPr="00F8275B">
              <w:rPr>
                <w:rFonts w:cstheme="minorHAnsi"/>
                <w:sz w:val="34"/>
                <w:szCs w:val="34"/>
                <w:lang w:val="es-ES"/>
              </w:rPr>
              <w:t>a</w:t>
            </w:r>
            <w:r w:rsidRPr="00F8275B">
              <w:rPr>
                <w:rFonts w:cstheme="minorHAnsi"/>
                <w:sz w:val="34"/>
                <w:szCs w:val="34"/>
                <w:lang w:val="es-ES"/>
              </w:rPr>
              <w:t xml:space="preserve"> General</w:t>
            </w:r>
          </w:p>
        </w:tc>
      </w:tr>
      <w:tr w:rsidR="00FE57F6" w:rsidRPr="00F8275B" w14:paraId="5E2B474A" w14:textId="77777777" w:rsidTr="00C538FC">
        <w:trPr>
          <w:cantSplit/>
        </w:trPr>
        <w:tc>
          <w:tcPr>
            <w:tcW w:w="9214" w:type="dxa"/>
            <w:gridSpan w:val="2"/>
            <w:tcMar>
              <w:left w:w="0" w:type="dxa"/>
            </w:tcMar>
          </w:tcPr>
          <w:p w14:paraId="75872F37" w14:textId="3EF441AF" w:rsidR="00FE57F6" w:rsidRPr="00F8275B" w:rsidRDefault="00AC3DB7" w:rsidP="00AC3DB7">
            <w:pPr>
              <w:pStyle w:val="Subtitle"/>
              <w:framePr w:hSpace="0" w:wrap="auto" w:hAnchor="text" w:xAlign="left" w:yAlign="inline"/>
              <w:rPr>
                <w:lang w:val="es-ES"/>
              </w:rPr>
            </w:pPr>
            <w:r w:rsidRPr="00F8275B">
              <w:rPr>
                <w:lang w:val="es-ES"/>
              </w:rPr>
              <w:t>INFORME SOBRE LA APLICACIÓN DEL PLAN ESTRATÉGICO Y LAS ACTIVIDADES DE LA UNIÓN, MAYO DE 2023 – ABRIL DE 2024</w:t>
            </w:r>
          </w:p>
        </w:tc>
      </w:tr>
      <w:tr w:rsidR="00FE57F6" w:rsidRPr="00F8275B"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7AADA535" w:rsidR="00FE57F6" w:rsidRPr="00F8275B" w:rsidRDefault="00AC3DB7" w:rsidP="00C538FC">
            <w:pPr>
              <w:spacing w:before="160"/>
              <w:rPr>
                <w:b/>
                <w:bCs/>
                <w:sz w:val="26"/>
                <w:szCs w:val="26"/>
                <w:lang w:val="es-ES"/>
              </w:rPr>
            </w:pPr>
            <w:r w:rsidRPr="00F8275B">
              <w:rPr>
                <w:b/>
                <w:bCs/>
                <w:sz w:val="26"/>
                <w:szCs w:val="26"/>
                <w:lang w:val="es-ES"/>
              </w:rPr>
              <w:t>Objeto</w:t>
            </w:r>
          </w:p>
          <w:p w14:paraId="618C4414" w14:textId="56C7F051" w:rsidR="00FE57F6" w:rsidRPr="00F8275B" w:rsidRDefault="00AC3DB7" w:rsidP="00AC3DB7">
            <w:pPr>
              <w:rPr>
                <w:lang w:val="es-ES"/>
              </w:rPr>
            </w:pPr>
            <w:r w:rsidRPr="00F8275B">
              <w:rPr>
                <w:lang w:val="es-ES"/>
              </w:rPr>
              <w:t>Informe sobre la aplicación de los Planes Estratégicos de la Unión para 2019</w:t>
            </w:r>
            <w:r w:rsidR="001A500C" w:rsidRPr="00F8275B">
              <w:rPr>
                <w:lang w:val="es-ES"/>
              </w:rPr>
              <w:noBreakHyphen/>
            </w:r>
            <w:r w:rsidRPr="00F8275B">
              <w:rPr>
                <w:lang w:val="es-ES"/>
              </w:rPr>
              <w:t>2023 y 2024</w:t>
            </w:r>
            <w:r w:rsidR="001A500C" w:rsidRPr="00F8275B">
              <w:rPr>
                <w:lang w:val="es-ES"/>
              </w:rPr>
              <w:noBreakHyphen/>
            </w:r>
            <w:r w:rsidRPr="00F8275B">
              <w:rPr>
                <w:lang w:val="es-ES"/>
              </w:rPr>
              <w:t>2027, correspondiente a las actividades/resultados durante el periodo comprendido entre mayo de 2023 y abril de 2024.</w:t>
            </w:r>
          </w:p>
          <w:p w14:paraId="5D1C98A4" w14:textId="77777777" w:rsidR="00FE57F6" w:rsidRPr="00F8275B" w:rsidRDefault="00F24B71" w:rsidP="00C538FC">
            <w:pPr>
              <w:spacing w:before="160"/>
              <w:rPr>
                <w:b/>
                <w:bCs/>
                <w:sz w:val="26"/>
                <w:szCs w:val="26"/>
                <w:lang w:val="es-ES"/>
              </w:rPr>
            </w:pPr>
            <w:r w:rsidRPr="00F8275B">
              <w:rPr>
                <w:b/>
                <w:bCs/>
                <w:sz w:val="26"/>
                <w:szCs w:val="26"/>
                <w:lang w:val="es-ES"/>
              </w:rPr>
              <w:t xml:space="preserve">Acción solicitada </w:t>
            </w:r>
            <w:r w:rsidR="00677A97" w:rsidRPr="00F8275B">
              <w:rPr>
                <w:b/>
                <w:bCs/>
                <w:sz w:val="26"/>
                <w:szCs w:val="26"/>
                <w:lang w:val="es-ES"/>
              </w:rPr>
              <w:t>al</w:t>
            </w:r>
            <w:r w:rsidRPr="00F8275B">
              <w:rPr>
                <w:b/>
                <w:bCs/>
                <w:sz w:val="26"/>
                <w:szCs w:val="26"/>
                <w:lang w:val="es-ES"/>
              </w:rPr>
              <w:t xml:space="preserve"> Consejo</w:t>
            </w:r>
          </w:p>
          <w:p w14:paraId="2D18C291" w14:textId="21D54DDC" w:rsidR="00FE57F6" w:rsidRPr="00F8275B" w:rsidRDefault="00AC3DB7" w:rsidP="00AC3DB7">
            <w:pPr>
              <w:rPr>
                <w:lang w:val="es-ES"/>
              </w:rPr>
            </w:pPr>
            <w:r w:rsidRPr="00F8275B">
              <w:rPr>
                <w:lang w:val="es-ES"/>
              </w:rPr>
              <w:t xml:space="preserve">Se invita al Consejo </w:t>
            </w:r>
            <w:r w:rsidRPr="00F8275B">
              <w:rPr>
                <w:b/>
                <w:bCs/>
                <w:lang w:val="es-ES"/>
              </w:rPr>
              <w:t xml:space="preserve">a aprobar </w:t>
            </w:r>
            <w:r w:rsidRPr="00F8275B">
              <w:rPr>
                <w:lang w:val="es-ES"/>
              </w:rPr>
              <w:t>el informe.</w:t>
            </w:r>
          </w:p>
          <w:p w14:paraId="29ECF93D" w14:textId="77777777" w:rsidR="00FE57F6" w:rsidRPr="00F8275B" w:rsidRDefault="00F24B71" w:rsidP="00C538FC">
            <w:pPr>
              <w:spacing w:before="160"/>
              <w:rPr>
                <w:b/>
                <w:bCs/>
                <w:sz w:val="26"/>
                <w:szCs w:val="26"/>
                <w:lang w:val="es-ES"/>
              </w:rPr>
            </w:pPr>
            <w:r w:rsidRPr="00F8275B">
              <w:rPr>
                <w:b/>
                <w:bCs/>
                <w:sz w:val="26"/>
                <w:szCs w:val="26"/>
                <w:lang w:val="es-ES"/>
              </w:rPr>
              <w:t>Vínculos pertinentes con el Plan Estratégico</w:t>
            </w:r>
          </w:p>
          <w:p w14:paraId="0322545C" w14:textId="2F9F9FA2" w:rsidR="00FE57F6" w:rsidRPr="00F8275B" w:rsidRDefault="00AC3DB7" w:rsidP="00AC3DB7">
            <w:pPr>
              <w:rPr>
                <w:lang w:val="es-ES"/>
              </w:rPr>
            </w:pPr>
            <w:r w:rsidRPr="00F8275B">
              <w:rPr>
                <w:lang w:val="es-ES"/>
              </w:rPr>
              <w:t>De conformidad con la Resolución</w:t>
            </w:r>
            <w:r w:rsidR="001A500C" w:rsidRPr="00F8275B">
              <w:rPr>
                <w:lang w:val="es-ES"/>
              </w:rPr>
              <w:t> </w:t>
            </w:r>
            <w:r w:rsidRPr="00F8275B">
              <w:rPr>
                <w:lang w:val="es-ES"/>
              </w:rPr>
              <w:t>71 (Rev. Bucarest, 2022) de la Conferencia de Plenipotenciarios</w:t>
            </w:r>
            <w:r w:rsidR="00B55A95" w:rsidRPr="00F8275B">
              <w:rPr>
                <w:lang w:val="es-ES"/>
              </w:rPr>
              <w:t xml:space="preserve"> de la UIT</w:t>
            </w:r>
            <w:r w:rsidRPr="00F8275B">
              <w:rPr>
                <w:lang w:val="es-ES"/>
              </w:rPr>
              <w:t>, se presenta al Consejo este Informe anual sobre la aplicación del Plan Estratégico y las actividades de la Unión (respondiendo tanto a las exigencias del número</w:t>
            </w:r>
            <w:r w:rsidR="001A500C" w:rsidRPr="00F8275B">
              <w:rPr>
                <w:lang w:val="es-ES"/>
              </w:rPr>
              <w:t> </w:t>
            </w:r>
            <w:r w:rsidRPr="00F8275B">
              <w:rPr>
                <w:lang w:val="es-ES"/>
              </w:rPr>
              <w:t>102 del Convenio, es decir, un Informe anual de actividades, como a las del número</w:t>
            </w:r>
            <w:r w:rsidR="001A500C" w:rsidRPr="00F8275B">
              <w:rPr>
                <w:lang w:val="es-ES"/>
              </w:rPr>
              <w:t> </w:t>
            </w:r>
            <w:r w:rsidRPr="00F8275B">
              <w:rPr>
                <w:lang w:val="es-ES"/>
              </w:rPr>
              <w:t>61 del Convenio, a saber, un informe sobre la aplicación del Plan Estratégico).</w:t>
            </w:r>
          </w:p>
          <w:p w14:paraId="5948AA98" w14:textId="77777777" w:rsidR="00FE57F6" w:rsidRPr="00F8275B" w:rsidRDefault="00FE57F6" w:rsidP="00EC0B3F">
            <w:pPr>
              <w:rPr>
                <w:caps/>
                <w:lang w:val="es-ES"/>
              </w:rPr>
            </w:pPr>
            <w:r w:rsidRPr="00F8275B">
              <w:rPr>
                <w:lang w:val="es-ES"/>
              </w:rPr>
              <w:t>__________________</w:t>
            </w:r>
          </w:p>
          <w:p w14:paraId="53C56EAC" w14:textId="65B241D3" w:rsidR="00FE57F6" w:rsidRPr="00F8275B" w:rsidRDefault="00F24B71" w:rsidP="00C538FC">
            <w:pPr>
              <w:spacing w:before="160"/>
              <w:rPr>
                <w:b/>
                <w:bCs/>
                <w:sz w:val="26"/>
                <w:szCs w:val="26"/>
                <w:lang w:val="es-ES"/>
              </w:rPr>
            </w:pPr>
            <w:r w:rsidRPr="00F8275B">
              <w:rPr>
                <w:b/>
                <w:bCs/>
                <w:sz w:val="26"/>
                <w:szCs w:val="26"/>
                <w:lang w:val="es-ES"/>
              </w:rPr>
              <w:t>Referencia</w:t>
            </w:r>
            <w:r w:rsidR="00AC3DB7" w:rsidRPr="00F8275B">
              <w:rPr>
                <w:b/>
                <w:bCs/>
                <w:sz w:val="26"/>
                <w:szCs w:val="26"/>
                <w:lang w:val="es-ES"/>
              </w:rPr>
              <w:t>s</w:t>
            </w:r>
          </w:p>
          <w:p w14:paraId="58339413" w14:textId="624F3D8D" w:rsidR="00FE57F6" w:rsidRPr="00F8275B" w:rsidRDefault="00534F60" w:rsidP="00AC3DB7">
            <w:pPr>
              <w:spacing w:after="160"/>
              <w:rPr>
                <w:lang w:val="es-ES"/>
              </w:rPr>
            </w:pPr>
            <w:hyperlink r:id="rId8" w:history="1">
              <w:r w:rsidR="00AC3DB7" w:rsidRPr="00F8275B">
                <w:rPr>
                  <w:rStyle w:val="Hyperlink"/>
                  <w:i/>
                  <w:iCs/>
                  <w:lang w:val="es-ES"/>
                </w:rPr>
                <w:t>Resolución</w:t>
              </w:r>
              <w:r w:rsidR="00082AF5" w:rsidRPr="00F8275B">
                <w:rPr>
                  <w:rStyle w:val="Hyperlink"/>
                  <w:i/>
                  <w:iCs/>
                  <w:lang w:val="es-ES"/>
                </w:rPr>
                <w:t> </w:t>
              </w:r>
              <w:r w:rsidR="00AC3DB7" w:rsidRPr="00F8275B">
                <w:rPr>
                  <w:rStyle w:val="Hyperlink"/>
                  <w:i/>
                  <w:iCs/>
                  <w:lang w:val="es-ES"/>
                </w:rPr>
                <w:t>71</w:t>
              </w:r>
            </w:hyperlink>
            <w:r w:rsidR="00AC3DB7" w:rsidRPr="00F8275B">
              <w:rPr>
                <w:i/>
                <w:iCs/>
                <w:lang w:val="es-ES"/>
              </w:rPr>
              <w:t xml:space="preserve"> (Rev.</w:t>
            </w:r>
            <w:r w:rsidR="00082AF5" w:rsidRPr="00F8275B">
              <w:rPr>
                <w:i/>
                <w:iCs/>
                <w:lang w:val="es-ES"/>
              </w:rPr>
              <w:t> </w:t>
            </w:r>
            <w:r w:rsidR="00AC3DB7" w:rsidRPr="00F8275B">
              <w:rPr>
                <w:i/>
                <w:iCs/>
                <w:lang w:val="es-ES"/>
              </w:rPr>
              <w:t xml:space="preserve">Bucarest, 2022) de la Conferencia de Plenipotenciarios, </w:t>
            </w:r>
            <w:hyperlink r:id="rId9" w:history="1">
              <w:r w:rsidR="00AC3DB7" w:rsidRPr="00F8275B">
                <w:rPr>
                  <w:rStyle w:val="Hyperlink"/>
                  <w:i/>
                  <w:iCs/>
                  <w:lang w:val="es-ES"/>
                </w:rPr>
                <w:t>Resolución</w:t>
              </w:r>
              <w:r w:rsidR="00082AF5" w:rsidRPr="00F8275B">
                <w:rPr>
                  <w:rStyle w:val="Hyperlink"/>
                  <w:i/>
                  <w:iCs/>
                  <w:lang w:val="es-ES"/>
                </w:rPr>
                <w:t> </w:t>
              </w:r>
              <w:r w:rsidR="00AC3DB7" w:rsidRPr="00F8275B">
                <w:rPr>
                  <w:rStyle w:val="Hyperlink"/>
                  <w:i/>
                  <w:iCs/>
                  <w:lang w:val="es-ES"/>
                </w:rPr>
                <w:t>151</w:t>
              </w:r>
            </w:hyperlink>
            <w:r w:rsidR="00082AF5" w:rsidRPr="00F8275B">
              <w:rPr>
                <w:i/>
                <w:iCs/>
                <w:lang w:val="es-ES"/>
              </w:rPr>
              <w:t xml:space="preserve"> </w:t>
            </w:r>
            <w:r w:rsidR="00AC3DB7" w:rsidRPr="00F8275B">
              <w:rPr>
                <w:i/>
                <w:iCs/>
                <w:lang w:val="es-ES"/>
              </w:rPr>
              <w:t>(Rev.</w:t>
            </w:r>
            <w:r w:rsidR="00082AF5" w:rsidRPr="00F8275B">
              <w:rPr>
                <w:i/>
                <w:iCs/>
                <w:lang w:val="es-ES"/>
              </w:rPr>
              <w:t> </w:t>
            </w:r>
            <w:r w:rsidR="00AC3DB7" w:rsidRPr="00F8275B">
              <w:rPr>
                <w:i/>
                <w:iCs/>
                <w:lang w:val="es-ES"/>
              </w:rPr>
              <w:t>Bucarest,</w:t>
            </w:r>
            <w:r w:rsidR="0010593D" w:rsidRPr="00F8275B">
              <w:rPr>
                <w:i/>
                <w:iCs/>
                <w:lang w:val="es-ES"/>
              </w:rPr>
              <w:t> </w:t>
            </w:r>
            <w:r w:rsidR="00AC3DB7" w:rsidRPr="00F8275B">
              <w:rPr>
                <w:i/>
                <w:iCs/>
                <w:lang w:val="es-ES"/>
              </w:rPr>
              <w:t>2022</w:t>
            </w:r>
            <w:r w:rsidR="0010593D" w:rsidRPr="00F8275B">
              <w:rPr>
                <w:i/>
                <w:iCs/>
                <w:lang w:val="es-ES"/>
              </w:rPr>
              <w:t>)</w:t>
            </w:r>
            <w:r w:rsidR="00AC3DB7" w:rsidRPr="00F8275B">
              <w:rPr>
                <w:i/>
                <w:iCs/>
                <w:lang w:val="es-ES"/>
              </w:rPr>
              <w:t xml:space="preserve"> de la Conferencia de Plenipotenciarios, </w:t>
            </w:r>
            <w:hyperlink r:id="rId10" w:history="1">
              <w:r w:rsidR="00AC3DB7" w:rsidRPr="00F8275B">
                <w:rPr>
                  <w:rStyle w:val="Hyperlink"/>
                  <w:i/>
                  <w:iCs/>
                  <w:lang w:val="es-ES"/>
                </w:rPr>
                <w:t>Resolución</w:t>
              </w:r>
              <w:r w:rsidR="00082AF5" w:rsidRPr="00F8275B">
                <w:rPr>
                  <w:rStyle w:val="Hyperlink"/>
                  <w:i/>
                  <w:iCs/>
                  <w:lang w:val="es-ES"/>
                </w:rPr>
                <w:t> </w:t>
              </w:r>
              <w:r w:rsidR="00AC3DB7" w:rsidRPr="00F8275B">
                <w:rPr>
                  <w:rStyle w:val="Hyperlink"/>
                  <w:i/>
                  <w:iCs/>
                  <w:lang w:val="es-ES"/>
                </w:rPr>
                <w:t>200</w:t>
              </w:r>
            </w:hyperlink>
            <w:r w:rsidR="00082AF5" w:rsidRPr="00F8275B">
              <w:rPr>
                <w:i/>
                <w:iCs/>
                <w:lang w:val="es-ES"/>
              </w:rPr>
              <w:t xml:space="preserve"> </w:t>
            </w:r>
            <w:r w:rsidR="00AC3DB7" w:rsidRPr="00F8275B">
              <w:rPr>
                <w:i/>
                <w:iCs/>
                <w:lang w:val="es-ES"/>
              </w:rPr>
              <w:t>(Rev.</w:t>
            </w:r>
            <w:r w:rsidR="00082AF5" w:rsidRPr="00F8275B">
              <w:rPr>
                <w:i/>
                <w:iCs/>
                <w:lang w:val="es-ES"/>
              </w:rPr>
              <w:t> </w:t>
            </w:r>
            <w:r w:rsidR="00AC3DB7" w:rsidRPr="00F8275B">
              <w:rPr>
                <w:i/>
                <w:iCs/>
                <w:lang w:val="es-ES"/>
              </w:rPr>
              <w:t>Bucarest,</w:t>
            </w:r>
            <w:r w:rsidR="00082AF5" w:rsidRPr="00F8275B">
              <w:rPr>
                <w:i/>
                <w:iCs/>
                <w:lang w:val="es-ES"/>
              </w:rPr>
              <w:t> </w:t>
            </w:r>
            <w:r w:rsidR="00AC3DB7" w:rsidRPr="00F8275B">
              <w:rPr>
                <w:i/>
                <w:iCs/>
                <w:lang w:val="es-ES"/>
              </w:rPr>
              <w:t>2022) de la Conferencia de Plenipotenciarios;</w:t>
            </w:r>
            <w:r w:rsidR="00AC3DB7" w:rsidRPr="00F8275B">
              <w:rPr>
                <w:lang w:val="es-ES"/>
              </w:rPr>
              <w:t xml:space="preserve"> </w:t>
            </w:r>
            <w:r w:rsidR="00AC3DB7" w:rsidRPr="00F8275B">
              <w:rPr>
                <w:i/>
                <w:iCs/>
                <w:lang w:val="es-ES"/>
              </w:rPr>
              <w:t xml:space="preserve">y </w:t>
            </w:r>
            <w:hyperlink r:id="rId11" w:history="1">
              <w:r w:rsidR="00AC3DB7" w:rsidRPr="00F8275B">
                <w:rPr>
                  <w:rStyle w:val="Hyperlink"/>
                  <w:i/>
                  <w:iCs/>
                  <w:lang w:val="es-ES"/>
                </w:rPr>
                <w:t>números</w:t>
              </w:r>
              <w:r w:rsidR="00082AF5" w:rsidRPr="00F8275B">
                <w:rPr>
                  <w:rStyle w:val="Hyperlink"/>
                  <w:i/>
                  <w:iCs/>
                  <w:lang w:val="es-ES"/>
                </w:rPr>
                <w:t> </w:t>
              </w:r>
              <w:r w:rsidR="00AC3DB7" w:rsidRPr="00F8275B">
                <w:rPr>
                  <w:rStyle w:val="Hyperlink"/>
                  <w:i/>
                  <w:iCs/>
                  <w:lang w:val="es-ES"/>
                </w:rPr>
                <w:t>102 y</w:t>
              </w:r>
              <w:r w:rsidR="00082AF5" w:rsidRPr="00F8275B">
                <w:rPr>
                  <w:rStyle w:val="Hyperlink"/>
                  <w:i/>
                  <w:iCs/>
                  <w:lang w:val="es-ES"/>
                </w:rPr>
                <w:t> </w:t>
              </w:r>
              <w:r w:rsidR="00AC3DB7" w:rsidRPr="00F8275B">
                <w:rPr>
                  <w:rStyle w:val="Hyperlink"/>
                  <w:i/>
                  <w:iCs/>
                  <w:lang w:val="es-ES"/>
                </w:rPr>
                <w:t>61 del Convenio</w:t>
              </w:r>
            </w:hyperlink>
          </w:p>
        </w:tc>
      </w:tr>
      <w:bookmarkEnd w:id="0"/>
    </w:tbl>
    <w:p w14:paraId="44179D23" w14:textId="77777777" w:rsidR="001559F5" w:rsidRPr="00F8275B" w:rsidRDefault="001559F5" w:rsidP="00AC3DB7">
      <w:pPr>
        <w:rPr>
          <w:lang w:val="es-ES"/>
        </w:rPr>
      </w:pPr>
      <w:r w:rsidRPr="00F8275B">
        <w:rPr>
          <w:lang w:val="es-ES"/>
        </w:rPr>
        <w:br w:type="page"/>
      </w:r>
    </w:p>
    <w:p w14:paraId="54C51017" w14:textId="77777777" w:rsidR="00AC3DB7" w:rsidRPr="00F8275B" w:rsidRDefault="00AC3DB7" w:rsidP="00082AF5">
      <w:pPr>
        <w:pStyle w:val="Headingb"/>
        <w:rPr>
          <w:lang w:val="es-ES"/>
        </w:rPr>
      </w:pPr>
      <w:bookmarkStart w:id="1" w:name="_Hlk67565195"/>
      <w:r w:rsidRPr="00F8275B">
        <w:rPr>
          <w:lang w:val="es-ES"/>
        </w:rPr>
        <w:lastRenderedPageBreak/>
        <w:t>Prólogo</w:t>
      </w:r>
    </w:p>
    <w:bookmarkEnd w:id="1"/>
    <w:p w14:paraId="2707330D" w14:textId="77777777" w:rsidR="00AC3DB7" w:rsidRPr="00F8275B" w:rsidRDefault="00AC3DB7" w:rsidP="0010593D">
      <w:pPr>
        <w:pStyle w:val="Normalaftertitle"/>
        <w:rPr>
          <w:lang w:val="es-ES"/>
        </w:rPr>
      </w:pPr>
      <w:r w:rsidRPr="00F8275B">
        <w:rPr>
          <w:lang w:val="es-ES"/>
        </w:rPr>
        <w:t>Estimados miembros de la familia de la UIT:</w:t>
      </w:r>
      <w:bookmarkStart w:id="2" w:name="_Hlk67565419"/>
    </w:p>
    <w:p w14:paraId="38C8BBF6" w14:textId="0ABD2DBD" w:rsidR="00DC7C49" w:rsidRPr="00F8275B" w:rsidRDefault="00DC7C49" w:rsidP="000F18DC">
      <w:pPr>
        <w:rPr>
          <w:lang w:val="es-ES"/>
        </w:rPr>
      </w:pPr>
      <w:r w:rsidRPr="00F8275B">
        <w:rPr>
          <w:lang w:val="es-ES"/>
        </w:rPr>
        <w:t>Las tecnologías digitales subieron hasta la cima de la agenda mundial</w:t>
      </w:r>
      <w:r w:rsidR="00A55B05" w:rsidRPr="00F8275B">
        <w:rPr>
          <w:lang w:val="es-ES"/>
        </w:rPr>
        <w:t xml:space="preserve"> </w:t>
      </w:r>
      <w:r w:rsidRPr="00F8275B">
        <w:rPr>
          <w:lang w:val="es-ES"/>
        </w:rPr>
        <w:t xml:space="preserve">en 2023, </w:t>
      </w:r>
      <w:r w:rsidR="002E28FB" w:rsidRPr="00F8275B">
        <w:rPr>
          <w:lang w:val="es-ES"/>
        </w:rPr>
        <w:t>protagonizando el</w:t>
      </w:r>
      <w:r w:rsidRPr="00F8275B">
        <w:rPr>
          <w:lang w:val="es-ES"/>
        </w:rPr>
        <w:t xml:space="preserve"> G7</w:t>
      </w:r>
      <w:r w:rsidR="00B55A95" w:rsidRPr="00F8275B">
        <w:rPr>
          <w:lang w:val="es-ES"/>
        </w:rPr>
        <w:t xml:space="preserve">, </w:t>
      </w:r>
      <w:r w:rsidR="002E28FB" w:rsidRPr="00F8275B">
        <w:rPr>
          <w:lang w:val="es-ES"/>
        </w:rPr>
        <w:t>el</w:t>
      </w:r>
      <w:r w:rsidR="00B55A95" w:rsidRPr="00F8275B">
        <w:rPr>
          <w:lang w:val="es-ES"/>
        </w:rPr>
        <w:t xml:space="preserve"> G20 y el G77, así como procesos clave de las Naciones Unidas, como la </w:t>
      </w:r>
      <w:bookmarkStart w:id="3" w:name="_Hlk165988132"/>
      <w:r w:rsidR="002E28FB" w:rsidRPr="00F8275B">
        <w:rPr>
          <w:lang w:val="es-ES"/>
        </w:rPr>
        <w:t>Quinta Conferencia de las Naciones Unidas</w:t>
      </w:r>
      <w:r w:rsidR="00A55B05" w:rsidRPr="00F8275B">
        <w:rPr>
          <w:lang w:val="es-ES"/>
        </w:rPr>
        <w:t xml:space="preserve"> </w:t>
      </w:r>
      <w:bookmarkEnd w:id="3"/>
      <w:r w:rsidR="002E28FB" w:rsidRPr="00F8275B">
        <w:rPr>
          <w:lang w:val="es-ES"/>
        </w:rPr>
        <w:t xml:space="preserve">sobre los </w:t>
      </w:r>
      <w:r w:rsidR="00DA7213" w:rsidRPr="00F8275B">
        <w:rPr>
          <w:lang w:val="es-ES"/>
        </w:rPr>
        <w:t>p</w:t>
      </w:r>
      <w:r w:rsidR="002E28FB" w:rsidRPr="00F8275B">
        <w:rPr>
          <w:lang w:val="es-ES"/>
        </w:rPr>
        <w:t xml:space="preserve">aíses </w:t>
      </w:r>
      <w:r w:rsidR="00DA7213" w:rsidRPr="00F8275B">
        <w:rPr>
          <w:lang w:val="es-ES"/>
        </w:rPr>
        <w:t>m</w:t>
      </w:r>
      <w:r w:rsidR="002E28FB" w:rsidRPr="00F8275B">
        <w:rPr>
          <w:lang w:val="es-ES"/>
        </w:rPr>
        <w:t xml:space="preserve">enos </w:t>
      </w:r>
      <w:r w:rsidR="00DA7213" w:rsidRPr="00F8275B">
        <w:rPr>
          <w:lang w:val="es-ES"/>
        </w:rPr>
        <w:t>a</w:t>
      </w:r>
      <w:r w:rsidR="002E28FB" w:rsidRPr="00F8275B">
        <w:rPr>
          <w:lang w:val="es-ES"/>
        </w:rPr>
        <w:t>delantados</w:t>
      </w:r>
      <w:r w:rsidR="00F75BCA" w:rsidRPr="00F8275B">
        <w:rPr>
          <w:lang w:val="es-ES"/>
        </w:rPr>
        <w:t xml:space="preserve"> y la Cumbre de los ODS en 2023 en la que se instó a acelerar los avances en el logro de los Objetivos de Desarrollo Sostenible de las Naciones Unidas.</w:t>
      </w:r>
    </w:p>
    <w:p w14:paraId="0056CE1D" w14:textId="61EE068D" w:rsidR="00A55B05" w:rsidRPr="00F8275B" w:rsidRDefault="002E28FB" w:rsidP="000F18DC">
      <w:pPr>
        <w:rPr>
          <w:lang w:val="es-ES"/>
        </w:rPr>
      </w:pPr>
      <w:r w:rsidRPr="00F8275B">
        <w:rPr>
          <w:lang w:val="es-ES"/>
        </w:rPr>
        <w:t>La Unión Internacional de Telecomunicaciones</w:t>
      </w:r>
      <w:r w:rsidR="00DC7C49" w:rsidRPr="00F8275B">
        <w:rPr>
          <w:lang w:val="es-ES"/>
        </w:rPr>
        <w:t xml:space="preserve"> (</w:t>
      </w:r>
      <w:r w:rsidRPr="00F8275B">
        <w:rPr>
          <w:lang w:val="es-ES"/>
        </w:rPr>
        <w:t>UIT</w:t>
      </w:r>
      <w:r w:rsidR="00DC7C49" w:rsidRPr="00F8275B">
        <w:rPr>
          <w:lang w:val="es-ES"/>
        </w:rPr>
        <w:t xml:space="preserve">) </w:t>
      </w:r>
      <w:r w:rsidRPr="00F8275B">
        <w:rPr>
          <w:lang w:val="es-ES"/>
        </w:rPr>
        <w:t xml:space="preserve">se dedica a ampliar la conectividad digital y a </w:t>
      </w:r>
      <w:r w:rsidR="00F75BCA" w:rsidRPr="00F8275B">
        <w:rPr>
          <w:lang w:val="es-ES"/>
        </w:rPr>
        <w:t xml:space="preserve">utilizar las tecnologías para </w:t>
      </w:r>
      <w:r w:rsidRPr="00F8275B">
        <w:rPr>
          <w:lang w:val="es-ES"/>
        </w:rPr>
        <w:t>mejorar las vidas y medios de subsistencia, en particular para los aproximadamente 2</w:t>
      </w:r>
      <w:r w:rsidR="000F18DC" w:rsidRPr="00F8275B">
        <w:rPr>
          <w:lang w:val="es-ES"/>
        </w:rPr>
        <w:t> </w:t>
      </w:r>
      <w:r w:rsidRPr="00F8275B">
        <w:rPr>
          <w:lang w:val="es-ES"/>
        </w:rPr>
        <w:t>600</w:t>
      </w:r>
      <w:r w:rsidR="000F18DC" w:rsidRPr="00F8275B">
        <w:rPr>
          <w:lang w:val="es-ES"/>
        </w:rPr>
        <w:t> </w:t>
      </w:r>
      <w:r w:rsidRPr="00F8275B">
        <w:rPr>
          <w:lang w:val="es-ES"/>
        </w:rPr>
        <w:t>millones de personas que siguen careciendo de acceso a Internet.</w:t>
      </w:r>
    </w:p>
    <w:p w14:paraId="3F615DFD" w14:textId="569FB9D4" w:rsidR="00F75BCA" w:rsidRPr="00F8275B" w:rsidRDefault="002E28FB" w:rsidP="000F18DC">
      <w:pPr>
        <w:rPr>
          <w:lang w:val="es-ES"/>
        </w:rPr>
      </w:pPr>
      <w:r w:rsidRPr="00F8275B">
        <w:rPr>
          <w:lang w:val="es-ES"/>
        </w:rPr>
        <w:t>Las soluciones digitales pueden ayudar a hacer frente a los desafíos más acuciantes de la humanidad</w:t>
      </w:r>
      <w:r w:rsidR="00DC7C49" w:rsidRPr="00F8275B">
        <w:rPr>
          <w:lang w:val="es-ES"/>
        </w:rPr>
        <w:t xml:space="preserve"> – </w:t>
      </w:r>
      <w:r w:rsidR="00BE334A" w:rsidRPr="00F8275B">
        <w:rPr>
          <w:lang w:val="es-ES"/>
        </w:rPr>
        <w:t xml:space="preserve">acelerando también </w:t>
      </w:r>
      <w:r w:rsidR="00F75BCA" w:rsidRPr="00F8275B">
        <w:rPr>
          <w:lang w:val="es-ES"/>
        </w:rPr>
        <w:t>el desarrollo sostenible inclusivo</w:t>
      </w:r>
      <w:r w:rsidR="00DC7C49" w:rsidRPr="00F8275B">
        <w:rPr>
          <w:lang w:val="es-ES"/>
        </w:rPr>
        <w:t>.</w:t>
      </w:r>
      <w:r w:rsidR="0017456F">
        <w:rPr>
          <w:lang w:val="es-ES"/>
        </w:rPr>
        <w:t xml:space="preserve"> </w:t>
      </w:r>
      <w:r w:rsidR="00F75BCA" w:rsidRPr="00F8275B">
        <w:rPr>
          <w:lang w:val="es-ES"/>
        </w:rPr>
        <w:t>Esto implica, por supuesto, aprovechar las tecnologías innovadoras como la inteligencia artificial (IA) para el bien de todas las personas.</w:t>
      </w:r>
    </w:p>
    <w:p w14:paraId="7AE336E9" w14:textId="2D3E1DBB" w:rsidR="00DC7C49" w:rsidRPr="00F8275B" w:rsidRDefault="00BE334A" w:rsidP="000F18DC">
      <w:pPr>
        <w:rPr>
          <w:lang w:val="es-ES"/>
        </w:rPr>
      </w:pPr>
      <w:r w:rsidRPr="00F8275B">
        <w:rPr>
          <w:iCs/>
          <w:lang w:val="es-ES"/>
        </w:rPr>
        <w:t>A pesar de los riesgos reales y los crecientes temores, la transformación digital ofrece un rayo de esperanza para un futuro mejor</w:t>
      </w:r>
      <w:r w:rsidRPr="00F8275B">
        <w:rPr>
          <w:lang w:val="es-ES"/>
        </w:rPr>
        <w:t>.</w:t>
      </w:r>
    </w:p>
    <w:p w14:paraId="515C42D0" w14:textId="0B4742B0" w:rsidR="00DC7C49" w:rsidRPr="00F8275B" w:rsidRDefault="00BE334A" w:rsidP="000F18DC">
      <w:pPr>
        <w:rPr>
          <w:lang w:val="es-ES"/>
        </w:rPr>
      </w:pPr>
      <w:r w:rsidRPr="00F8275B">
        <w:rPr>
          <w:lang w:val="es-ES"/>
        </w:rPr>
        <w:t xml:space="preserve">En todo el mundo, el progreso digital es indiscutible, ya sea en la esfera técnica como en la política. </w:t>
      </w:r>
      <w:r w:rsidR="00A55B05" w:rsidRPr="00F8275B">
        <w:rPr>
          <w:lang w:val="es-ES"/>
        </w:rPr>
        <w:t>Aun</w:t>
      </w:r>
      <w:r w:rsidRPr="00F8275B">
        <w:rPr>
          <w:lang w:val="es-ES"/>
        </w:rPr>
        <w:t xml:space="preserve"> así, sigue habiendo una brecha digital</w:t>
      </w:r>
      <w:r w:rsidR="00F75BCA" w:rsidRPr="00F8275B">
        <w:rPr>
          <w:lang w:val="es-ES"/>
        </w:rPr>
        <w:t xml:space="preserve"> mundial</w:t>
      </w:r>
      <w:r w:rsidRPr="00F8275B">
        <w:rPr>
          <w:lang w:val="es-ES"/>
        </w:rPr>
        <w:t>, ya que el acceso y la utilización varían considerablemente en función de la región, el género, la edad,</w:t>
      </w:r>
      <w:r w:rsidR="00A55B05" w:rsidRPr="00F8275B">
        <w:rPr>
          <w:lang w:val="es-ES"/>
        </w:rPr>
        <w:t xml:space="preserve"> </w:t>
      </w:r>
      <w:r w:rsidRPr="00F8275B">
        <w:rPr>
          <w:lang w:val="es-ES"/>
        </w:rPr>
        <w:t>la renta y otras variables socioeconómicas.</w:t>
      </w:r>
    </w:p>
    <w:p w14:paraId="47D5FF07" w14:textId="4939F909" w:rsidR="00F75BCA" w:rsidRPr="00F8275B" w:rsidRDefault="00F75BCA" w:rsidP="000F18DC">
      <w:pPr>
        <w:rPr>
          <w:lang w:val="es-ES"/>
        </w:rPr>
      </w:pPr>
      <w:r w:rsidRPr="00F8275B">
        <w:rPr>
          <w:lang w:val="es-ES"/>
        </w:rPr>
        <w:t>Además de las personas que carecen por completo de conexión, otros miles de millones de personas están situadas en el lado malo de la brecha debido a bajas velocidades de Internet, competencias inadecuadas, falta de contenidos pertinentes o un acceso inasequible. Cabe destacar que las redes de telecomunicaciones 5G, que ahora predominan en los países de renta alta, siguen estando prácticamente ausentes en los países de renta baja.</w:t>
      </w:r>
    </w:p>
    <w:p w14:paraId="6632BEF8" w14:textId="433464F0" w:rsidR="00F75BCA" w:rsidRPr="00F8275B" w:rsidRDefault="00BE334A" w:rsidP="00CB6042">
      <w:pPr>
        <w:rPr>
          <w:iCs/>
          <w:lang w:val="es-ES"/>
        </w:rPr>
      </w:pPr>
      <w:r w:rsidRPr="00F8275B">
        <w:rPr>
          <w:iCs/>
          <w:lang w:val="es-ES"/>
        </w:rPr>
        <w:t>Lamentablemente</w:t>
      </w:r>
      <w:r w:rsidR="00DC7C49" w:rsidRPr="00F8275B">
        <w:rPr>
          <w:iCs/>
          <w:lang w:val="es-ES"/>
        </w:rPr>
        <w:t xml:space="preserve">, 2023 </w:t>
      </w:r>
      <w:r w:rsidRPr="00F8275B">
        <w:rPr>
          <w:iCs/>
          <w:lang w:val="es-ES"/>
        </w:rPr>
        <w:t xml:space="preserve">trajo también consigo crisis humanitarias y conflictos, unidos a incertidumbres económicas que han agravado las desigualdades </w:t>
      </w:r>
      <w:r w:rsidR="008C79BD" w:rsidRPr="00F8275B">
        <w:rPr>
          <w:iCs/>
          <w:lang w:val="es-ES"/>
        </w:rPr>
        <w:t>mundiales.</w:t>
      </w:r>
      <w:r w:rsidR="00DC7C49" w:rsidRPr="00F8275B">
        <w:rPr>
          <w:iCs/>
          <w:lang w:val="es-ES"/>
        </w:rPr>
        <w:t xml:space="preserve"> </w:t>
      </w:r>
      <w:r w:rsidR="00F75BCA" w:rsidRPr="00F8275B">
        <w:rPr>
          <w:iCs/>
          <w:lang w:val="es-ES"/>
        </w:rPr>
        <w:t>El cambio climático se ha convertido en una realidad diaria con inundaciones, sequías y nuevos récords de la temperatura media que agravan los desafíos mundiales.</w:t>
      </w:r>
    </w:p>
    <w:p w14:paraId="013681F2" w14:textId="068C1B56" w:rsidR="00A55B05" w:rsidRPr="00F8275B" w:rsidRDefault="008C79BD" w:rsidP="00233F8E">
      <w:pPr>
        <w:rPr>
          <w:lang w:val="es-ES"/>
        </w:rPr>
      </w:pPr>
      <w:r w:rsidRPr="00F8275B">
        <w:rPr>
          <w:lang w:val="es-ES"/>
        </w:rPr>
        <w:t>En un difícil año, la UIT</w:t>
      </w:r>
      <w:r w:rsidR="00DC7C49" w:rsidRPr="00F8275B">
        <w:rPr>
          <w:lang w:val="es-ES"/>
        </w:rPr>
        <w:t xml:space="preserve"> </w:t>
      </w:r>
      <w:r w:rsidR="00233F8E" w:rsidRPr="00233F8E">
        <w:rPr>
          <w:lang w:val="es-ES"/>
        </w:rPr>
        <w:t>−</w:t>
      </w:r>
      <w:r w:rsidRPr="00F8275B">
        <w:rPr>
          <w:lang w:val="es-ES"/>
        </w:rPr>
        <w:t>desempeñando su moderna función de organismo de las Naciones Unidas encargado de las tecnologías digitales</w:t>
      </w:r>
      <w:r w:rsidR="00233F8E" w:rsidRPr="00233F8E">
        <w:rPr>
          <w:lang w:val="es-ES"/>
        </w:rPr>
        <w:t>−</w:t>
      </w:r>
      <w:r w:rsidR="00DC7C49" w:rsidRPr="00F8275B">
        <w:rPr>
          <w:lang w:val="es-ES"/>
        </w:rPr>
        <w:t xml:space="preserve"> </w:t>
      </w:r>
      <w:r w:rsidRPr="00F8275B">
        <w:rPr>
          <w:lang w:val="es-ES"/>
        </w:rPr>
        <w:t>ha impulsado iniciativas históricas para lograr una conectividad efectiva para todas las personas, en todos sitios.</w:t>
      </w:r>
      <w:r w:rsidR="00F75BCA" w:rsidRPr="00F8275B">
        <w:rPr>
          <w:lang w:val="es-ES"/>
        </w:rPr>
        <w:t xml:space="preserve"> A finales de 2023, la Conferencia Mundial de Radiocomunicaciones (CMR-23) logró actualizaciones fundamentales de la reglamentación mundial sobre la atribución del espectro radioeléctrico para los servicios inalámbricos y de otra índole.</w:t>
      </w:r>
    </w:p>
    <w:p w14:paraId="2A3F2EBC" w14:textId="36917CB9" w:rsidR="00A55B05" w:rsidRPr="00F8275B" w:rsidRDefault="008C79BD" w:rsidP="000F18DC">
      <w:pPr>
        <w:rPr>
          <w:lang w:val="es-ES"/>
        </w:rPr>
      </w:pPr>
      <w:r w:rsidRPr="00F8275B">
        <w:rPr>
          <w:lang w:val="es-ES"/>
        </w:rPr>
        <w:t>Ahora más que nunca, las actividades de radiocomunicaciones, normalización y desarrollo de la UIT están ayudando a conectar al mundo de manera inclusiva y sostenible.</w:t>
      </w:r>
      <w:r w:rsidR="00A45339" w:rsidRPr="00F8275B">
        <w:rPr>
          <w:lang w:val="es-ES"/>
        </w:rPr>
        <w:t xml:space="preserve"> </w:t>
      </w:r>
      <w:r w:rsidRPr="00F8275B">
        <w:rPr>
          <w:lang w:val="es-ES"/>
        </w:rPr>
        <w:t>Un enfoque incansable en la conectividad impulsa nuestras repercusiones a nivel mundial, nos motiva a forjar alianzas innovadoras y nos inspira en nuestro empeño por lograr la excelencia institucional</w:t>
      </w:r>
      <w:r w:rsidR="00DC7C49" w:rsidRPr="00F8275B">
        <w:rPr>
          <w:lang w:val="es-ES"/>
        </w:rPr>
        <w:t>.</w:t>
      </w:r>
    </w:p>
    <w:p w14:paraId="67992EDD" w14:textId="72267762" w:rsidR="00F75BCA" w:rsidRPr="00F8275B" w:rsidRDefault="00F75BCA" w:rsidP="00F75BCA">
      <w:pPr>
        <w:rPr>
          <w:lang w:val="es-ES"/>
        </w:rPr>
      </w:pPr>
      <w:r w:rsidRPr="00F8275B">
        <w:rPr>
          <w:lang w:val="es-ES"/>
        </w:rPr>
        <w:lastRenderedPageBreak/>
        <w:t>Hasta ahora, la iniciativa Partner2Connect dirigida por la UIT ha reunido más de 46 000 millones de dólares en promesas para proyectos de conectividad efectiva y transformación digital sostenible en todo el mundo. Seguimos aumentando nuestras ambiciones para luchar contra el conocido fenómeno del "último kilómetro", movilizando compromisos de los sectores público y privado para aportar los beneficios digitales a las comunidades más difíciles de conectar del mundo.</w:t>
      </w:r>
    </w:p>
    <w:p w14:paraId="712444A8" w14:textId="12BD0934" w:rsidR="00F75BCA" w:rsidRPr="00F8275B" w:rsidRDefault="00F75BCA" w:rsidP="00233F8E">
      <w:pPr>
        <w:rPr>
          <w:lang w:val="es-ES"/>
        </w:rPr>
      </w:pPr>
      <w:r w:rsidRPr="00F8275B">
        <w:rPr>
          <w:lang w:val="es-ES"/>
        </w:rPr>
        <w:t xml:space="preserve">Giga </w:t>
      </w:r>
      <w:r w:rsidR="00233F8E" w:rsidRPr="00233F8E">
        <w:rPr>
          <w:lang w:val="es-ES"/>
        </w:rPr>
        <w:t>−</w:t>
      </w:r>
      <w:r w:rsidR="005F5A53" w:rsidRPr="00F8275B">
        <w:rPr>
          <w:lang w:val="es-ES"/>
        </w:rPr>
        <w:t xml:space="preserve">la iniciativa conjunta de la UIT y UNICEF para conectar a Internet a todas las escuelas del mundo a </w:t>
      </w:r>
      <w:r w:rsidRPr="00F8275B">
        <w:rPr>
          <w:lang w:val="es-ES"/>
        </w:rPr>
        <w:t>Internet</w:t>
      </w:r>
      <w:r w:rsidR="00233F8E" w:rsidRPr="00233F8E">
        <w:rPr>
          <w:lang w:val="es-ES"/>
        </w:rPr>
        <w:t>−</w:t>
      </w:r>
      <w:r w:rsidRPr="00F8275B">
        <w:rPr>
          <w:lang w:val="es-ES"/>
        </w:rPr>
        <w:t xml:space="preserve"> represent</w:t>
      </w:r>
      <w:r w:rsidR="005F5A53" w:rsidRPr="00F8275B">
        <w:rPr>
          <w:lang w:val="es-ES"/>
        </w:rPr>
        <w:t>a otro destacable avance para hacer frente a los principales desafíos por conducto de alianzas mundiales.</w:t>
      </w:r>
    </w:p>
    <w:p w14:paraId="4A2447DF" w14:textId="207A58FC" w:rsidR="005F5A53" w:rsidRPr="00F8275B" w:rsidRDefault="005F5A53" w:rsidP="00233F8E">
      <w:pPr>
        <w:rPr>
          <w:lang w:val="es-ES"/>
        </w:rPr>
      </w:pPr>
      <w:r w:rsidRPr="00F8275B">
        <w:rPr>
          <w:lang w:val="es-ES"/>
        </w:rPr>
        <w:t xml:space="preserve">Asimismo, colaboramos con socios del sistema de las Naciones Unidas y otros socios para impulsar la iniciativa </w:t>
      </w:r>
      <w:r w:rsidR="00233F8E">
        <w:rPr>
          <w:lang w:val="es-ES"/>
        </w:rPr>
        <w:t>"</w:t>
      </w:r>
      <w:r w:rsidRPr="00F8275B">
        <w:rPr>
          <w:lang w:val="es-ES"/>
        </w:rPr>
        <w:t>Alerta temprana para todas las personas</w:t>
      </w:r>
      <w:r w:rsidR="00233F8E">
        <w:rPr>
          <w:lang w:val="es-ES"/>
        </w:rPr>
        <w:t>"</w:t>
      </w:r>
      <w:r w:rsidRPr="00F8275B">
        <w:rPr>
          <w:lang w:val="es-ES"/>
        </w:rPr>
        <w:t xml:space="preserve"> del Secretario General de las Naciones Unidas, así como para supervisar y reducir los residuos electrónicos, luchar contra las emisiones de gases de efecto invernadero de nuestra propia industria y sentar las bases para lograr una economía digital ecológica.</w:t>
      </w:r>
    </w:p>
    <w:p w14:paraId="10DCFB6B" w14:textId="245F1559" w:rsidR="005F5A53" w:rsidRPr="00F8275B" w:rsidRDefault="005F5A53" w:rsidP="00233F8E">
      <w:pPr>
        <w:rPr>
          <w:lang w:val="es-ES"/>
        </w:rPr>
      </w:pPr>
      <w:r w:rsidRPr="00F8275B">
        <w:rPr>
          <w:lang w:val="es-ES"/>
        </w:rPr>
        <w:t>Este informe anual recoge un momento clave de la UIT: el inicio de un nuevo y ambicioso plan estratégico. Nuestro Plan Estratégico para 2024-2027 se basa en el plan para 2020-2024 y actualiza nuestra Agenda Conectar 2030 para centrarse en dos prioridades generales: la conectividad universal y la transformación digital sostenible.</w:t>
      </w:r>
    </w:p>
    <w:p w14:paraId="060ABBB5" w14:textId="54C53A73" w:rsidR="00D26297" w:rsidRPr="00F8275B" w:rsidRDefault="005F5A53" w:rsidP="00233F8E">
      <w:pPr>
        <w:rPr>
          <w:lang w:val="es-ES"/>
        </w:rPr>
      </w:pPr>
      <w:r w:rsidRPr="00F8275B">
        <w:rPr>
          <w:lang w:val="es-ES"/>
        </w:rPr>
        <w:t>Nuestra próxima Asamblea Mundial de Normalización de las Telecomunicaciones (AMNT-24) promoverá normas inclusivas en consonancia con el desarrollo sostenible y la acción por el clima. La versatilidad y credibilidad de las normas de la UIT también constituyen un activo clave, dado que el tema de la Acción Digital Verde continúa para la próxima Conferencia de las Naciones Unidas sobre el Cambio Climático, la COP29.</w:t>
      </w:r>
    </w:p>
    <w:p w14:paraId="2D602200" w14:textId="0B084FDF" w:rsidR="00D26297" w:rsidRPr="00F8275B" w:rsidRDefault="00D26297" w:rsidP="00233F8E">
      <w:pPr>
        <w:rPr>
          <w:lang w:val="es-ES"/>
        </w:rPr>
      </w:pPr>
      <w:r w:rsidRPr="00F8275B">
        <w:rPr>
          <w:lang w:val="es-ES"/>
        </w:rPr>
        <w:t xml:space="preserve">Las tecnologías nuevas y emergentes </w:t>
      </w:r>
      <w:r w:rsidR="00233F8E" w:rsidRPr="00233F8E">
        <w:rPr>
          <w:lang w:val="es-ES"/>
        </w:rPr>
        <w:t>−</w:t>
      </w:r>
      <w:r w:rsidRPr="00F8275B">
        <w:rPr>
          <w:lang w:val="es-ES"/>
        </w:rPr>
        <w:t>en particular las aplicaciones de IA generativas que acapararon la atención pública en 2023</w:t>
      </w:r>
      <w:r w:rsidR="00233F8E" w:rsidRPr="00233F8E">
        <w:rPr>
          <w:lang w:val="es-ES"/>
        </w:rPr>
        <w:t>−</w:t>
      </w:r>
      <w:r w:rsidRPr="00F8275B">
        <w:rPr>
          <w:lang w:val="es-ES"/>
        </w:rPr>
        <w:t xml:space="preserve"> siguen presentando </w:t>
      </w:r>
      <w:r w:rsidR="00542DBD" w:rsidRPr="00F8275B">
        <w:rPr>
          <w:lang w:val="es-ES"/>
        </w:rPr>
        <w:t>una combinación de oportunidades y desafíos sin precedentes. De cara al futuro, la UIT tiene por objeto velar por que la IA esté al servicio de la humanidad, mantenga un espacio sostenible para las generaciones futuras y garantice que todas las personas puedan beneficiarse de las tecnologías cuánticas.</w:t>
      </w:r>
    </w:p>
    <w:p w14:paraId="51460DAC" w14:textId="422CEF04" w:rsidR="00542DBD" w:rsidRPr="00F8275B" w:rsidRDefault="00542DBD" w:rsidP="00233F8E">
      <w:pPr>
        <w:rPr>
          <w:lang w:val="es-ES"/>
        </w:rPr>
      </w:pPr>
      <w:r w:rsidRPr="00F8275B">
        <w:rPr>
          <w:lang w:val="es-ES"/>
        </w:rPr>
        <w:t>La próxima Cumbre del Futuro constituye un momento esencial para sentar bases sólidas para el desarrollo digital inclusivo, resiliente y sostenible de cara a los próximos años. En los debates que conforman el Pacto Digital Mundial previsto, la UIT reafirma su compromiso con la conectividad universal y la transformación digital sostenible.</w:t>
      </w:r>
    </w:p>
    <w:p w14:paraId="5EFE717B" w14:textId="47E19CCE" w:rsidR="00542DBD" w:rsidRPr="00F8275B" w:rsidRDefault="00542DBD" w:rsidP="00F75BCA">
      <w:pPr>
        <w:spacing w:line="256" w:lineRule="auto"/>
        <w:rPr>
          <w:szCs w:val="24"/>
          <w:lang w:val="es-ES"/>
        </w:rPr>
      </w:pPr>
      <w:r w:rsidRPr="00F8275B">
        <w:rPr>
          <w:szCs w:val="24"/>
          <w:lang w:val="es-ES"/>
        </w:rPr>
        <w:t>Junto con nuestros asociados, tenemos mucho que ofrecer, desde la cooperación en materia de normalización sobre las tecnologías emergentes hasta los debates mundiales sobre la IA y las cuestiones relativas a la gobernanza de Internet. Esperamos seguir apoyando este proceso clave de negociación dirigido por los Estados Miembros.</w:t>
      </w:r>
    </w:p>
    <w:p w14:paraId="2E18CE4F" w14:textId="0CE125BC" w:rsidR="00A55B05" w:rsidRPr="00F8275B" w:rsidRDefault="002C6ABA" w:rsidP="00233F8E">
      <w:pPr>
        <w:keepNext/>
        <w:keepLines/>
        <w:rPr>
          <w:lang w:val="es-ES"/>
        </w:rPr>
      </w:pPr>
      <w:r w:rsidRPr="00F8275B">
        <w:rPr>
          <w:lang w:val="es-ES"/>
        </w:rPr>
        <w:lastRenderedPageBreak/>
        <w:t xml:space="preserve">A medida que la UIT se prepara para el futuro, estoy agradecido por el apoyo de </w:t>
      </w:r>
      <w:r w:rsidR="00542DBD" w:rsidRPr="00F8275B">
        <w:rPr>
          <w:lang w:val="es-ES"/>
        </w:rPr>
        <w:t xml:space="preserve">nuestros comprometidos miembros, nuestro </w:t>
      </w:r>
      <w:r w:rsidRPr="00F8275B">
        <w:rPr>
          <w:lang w:val="es-ES"/>
        </w:rPr>
        <w:t>excelente equipo directivo</w:t>
      </w:r>
      <w:r w:rsidR="00542DBD" w:rsidRPr="00F8275B">
        <w:rPr>
          <w:lang w:val="es-ES"/>
        </w:rPr>
        <w:t xml:space="preserve"> y nuestro dedicado personal</w:t>
      </w:r>
      <w:r w:rsidRPr="00F8275B">
        <w:rPr>
          <w:lang w:val="es-ES"/>
        </w:rPr>
        <w:t>.</w:t>
      </w:r>
    </w:p>
    <w:p w14:paraId="4DA45204" w14:textId="3471532C" w:rsidR="00A55B05" w:rsidRPr="00F8275B" w:rsidRDefault="002C6ABA" w:rsidP="00233F8E">
      <w:pPr>
        <w:keepNext/>
        <w:keepLines/>
        <w:rPr>
          <w:lang w:val="es-ES"/>
        </w:rPr>
      </w:pPr>
      <w:r w:rsidRPr="00F8275B">
        <w:rPr>
          <w:lang w:val="es-ES"/>
        </w:rPr>
        <w:t>Les invito a explorar nuestros logros</w:t>
      </w:r>
      <w:r w:rsidR="00542DBD" w:rsidRPr="00F8275B">
        <w:rPr>
          <w:lang w:val="es-ES"/>
        </w:rPr>
        <w:t xml:space="preserve"> conjuntos</w:t>
      </w:r>
      <w:r w:rsidRPr="00F8275B">
        <w:rPr>
          <w:lang w:val="es-ES"/>
        </w:rPr>
        <w:t xml:space="preserve"> de </w:t>
      </w:r>
      <w:r w:rsidR="00DC7C49" w:rsidRPr="00F8275B">
        <w:rPr>
          <w:lang w:val="es-ES"/>
        </w:rPr>
        <w:t>2023.</w:t>
      </w:r>
    </w:p>
    <w:p w14:paraId="2A79666C" w14:textId="08AF7190" w:rsidR="00AC3DB7" w:rsidRPr="00F8275B" w:rsidRDefault="00AC3DB7" w:rsidP="00082AF5">
      <w:pPr>
        <w:spacing w:before="600"/>
        <w:rPr>
          <w:lang w:val="es-ES"/>
        </w:rPr>
      </w:pPr>
      <w:r w:rsidRPr="00F8275B">
        <w:rPr>
          <w:lang w:val="es-ES"/>
        </w:rPr>
        <w:t>Doreen Bogdan-Martin</w:t>
      </w:r>
      <w:r w:rsidR="00082AF5" w:rsidRPr="00F8275B">
        <w:rPr>
          <w:lang w:val="es-ES"/>
        </w:rPr>
        <w:br/>
      </w:r>
      <w:r w:rsidRPr="00F8275B">
        <w:rPr>
          <w:lang w:val="es-ES"/>
        </w:rPr>
        <w:t>Secretaria General</w:t>
      </w:r>
      <w:r w:rsidR="00082AF5" w:rsidRPr="00F8275B">
        <w:rPr>
          <w:lang w:val="es-ES"/>
        </w:rPr>
        <w:br/>
      </w:r>
      <w:r w:rsidRPr="00F8275B">
        <w:rPr>
          <w:lang w:val="es-ES"/>
        </w:rPr>
        <w:t>Unión Internacional de Telecomunicaciones</w:t>
      </w:r>
      <w:bookmarkEnd w:id="2"/>
    </w:p>
    <w:p w14:paraId="34A2EB26" w14:textId="7F68739C" w:rsidR="00AC3DB7" w:rsidRPr="00F8275B" w:rsidRDefault="00AC3DB7" w:rsidP="00AC3DB7">
      <w:pPr>
        <w:rPr>
          <w:lang w:val="es-ES"/>
        </w:rPr>
      </w:pPr>
      <w:r w:rsidRPr="00F8275B">
        <w:rPr>
          <w:lang w:val="es-ES"/>
        </w:rPr>
        <w:br w:type="page"/>
      </w:r>
    </w:p>
    <w:p w14:paraId="652817B0" w14:textId="702B8F4C" w:rsidR="00CE6D77" w:rsidRPr="00F8275B" w:rsidRDefault="00783087" w:rsidP="00783087">
      <w:pPr>
        <w:pStyle w:val="Title1"/>
        <w:rPr>
          <w:lang w:val="es-ES"/>
        </w:rPr>
      </w:pPr>
      <w:r w:rsidRPr="00F8275B">
        <w:rPr>
          <w:lang w:val="es-ES"/>
        </w:rPr>
        <w:lastRenderedPageBreak/>
        <w:t>Índice</w:t>
      </w:r>
    </w:p>
    <w:p w14:paraId="194C11DA" w14:textId="322FD810" w:rsidR="00AD42F2" w:rsidRPr="00F8275B" w:rsidRDefault="00AD42F2" w:rsidP="00AD42F2">
      <w:pPr>
        <w:pStyle w:val="toc0"/>
        <w:rPr>
          <w:lang w:val="es-ES"/>
        </w:rPr>
      </w:pPr>
      <w:r w:rsidRPr="00F8275B">
        <w:rPr>
          <w:lang w:val="es-ES"/>
        </w:rPr>
        <w:tab/>
        <w:t>Página</w:t>
      </w:r>
    </w:p>
    <w:p w14:paraId="1068B451" w14:textId="31C9593C" w:rsidR="007560BC" w:rsidRDefault="005B0425">
      <w:pPr>
        <w:pStyle w:val="TOC1"/>
        <w:rPr>
          <w:rFonts w:asciiTheme="minorHAnsi" w:eastAsiaTheme="minorEastAsia" w:hAnsiTheme="minorHAnsi" w:cstheme="minorBidi"/>
          <w:noProof/>
          <w:sz w:val="22"/>
          <w:szCs w:val="22"/>
          <w:lang w:val="en-GB" w:eastAsia="zh-CN"/>
        </w:rPr>
      </w:pPr>
      <w:r w:rsidRPr="00F8275B">
        <w:rPr>
          <w:lang w:val="es-ES"/>
        </w:rPr>
        <w:fldChar w:fldCharType="begin"/>
      </w:r>
      <w:r w:rsidRPr="00F8275B">
        <w:rPr>
          <w:lang w:val="es-ES"/>
        </w:rPr>
        <w:instrText xml:space="preserve"> TOC \o "2-2" \h \z \t "Heading 1;1" </w:instrText>
      </w:r>
      <w:r w:rsidRPr="00F8275B">
        <w:rPr>
          <w:lang w:val="es-ES"/>
        </w:rPr>
        <w:fldChar w:fldCharType="separate"/>
      </w:r>
      <w:hyperlink w:anchor="_Toc166580872" w:history="1">
        <w:r w:rsidR="007560BC" w:rsidRPr="005E4CAB">
          <w:rPr>
            <w:rStyle w:val="Hyperlink"/>
            <w:noProof/>
            <w:lang w:val="es-ES"/>
          </w:rPr>
          <w:t>i</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Principales conclusiones</w:t>
        </w:r>
        <w:r w:rsidR="007560BC">
          <w:rPr>
            <w:noProof/>
            <w:webHidden/>
          </w:rPr>
          <w:tab/>
        </w:r>
        <w:r w:rsidR="007560BC">
          <w:rPr>
            <w:noProof/>
            <w:webHidden/>
          </w:rPr>
          <w:fldChar w:fldCharType="begin"/>
        </w:r>
        <w:r w:rsidR="007560BC">
          <w:rPr>
            <w:noProof/>
            <w:webHidden/>
          </w:rPr>
          <w:instrText xml:space="preserve"> PAGEREF _Toc166580872 \h </w:instrText>
        </w:r>
        <w:r w:rsidR="007560BC">
          <w:rPr>
            <w:noProof/>
            <w:webHidden/>
          </w:rPr>
        </w:r>
        <w:r w:rsidR="007560BC">
          <w:rPr>
            <w:noProof/>
            <w:webHidden/>
          </w:rPr>
          <w:fldChar w:fldCharType="separate"/>
        </w:r>
        <w:r w:rsidR="00B94E38">
          <w:rPr>
            <w:noProof/>
            <w:webHidden/>
          </w:rPr>
          <w:t>1</w:t>
        </w:r>
        <w:r w:rsidR="007560BC">
          <w:rPr>
            <w:noProof/>
            <w:webHidden/>
          </w:rPr>
          <w:fldChar w:fldCharType="end"/>
        </w:r>
      </w:hyperlink>
    </w:p>
    <w:p w14:paraId="1BDA39C8" w14:textId="5071CCEF" w:rsidR="007560BC" w:rsidRDefault="00534F60">
      <w:pPr>
        <w:pStyle w:val="TOC1"/>
        <w:rPr>
          <w:rFonts w:asciiTheme="minorHAnsi" w:eastAsiaTheme="minorEastAsia" w:hAnsiTheme="minorHAnsi" w:cstheme="minorBidi"/>
          <w:noProof/>
          <w:sz w:val="22"/>
          <w:szCs w:val="22"/>
          <w:lang w:val="en-GB" w:eastAsia="zh-CN"/>
        </w:rPr>
      </w:pPr>
      <w:hyperlink w:anchor="_Toc166580873" w:history="1">
        <w:r w:rsidR="007560BC" w:rsidRPr="005E4CAB">
          <w:rPr>
            <w:rStyle w:val="Hyperlink"/>
            <w:noProof/>
            <w:lang w:val="es-ES"/>
          </w:rPr>
          <w:t>1</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Introducción</w:t>
        </w:r>
        <w:r w:rsidR="007560BC">
          <w:rPr>
            <w:noProof/>
            <w:webHidden/>
          </w:rPr>
          <w:tab/>
        </w:r>
        <w:r w:rsidR="007560BC">
          <w:rPr>
            <w:noProof/>
            <w:webHidden/>
          </w:rPr>
          <w:fldChar w:fldCharType="begin"/>
        </w:r>
        <w:r w:rsidR="007560BC">
          <w:rPr>
            <w:noProof/>
            <w:webHidden/>
          </w:rPr>
          <w:instrText xml:space="preserve"> PAGEREF _Toc166580873 \h </w:instrText>
        </w:r>
        <w:r w:rsidR="007560BC">
          <w:rPr>
            <w:noProof/>
            <w:webHidden/>
          </w:rPr>
        </w:r>
        <w:r w:rsidR="007560BC">
          <w:rPr>
            <w:noProof/>
            <w:webHidden/>
          </w:rPr>
          <w:fldChar w:fldCharType="separate"/>
        </w:r>
        <w:r w:rsidR="00B94E38">
          <w:rPr>
            <w:noProof/>
            <w:webHidden/>
          </w:rPr>
          <w:t>5</w:t>
        </w:r>
        <w:r w:rsidR="007560BC">
          <w:rPr>
            <w:noProof/>
            <w:webHidden/>
          </w:rPr>
          <w:fldChar w:fldCharType="end"/>
        </w:r>
      </w:hyperlink>
    </w:p>
    <w:p w14:paraId="1DE76388" w14:textId="193E3451" w:rsidR="007560BC" w:rsidRDefault="00534F60">
      <w:pPr>
        <w:pStyle w:val="TOC1"/>
        <w:rPr>
          <w:rFonts w:asciiTheme="minorHAnsi" w:eastAsiaTheme="minorEastAsia" w:hAnsiTheme="minorHAnsi" w:cstheme="minorBidi"/>
          <w:noProof/>
          <w:sz w:val="22"/>
          <w:szCs w:val="22"/>
          <w:lang w:val="en-GB" w:eastAsia="zh-CN"/>
        </w:rPr>
      </w:pPr>
      <w:hyperlink w:anchor="_Toc166580874" w:history="1">
        <w:r w:rsidR="007560BC" w:rsidRPr="005E4CAB">
          <w:rPr>
            <w:rStyle w:val="Hyperlink"/>
            <w:noProof/>
            <w:lang w:val="es-ES"/>
          </w:rPr>
          <w:t>2</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Conferencias mundiales estatutarias en 2023</w:t>
        </w:r>
        <w:r w:rsidR="007560BC">
          <w:rPr>
            <w:noProof/>
            <w:webHidden/>
          </w:rPr>
          <w:tab/>
        </w:r>
        <w:r w:rsidR="007560BC">
          <w:rPr>
            <w:noProof/>
            <w:webHidden/>
          </w:rPr>
          <w:fldChar w:fldCharType="begin"/>
        </w:r>
        <w:r w:rsidR="007560BC">
          <w:rPr>
            <w:noProof/>
            <w:webHidden/>
          </w:rPr>
          <w:instrText xml:space="preserve"> PAGEREF _Toc166580874 \h </w:instrText>
        </w:r>
        <w:r w:rsidR="007560BC">
          <w:rPr>
            <w:noProof/>
            <w:webHidden/>
          </w:rPr>
        </w:r>
        <w:r w:rsidR="007560BC">
          <w:rPr>
            <w:noProof/>
            <w:webHidden/>
          </w:rPr>
          <w:fldChar w:fldCharType="separate"/>
        </w:r>
        <w:r w:rsidR="00B94E38">
          <w:rPr>
            <w:noProof/>
            <w:webHidden/>
          </w:rPr>
          <w:t>14</w:t>
        </w:r>
        <w:r w:rsidR="007560BC">
          <w:rPr>
            <w:noProof/>
            <w:webHidden/>
          </w:rPr>
          <w:fldChar w:fldCharType="end"/>
        </w:r>
      </w:hyperlink>
    </w:p>
    <w:p w14:paraId="50E222E2" w14:textId="2E1CD71E" w:rsidR="007560BC" w:rsidRDefault="00534F60">
      <w:pPr>
        <w:pStyle w:val="TOC2"/>
        <w:rPr>
          <w:rFonts w:asciiTheme="minorHAnsi" w:eastAsiaTheme="minorEastAsia" w:hAnsiTheme="minorHAnsi" w:cstheme="minorBidi"/>
          <w:noProof/>
          <w:sz w:val="22"/>
          <w:szCs w:val="22"/>
          <w:lang w:val="en-GB" w:eastAsia="zh-CN"/>
        </w:rPr>
      </w:pPr>
      <w:hyperlink w:anchor="_Toc166580875" w:history="1">
        <w:r w:rsidR="007560BC" w:rsidRPr="005E4CAB">
          <w:rPr>
            <w:rStyle w:val="Hyperlink"/>
            <w:noProof/>
            <w:lang w:val="es-ES"/>
          </w:rPr>
          <w:t>2.1</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CMR-23</w:t>
        </w:r>
        <w:r w:rsidR="007560BC">
          <w:rPr>
            <w:noProof/>
            <w:webHidden/>
          </w:rPr>
          <w:tab/>
        </w:r>
        <w:r w:rsidR="007560BC">
          <w:rPr>
            <w:noProof/>
            <w:webHidden/>
          </w:rPr>
          <w:fldChar w:fldCharType="begin"/>
        </w:r>
        <w:r w:rsidR="007560BC">
          <w:rPr>
            <w:noProof/>
            <w:webHidden/>
          </w:rPr>
          <w:instrText xml:space="preserve"> PAGEREF _Toc166580875 \h </w:instrText>
        </w:r>
        <w:r w:rsidR="007560BC">
          <w:rPr>
            <w:noProof/>
            <w:webHidden/>
          </w:rPr>
        </w:r>
        <w:r w:rsidR="007560BC">
          <w:rPr>
            <w:noProof/>
            <w:webHidden/>
          </w:rPr>
          <w:fldChar w:fldCharType="separate"/>
        </w:r>
        <w:r w:rsidR="00B94E38">
          <w:rPr>
            <w:noProof/>
            <w:webHidden/>
          </w:rPr>
          <w:t>14</w:t>
        </w:r>
        <w:r w:rsidR="007560BC">
          <w:rPr>
            <w:noProof/>
            <w:webHidden/>
          </w:rPr>
          <w:fldChar w:fldCharType="end"/>
        </w:r>
      </w:hyperlink>
    </w:p>
    <w:p w14:paraId="0E612713" w14:textId="67CCD189" w:rsidR="007560BC" w:rsidRDefault="00534F60">
      <w:pPr>
        <w:pStyle w:val="TOC2"/>
        <w:rPr>
          <w:rFonts w:asciiTheme="minorHAnsi" w:eastAsiaTheme="minorEastAsia" w:hAnsiTheme="minorHAnsi" w:cstheme="minorBidi"/>
          <w:noProof/>
          <w:sz w:val="22"/>
          <w:szCs w:val="22"/>
          <w:lang w:val="en-GB" w:eastAsia="zh-CN"/>
        </w:rPr>
      </w:pPr>
      <w:hyperlink w:anchor="_Toc166580876" w:history="1">
        <w:r w:rsidR="007560BC" w:rsidRPr="005E4CAB">
          <w:rPr>
            <w:rStyle w:val="Hyperlink"/>
            <w:noProof/>
            <w:lang w:val="es-ES"/>
          </w:rPr>
          <w:t>2.2</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AR-23</w:t>
        </w:r>
        <w:r w:rsidR="007560BC">
          <w:rPr>
            <w:noProof/>
            <w:webHidden/>
          </w:rPr>
          <w:tab/>
        </w:r>
        <w:r w:rsidR="007560BC">
          <w:rPr>
            <w:noProof/>
            <w:webHidden/>
          </w:rPr>
          <w:fldChar w:fldCharType="begin"/>
        </w:r>
        <w:r w:rsidR="007560BC">
          <w:rPr>
            <w:noProof/>
            <w:webHidden/>
          </w:rPr>
          <w:instrText xml:space="preserve"> PAGEREF _Toc166580876 \h </w:instrText>
        </w:r>
        <w:r w:rsidR="007560BC">
          <w:rPr>
            <w:noProof/>
            <w:webHidden/>
          </w:rPr>
        </w:r>
        <w:r w:rsidR="007560BC">
          <w:rPr>
            <w:noProof/>
            <w:webHidden/>
          </w:rPr>
          <w:fldChar w:fldCharType="separate"/>
        </w:r>
        <w:r w:rsidR="00B94E38">
          <w:rPr>
            <w:noProof/>
            <w:webHidden/>
          </w:rPr>
          <w:t>17</w:t>
        </w:r>
        <w:r w:rsidR="007560BC">
          <w:rPr>
            <w:noProof/>
            <w:webHidden/>
          </w:rPr>
          <w:fldChar w:fldCharType="end"/>
        </w:r>
      </w:hyperlink>
    </w:p>
    <w:p w14:paraId="4024B7C1" w14:textId="154DC8B8" w:rsidR="007560BC" w:rsidRDefault="00534F60">
      <w:pPr>
        <w:pStyle w:val="TOC1"/>
        <w:rPr>
          <w:rFonts w:asciiTheme="minorHAnsi" w:eastAsiaTheme="minorEastAsia" w:hAnsiTheme="minorHAnsi" w:cstheme="minorBidi"/>
          <w:noProof/>
          <w:sz w:val="22"/>
          <w:szCs w:val="22"/>
          <w:lang w:val="en-GB" w:eastAsia="zh-CN"/>
        </w:rPr>
      </w:pPr>
      <w:hyperlink w:anchor="_Toc166580877" w:history="1">
        <w:r w:rsidR="007560BC" w:rsidRPr="005E4CAB">
          <w:rPr>
            <w:rStyle w:val="Hyperlink"/>
            <w:noProof/>
            <w:lang w:val="es-ES"/>
          </w:rPr>
          <w:t>3</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Repercusiones de la labor de la UIT: Avances hacia la implementación de la Agenda Conectar 2030</w:t>
        </w:r>
        <w:r w:rsidR="007560BC">
          <w:rPr>
            <w:noProof/>
            <w:webHidden/>
          </w:rPr>
          <w:tab/>
        </w:r>
        <w:r w:rsidR="007560BC">
          <w:rPr>
            <w:noProof/>
            <w:webHidden/>
          </w:rPr>
          <w:fldChar w:fldCharType="begin"/>
        </w:r>
        <w:r w:rsidR="007560BC">
          <w:rPr>
            <w:noProof/>
            <w:webHidden/>
          </w:rPr>
          <w:instrText xml:space="preserve"> PAGEREF _Toc166580877 \h </w:instrText>
        </w:r>
        <w:r w:rsidR="007560BC">
          <w:rPr>
            <w:noProof/>
            <w:webHidden/>
          </w:rPr>
        </w:r>
        <w:r w:rsidR="007560BC">
          <w:rPr>
            <w:noProof/>
            <w:webHidden/>
          </w:rPr>
          <w:fldChar w:fldCharType="separate"/>
        </w:r>
        <w:r w:rsidR="00B94E38">
          <w:rPr>
            <w:noProof/>
            <w:webHidden/>
          </w:rPr>
          <w:t>18</w:t>
        </w:r>
        <w:r w:rsidR="007560BC">
          <w:rPr>
            <w:noProof/>
            <w:webHidden/>
          </w:rPr>
          <w:fldChar w:fldCharType="end"/>
        </w:r>
      </w:hyperlink>
    </w:p>
    <w:p w14:paraId="5BAA3543" w14:textId="52A1C868" w:rsidR="007560BC" w:rsidRDefault="00534F60">
      <w:pPr>
        <w:pStyle w:val="TOC2"/>
        <w:rPr>
          <w:rFonts w:asciiTheme="minorHAnsi" w:eastAsiaTheme="minorEastAsia" w:hAnsiTheme="minorHAnsi" w:cstheme="minorBidi"/>
          <w:noProof/>
          <w:sz w:val="22"/>
          <w:szCs w:val="22"/>
          <w:lang w:val="en-GB" w:eastAsia="zh-CN"/>
        </w:rPr>
      </w:pPr>
      <w:hyperlink w:anchor="_Toc166580878" w:history="1">
        <w:r w:rsidR="007560BC" w:rsidRPr="005E4CAB">
          <w:rPr>
            <w:rStyle w:val="Hyperlink"/>
            <w:noProof/>
            <w:lang w:val="es-ES"/>
          </w:rPr>
          <w:t>3.1</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Plan Estratégico 2020-2023: Resultados finales</w:t>
        </w:r>
        <w:r w:rsidR="007560BC">
          <w:rPr>
            <w:noProof/>
            <w:webHidden/>
          </w:rPr>
          <w:tab/>
        </w:r>
        <w:r w:rsidR="007560BC">
          <w:rPr>
            <w:noProof/>
            <w:webHidden/>
          </w:rPr>
          <w:fldChar w:fldCharType="begin"/>
        </w:r>
        <w:r w:rsidR="007560BC">
          <w:rPr>
            <w:noProof/>
            <w:webHidden/>
          </w:rPr>
          <w:instrText xml:space="preserve"> PAGEREF _Toc166580878 \h </w:instrText>
        </w:r>
        <w:r w:rsidR="007560BC">
          <w:rPr>
            <w:noProof/>
            <w:webHidden/>
          </w:rPr>
        </w:r>
        <w:r w:rsidR="007560BC">
          <w:rPr>
            <w:noProof/>
            <w:webHidden/>
          </w:rPr>
          <w:fldChar w:fldCharType="separate"/>
        </w:r>
        <w:r w:rsidR="00B94E38">
          <w:rPr>
            <w:noProof/>
            <w:webHidden/>
          </w:rPr>
          <w:t>18</w:t>
        </w:r>
        <w:r w:rsidR="007560BC">
          <w:rPr>
            <w:noProof/>
            <w:webHidden/>
          </w:rPr>
          <w:fldChar w:fldCharType="end"/>
        </w:r>
      </w:hyperlink>
    </w:p>
    <w:p w14:paraId="2BCA367D" w14:textId="3952E165" w:rsidR="007560BC" w:rsidRDefault="00534F60">
      <w:pPr>
        <w:pStyle w:val="TOC2"/>
        <w:rPr>
          <w:rFonts w:asciiTheme="minorHAnsi" w:eastAsiaTheme="minorEastAsia" w:hAnsiTheme="minorHAnsi" w:cstheme="minorBidi"/>
          <w:noProof/>
          <w:sz w:val="22"/>
          <w:szCs w:val="22"/>
          <w:lang w:val="en-GB" w:eastAsia="zh-CN"/>
        </w:rPr>
      </w:pPr>
      <w:hyperlink w:anchor="_Toc166580879" w:history="1">
        <w:r w:rsidR="007560BC" w:rsidRPr="005E4CAB">
          <w:rPr>
            <w:rStyle w:val="Hyperlink"/>
            <w:noProof/>
            <w:lang w:val="es-ES"/>
          </w:rPr>
          <w:t>3.2</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Comparación de las metas del Plan Estratégico de la UIT para 2024-2027</w:t>
        </w:r>
        <w:r w:rsidR="007560BC">
          <w:rPr>
            <w:noProof/>
            <w:webHidden/>
          </w:rPr>
          <w:tab/>
        </w:r>
        <w:r w:rsidR="007560BC">
          <w:rPr>
            <w:noProof/>
            <w:webHidden/>
          </w:rPr>
          <w:fldChar w:fldCharType="begin"/>
        </w:r>
        <w:r w:rsidR="007560BC">
          <w:rPr>
            <w:noProof/>
            <w:webHidden/>
          </w:rPr>
          <w:instrText xml:space="preserve"> PAGEREF _Toc166580879 \h </w:instrText>
        </w:r>
        <w:r w:rsidR="007560BC">
          <w:rPr>
            <w:noProof/>
            <w:webHidden/>
          </w:rPr>
        </w:r>
        <w:r w:rsidR="007560BC">
          <w:rPr>
            <w:noProof/>
            <w:webHidden/>
          </w:rPr>
          <w:fldChar w:fldCharType="separate"/>
        </w:r>
        <w:r w:rsidR="00B94E38">
          <w:rPr>
            <w:noProof/>
            <w:webHidden/>
          </w:rPr>
          <w:t>21</w:t>
        </w:r>
        <w:r w:rsidR="007560BC">
          <w:rPr>
            <w:noProof/>
            <w:webHidden/>
          </w:rPr>
          <w:fldChar w:fldCharType="end"/>
        </w:r>
      </w:hyperlink>
    </w:p>
    <w:p w14:paraId="07992983" w14:textId="2E141A5F" w:rsidR="007560BC" w:rsidRDefault="00534F60">
      <w:pPr>
        <w:pStyle w:val="TOC1"/>
        <w:rPr>
          <w:rFonts w:asciiTheme="minorHAnsi" w:eastAsiaTheme="minorEastAsia" w:hAnsiTheme="minorHAnsi" w:cstheme="minorBidi"/>
          <w:noProof/>
          <w:sz w:val="22"/>
          <w:szCs w:val="22"/>
          <w:lang w:val="en-GB" w:eastAsia="zh-CN"/>
        </w:rPr>
      </w:pPr>
      <w:hyperlink w:anchor="_Toc166580880" w:history="1">
        <w:r w:rsidR="007560BC" w:rsidRPr="005E4CAB">
          <w:rPr>
            <w:rStyle w:val="Hyperlink"/>
            <w:noProof/>
            <w:lang w:val="es-ES"/>
          </w:rPr>
          <w:t>4</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Principales temas de la labor de la UIT</w:t>
        </w:r>
        <w:r w:rsidR="007560BC">
          <w:rPr>
            <w:noProof/>
            <w:webHidden/>
          </w:rPr>
          <w:tab/>
        </w:r>
        <w:r w:rsidR="007560BC">
          <w:rPr>
            <w:noProof/>
            <w:webHidden/>
          </w:rPr>
          <w:fldChar w:fldCharType="begin"/>
        </w:r>
        <w:r w:rsidR="007560BC">
          <w:rPr>
            <w:noProof/>
            <w:webHidden/>
          </w:rPr>
          <w:instrText xml:space="preserve"> PAGEREF _Toc166580880 \h </w:instrText>
        </w:r>
        <w:r w:rsidR="007560BC">
          <w:rPr>
            <w:noProof/>
            <w:webHidden/>
          </w:rPr>
        </w:r>
        <w:r w:rsidR="007560BC">
          <w:rPr>
            <w:noProof/>
            <w:webHidden/>
          </w:rPr>
          <w:fldChar w:fldCharType="separate"/>
        </w:r>
        <w:r w:rsidR="00B94E38">
          <w:rPr>
            <w:noProof/>
            <w:webHidden/>
          </w:rPr>
          <w:t>24</w:t>
        </w:r>
        <w:r w:rsidR="007560BC">
          <w:rPr>
            <w:noProof/>
            <w:webHidden/>
          </w:rPr>
          <w:fldChar w:fldCharType="end"/>
        </w:r>
      </w:hyperlink>
    </w:p>
    <w:p w14:paraId="19DA40BD" w14:textId="61E550BF" w:rsidR="007560BC" w:rsidRDefault="00534F60">
      <w:pPr>
        <w:pStyle w:val="TOC2"/>
        <w:rPr>
          <w:rFonts w:asciiTheme="minorHAnsi" w:eastAsiaTheme="minorEastAsia" w:hAnsiTheme="minorHAnsi" w:cstheme="minorBidi"/>
          <w:noProof/>
          <w:sz w:val="22"/>
          <w:szCs w:val="22"/>
          <w:lang w:val="en-GB" w:eastAsia="zh-CN"/>
        </w:rPr>
      </w:pPr>
      <w:hyperlink w:anchor="_Toc166580881" w:history="1">
        <w:r w:rsidR="007560BC" w:rsidRPr="005E4CAB">
          <w:rPr>
            <w:rStyle w:val="Hyperlink"/>
            <w:noProof/>
            <w:lang w:val="es-ES"/>
          </w:rPr>
          <w:t>4.1</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Reglamentación y gestión del espectro y las órbitas</w:t>
        </w:r>
        <w:r w:rsidR="007560BC">
          <w:rPr>
            <w:noProof/>
            <w:webHidden/>
          </w:rPr>
          <w:tab/>
        </w:r>
        <w:r w:rsidR="007560BC">
          <w:rPr>
            <w:noProof/>
            <w:webHidden/>
          </w:rPr>
          <w:fldChar w:fldCharType="begin"/>
        </w:r>
        <w:r w:rsidR="007560BC">
          <w:rPr>
            <w:noProof/>
            <w:webHidden/>
          </w:rPr>
          <w:instrText xml:space="preserve"> PAGEREF _Toc166580881 \h </w:instrText>
        </w:r>
        <w:r w:rsidR="007560BC">
          <w:rPr>
            <w:noProof/>
            <w:webHidden/>
          </w:rPr>
        </w:r>
        <w:r w:rsidR="007560BC">
          <w:rPr>
            <w:noProof/>
            <w:webHidden/>
          </w:rPr>
          <w:fldChar w:fldCharType="separate"/>
        </w:r>
        <w:r w:rsidR="00B94E38">
          <w:rPr>
            <w:noProof/>
            <w:webHidden/>
          </w:rPr>
          <w:t>24</w:t>
        </w:r>
        <w:r w:rsidR="007560BC">
          <w:rPr>
            <w:noProof/>
            <w:webHidden/>
          </w:rPr>
          <w:fldChar w:fldCharType="end"/>
        </w:r>
      </w:hyperlink>
    </w:p>
    <w:p w14:paraId="64F24456" w14:textId="7F684BFD" w:rsidR="007560BC" w:rsidRDefault="00534F60">
      <w:pPr>
        <w:pStyle w:val="TOC2"/>
        <w:rPr>
          <w:rFonts w:asciiTheme="minorHAnsi" w:eastAsiaTheme="minorEastAsia" w:hAnsiTheme="minorHAnsi" w:cstheme="minorBidi"/>
          <w:noProof/>
          <w:sz w:val="22"/>
          <w:szCs w:val="22"/>
          <w:lang w:val="en-GB" w:eastAsia="zh-CN"/>
        </w:rPr>
      </w:pPr>
      <w:hyperlink w:anchor="_Toc166580882" w:history="1">
        <w:r w:rsidR="007560BC" w:rsidRPr="005E4CAB">
          <w:rPr>
            <w:rStyle w:val="Hyperlink"/>
            <w:noProof/>
            <w:lang w:val="es-ES"/>
          </w:rPr>
          <w:t>4.2</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Tecnologías emergentes: conformar marcos para la transformación digital sostenible</w:t>
        </w:r>
        <w:r w:rsidR="007560BC">
          <w:rPr>
            <w:noProof/>
            <w:webHidden/>
          </w:rPr>
          <w:tab/>
        </w:r>
        <w:r w:rsidR="007560BC">
          <w:rPr>
            <w:noProof/>
            <w:webHidden/>
          </w:rPr>
          <w:fldChar w:fldCharType="begin"/>
        </w:r>
        <w:r w:rsidR="007560BC">
          <w:rPr>
            <w:noProof/>
            <w:webHidden/>
          </w:rPr>
          <w:instrText xml:space="preserve"> PAGEREF _Toc166580882 \h </w:instrText>
        </w:r>
        <w:r w:rsidR="007560BC">
          <w:rPr>
            <w:noProof/>
            <w:webHidden/>
          </w:rPr>
        </w:r>
        <w:r w:rsidR="007560BC">
          <w:rPr>
            <w:noProof/>
            <w:webHidden/>
          </w:rPr>
          <w:fldChar w:fldCharType="separate"/>
        </w:r>
        <w:r w:rsidR="00B94E38">
          <w:rPr>
            <w:noProof/>
            <w:webHidden/>
          </w:rPr>
          <w:t>26</w:t>
        </w:r>
        <w:r w:rsidR="007560BC">
          <w:rPr>
            <w:noProof/>
            <w:webHidden/>
          </w:rPr>
          <w:fldChar w:fldCharType="end"/>
        </w:r>
      </w:hyperlink>
    </w:p>
    <w:p w14:paraId="3D34817E" w14:textId="0A9EF77D" w:rsidR="007560BC" w:rsidRDefault="00534F60">
      <w:pPr>
        <w:pStyle w:val="TOC2"/>
        <w:rPr>
          <w:rFonts w:asciiTheme="minorHAnsi" w:eastAsiaTheme="minorEastAsia" w:hAnsiTheme="minorHAnsi" w:cstheme="minorBidi"/>
          <w:noProof/>
          <w:sz w:val="22"/>
          <w:szCs w:val="22"/>
          <w:lang w:val="en-GB" w:eastAsia="zh-CN"/>
        </w:rPr>
      </w:pPr>
      <w:hyperlink w:anchor="_Toc166580883" w:history="1">
        <w:r w:rsidR="007560BC" w:rsidRPr="005E4CAB">
          <w:rPr>
            <w:rStyle w:val="Hyperlink"/>
            <w:noProof/>
            <w:lang w:val="es-ES"/>
          </w:rPr>
          <w:t>4.3</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Clima y medioambiente: Supervisión y reducción de las emisiones y los residuos electrónicos</w:t>
        </w:r>
        <w:r w:rsidR="007560BC">
          <w:rPr>
            <w:noProof/>
            <w:webHidden/>
          </w:rPr>
          <w:tab/>
        </w:r>
        <w:r w:rsidR="007560BC">
          <w:rPr>
            <w:noProof/>
            <w:webHidden/>
          </w:rPr>
          <w:fldChar w:fldCharType="begin"/>
        </w:r>
        <w:r w:rsidR="007560BC">
          <w:rPr>
            <w:noProof/>
            <w:webHidden/>
          </w:rPr>
          <w:instrText xml:space="preserve"> PAGEREF _Toc166580883 \h </w:instrText>
        </w:r>
        <w:r w:rsidR="007560BC">
          <w:rPr>
            <w:noProof/>
            <w:webHidden/>
          </w:rPr>
        </w:r>
        <w:r w:rsidR="007560BC">
          <w:rPr>
            <w:noProof/>
            <w:webHidden/>
          </w:rPr>
          <w:fldChar w:fldCharType="separate"/>
        </w:r>
        <w:r w:rsidR="00B94E38">
          <w:rPr>
            <w:noProof/>
            <w:webHidden/>
          </w:rPr>
          <w:t>28</w:t>
        </w:r>
        <w:r w:rsidR="007560BC">
          <w:rPr>
            <w:noProof/>
            <w:webHidden/>
          </w:rPr>
          <w:fldChar w:fldCharType="end"/>
        </w:r>
      </w:hyperlink>
    </w:p>
    <w:p w14:paraId="225887FB" w14:textId="1E6BC05E" w:rsidR="007560BC" w:rsidRDefault="00534F60">
      <w:pPr>
        <w:pStyle w:val="TOC2"/>
        <w:rPr>
          <w:rFonts w:asciiTheme="minorHAnsi" w:eastAsiaTheme="minorEastAsia" w:hAnsiTheme="minorHAnsi" w:cstheme="minorBidi"/>
          <w:noProof/>
          <w:sz w:val="22"/>
          <w:szCs w:val="22"/>
          <w:lang w:val="en-GB" w:eastAsia="zh-CN"/>
        </w:rPr>
      </w:pPr>
      <w:hyperlink w:anchor="_Toc166580884" w:history="1">
        <w:r w:rsidR="007560BC" w:rsidRPr="005E4CAB">
          <w:rPr>
            <w:rStyle w:val="Hyperlink"/>
            <w:noProof/>
            <w:lang w:val="es-ES"/>
          </w:rPr>
          <w:t>4.4</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Ciberseguridad: Creación de confianza y seguridad en las TIC</w:t>
        </w:r>
        <w:r w:rsidR="007560BC">
          <w:rPr>
            <w:noProof/>
            <w:webHidden/>
          </w:rPr>
          <w:tab/>
        </w:r>
        <w:r w:rsidR="007560BC">
          <w:rPr>
            <w:noProof/>
            <w:webHidden/>
          </w:rPr>
          <w:fldChar w:fldCharType="begin"/>
        </w:r>
        <w:r w:rsidR="007560BC">
          <w:rPr>
            <w:noProof/>
            <w:webHidden/>
          </w:rPr>
          <w:instrText xml:space="preserve"> PAGEREF _Toc166580884 \h </w:instrText>
        </w:r>
        <w:r w:rsidR="007560BC">
          <w:rPr>
            <w:noProof/>
            <w:webHidden/>
          </w:rPr>
        </w:r>
        <w:r w:rsidR="007560BC">
          <w:rPr>
            <w:noProof/>
            <w:webHidden/>
          </w:rPr>
          <w:fldChar w:fldCharType="separate"/>
        </w:r>
        <w:r w:rsidR="00B94E38">
          <w:rPr>
            <w:noProof/>
            <w:webHidden/>
          </w:rPr>
          <w:t>31</w:t>
        </w:r>
        <w:r w:rsidR="007560BC">
          <w:rPr>
            <w:noProof/>
            <w:webHidden/>
          </w:rPr>
          <w:fldChar w:fldCharType="end"/>
        </w:r>
      </w:hyperlink>
    </w:p>
    <w:p w14:paraId="39656D6B" w14:textId="21623F02" w:rsidR="007560BC" w:rsidRDefault="00534F60">
      <w:pPr>
        <w:pStyle w:val="TOC2"/>
        <w:rPr>
          <w:rFonts w:asciiTheme="minorHAnsi" w:eastAsiaTheme="minorEastAsia" w:hAnsiTheme="minorHAnsi" w:cstheme="minorBidi"/>
          <w:noProof/>
          <w:sz w:val="22"/>
          <w:szCs w:val="22"/>
          <w:lang w:val="en-GB" w:eastAsia="zh-CN"/>
        </w:rPr>
      </w:pPr>
      <w:hyperlink w:anchor="_Toc166580885" w:history="1">
        <w:r w:rsidR="007560BC" w:rsidRPr="005E4CAB">
          <w:rPr>
            <w:rStyle w:val="Hyperlink"/>
            <w:noProof/>
            <w:lang w:val="es-ES"/>
          </w:rPr>
          <w:t>4.5</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Inclusión digital: garantizar la igualdad de acceso y utilización de las tecnologías para todos</w:t>
        </w:r>
        <w:r w:rsidR="007560BC">
          <w:rPr>
            <w:noProof/>
            <w:webHidden/>
          </w:rPr>
          <w:tab/>
        </w:r>
        <w:r w:rsidR="007560BC">
          <w:rPr>
            <w:noProof/>
            <w:webHidden/>
          </w:rPr>
          <w:fldChar w:fldCharType="begin"/>
        </w:r>
        <w:r w:rsidR="007560BC">
          <w:rPr>
            <w:noProof/>
            <w:webHidden/>
          </w:rPr>
          <w:instrText xml:space="preserve"> PAGEREF _Toc166580885 \h </w:instrText>
        </w:r>
        <w:r w:rsidR="007560BC">
          <w:rPr>
            <w:noProof/>
            <w:webHidden/>
          </w:rPr>
        </w:r>
        <w:r w:rsidR="007560BC">
          <w:rPr>
            <w:noProof/>
            <w:webHidden/>
          </w:rPr>
          <w:fldChar w:fldCharType="separate"/>
        </w:r>
        <w:r w:rsidR="00B94E38">
          <w:rPr>
            <w:noProof/>
            <w:webHidden/>
          </w:rPr>
          <w:t>32</w:t>
        </w:r>
        <w:r w:rsidR="007560BC">
          <w:rPr>
            <w:noProof/>
            <w:webHidden/>
          </w:rPr>
          <w:fldChar w:fldCharType="end"/>
        </w:r>
      </w:hyperlink>
    </w:p>
    <w:p w14:paraId="0323756C" w14:textId="201489CB" w:rsidR="007560BC" w:rsidRDefault="00534F60">
      <w:pPr>
        <w:pStyle w:val="TOC1"/>
        <w:rPr>
          <w:rFonts w:asciiTheme="minorHAnsi" w:eastAsiaTheme="minorEastAsia" w:hAnsiTheme="minorHAnsi" w:cstheme="minorBidi"/>
          <w:noProof/>
          <w:sz w:val="22"/>
          <w:szCs w:val="22"/>
          <w:lang w:val="en-GB" w:eastAsia="zh-CN"/>
        </w:rPr>
      </w:pPr>
      <w:hyperlink w:anchor="_Toc166580886" w:history="1">
        <w:r w:rsidR="007560BC" w:rsidRPr="005E4CAB">
          <w:rPr>
            <w:rStyle w:val="Hyperlink"/>
            <w:noProof/>
            <w:lang w:val="es-ES"/>
          </w:rPr>
          <w:t>5</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Normalización: Base para facilitar el desarrollo de las tecnologías actuales y futuras</w:t>
        </w:r>
        <w:r w:rsidR="007560BC">
          <w:rPr>
            <w:noProof/>
            <w:webHidden/>
          </w:rPr>
          <w:tab/>
        </w:r>
        <w:r w:rsidR="007560BC">
          <w:rPr>
            <w:noProof/>
            <w:webHidden/>
          </w:rPr>
          <w:fldChar w:fldCharType="begin"/>
        </w:r>
        <w:r w:rsidR="007560BC">
          <w:rPr>
            <w:noProof/>
            <w:webHidden/>
          </w:rPr>
          <w:instrText xml:space="preserve"> PAGEREF _Toc166580886 \h </w:instrText>
        </w:r>
        <w:r w:rsidR="007560BC">
          <w:rPr>
            <w:noProof/>
            <w:webHidden/>
          </w:rPr>
        </w:r>
        <w:r w:rsidR="007560BC">
          <w:rPr>
            <w:noProof/>
            <w:webHidden/>
          </w:rPr>
          <w:fldChar w:fldCharType="separate"/>
        </w:r>
        <w:r w:rsidR="00B94E38">
          <w:rPr>
            <w:noProof/>
            <w:webHidden/>
          </w:rPr>
          <w:t>37</w:t>
        </w:r>
        <w:r w:rsidR="007560BC">
          <w:rPr>
            <w:noProof/>
            <w:webHidden/>
          </w:rPr>
          <w:fldChar w:fldCharType="end"/>
        </w:r>
      </w:hyperlink>
    </w:p>
    <w:p w14:paraId="025C51A8" w14:textId="724A7D1B" w:rsidR="007560BC" w:rsidRDefault="00534F60">
      <w:pPr>
        <w:pStyle w:val="TOC2"/>
        <w:rPr>
          <w:rFonts w:asciiTheme="minorHAnsi" w:eastAsiaTheme="minorEastAsia" w:hAnsiTheme="minorHAnsi" w:cstheme="minorBidi"/>
          <w:noProof/>
          <w:sz w:val="22"/>
          <w:szCs w:val="22"/>
          <w:lang w:val="en-GB" w:eastAsia="zh-CN"/>
        </w:rPr>
      </w:pPr>
      <w:hyperlink w:anchor="_Toc166580887" w:history="1">
        <w:r w:rsidR="007560BC" w:rsidRPr="005E4CAB">
          <w:rPr>
            <w:rStyle w:val="Hyperlink"/>
            <w:noProof/>
            <w:lang w:val="es-ES"/>
          </w:rPr>
          <w:t>6</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Alianzas estratégicas para el desarrollo sostenible</w:t>
        </w:r>
        <w:r w:rsidR="007560BC">
          <w:rPr>
            <w:noProof/>
            <w:webHidden/>
          </w:rPr>
          <w:tab/>
        </w:r>
        <w:r w:rsidR="007560BC">
          <w:rPr>
            <w:noProof/>
            <w:webHidden/>
          </w:rPr>
          <w:fldChar w:fldCharType="begin"/>
        </w:r>
        <w:r w:rsidR="007560BC">
          <w:rPr>
            <w:noProof/>
            <w:webHidden/>
          </w:rPr>
          <w:instrText xml:space="preserve"> PAGEREF _Toc166580887 \h </w:instrText>
        </w:r>
        <w:r w:rsidR="007560BC">
          <w:rPr>
            <w:noProof/>
            <w:webHidden/>
          </w:rPr>
        </w:r>
        <w:r w:rsidR="007560BC">
          <w:rPr>
            <w:noProof/>
            <w:webHidden/>
          </w:rPr>
          <w:fldChar w:fldCharType="separate"/>
        </w:r>
        <w:r w:rsidR="00B94E38">
          <w:rPr>
            <w:noProof/>
            <w:webHidden/>
          </w:rPr>
          <w:t>38</w:t>
        </w:r>
        <w:r w:rsidR="007560BC">
          <w:rPr>
            <w:noProof/>
            <w:webHidden/>
          </w:rPr>
          <w:fldChar w:fldCharType="end"/>
        </w:r>
      </w:hyperlink>
    </w:p>
    <w:p w14:paraId="2AB54DF6" w14:textId="75B1E713" w:rsidR="007560BC" w:rsidRDefault="00534F60">
      <w:pPr>
        <w:pStyle w:val="TOC1"/>
        <w:rPr>
          <w:rFonts w:asciiTheme="minorHAnsi" w:eastAsiaTheme="minorEastAsia" w:hAnsiTheme="minorHAnsi" w:cstheme="minorBidi"/>
          <w:noProof/>
          <w:sz w:val="22"/>
          <w:szCs w:val="22"/>
          <w:lang w:val="en-GB" w:eastAsia="zh-CN"/>
        </w:rPr>
      </w:pPr>
      <w:hyperlink w:anchor="_Toc166580888" w:history="1">
        <w:r w:rsidR="007560BC" w:rsidRPr="005E4CAB">
          <w:rPr>
            <w:rStyle w:val="Hyperlink"/>
            <w:noProof/>
            <w:lang w:val="es-ES"/>
          </w:rPr>
          <w:t>7</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Conectar personas e ideas</w:t>
        </w:r>
        <w:r w:rsidR="007560BC">
          <w:rPr>
            <w:noProof/>
            <w:webHidden/>
          </w:rPr>
          <w:tab/>
        </w:r>
        <w:r w:rsidR="007560BC">
          <w:rPr>
            <w:noProof/>
            <w:webHidden/>
          </w:rPr>
          <w:fldChar w:fldCharType="begin"/>
        </w:r>
        <w:r w:rsidR="007560BC">
          <w:rPr>
            <w:noProof/>
            <w:webHidden/>
          </w:rPr>
          <w:instrText xml:space="preserve"> PAGEREF _Toc166580888 \h </w:instrText>
        </w:r>
        <w:r w:rsidR="007560BC">
          <w:rPr>
            <w:noProof/>
            <w:webHidden/>
          </w:rPr>
        </w:r>
        <w:r w:rsidR="007560BC">
          <w:rPr>
            <w:noProof/>
            <w:webHidden/>
          </w:rPr>
          <w:fldChar w:fldCharType="separate"/>
        </w:r>
        <w:r w:rsidR="00B94E38">
          <w:rPr>
            <w:noProof/>
            <w:webHidden/>
          </w:rPr>
          <w:t>44</w:t>
        </w:r>
        <w:r w:rsidR="007560BC">
          <w:rPr>
            <w:noProof/>
            <w:webHidden/>
          </w:rPr>
          <w:fldChar w:fldCharType="end"/>
        </w:r>
      </w:hyperlink>
    </w:p>
    <w:p w14:paraId="087C9C20" w14:textId="5F56DEC3" w:rsidR="007560BC" w:rsidRDefault="00534F60">
      <w:pPr>
        <w:pStyle w:val="TOC2"/>
        <w:rPr>
          <w:rFonts w:asciiTheme="minorHAnsi" w:eastAsiaTheme="minorEastAsia" w:hAnsiTheme="minorHAnsi" w:cstheme="minorBidi"/>
          <w:noProof/>
          <w:sz w:val="22"/>
          <w:szCs w:val="22"/>
          <w:lang w:val="en-GB" w:eastAsia="zh-CN"/>
        </w:rPr>
      </w:pPr>
      <w:hyperlink w:anchor="_Toc166580889" w:history="1">
        <w:r w:rsidR="007560BC" w:rsidRPr="005E4CAB">
          <w:rPr>
            <w:rStyle w:val="Hyperlink"/>
            <w:noProof/>
            <w:lang w:val="es-ES"/>
          </w:rPr>
          <w:t>7.1</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Reuniones de alto perfil: Conectar personas e ideas</w:t>
        </w:r>
        <w:r w:rsidR="007560BC">
          <w:rPr>
            <w:noProof/>
            <w:webHidden/>
          </w:rPr>
          <w:tab/>
        </w:r>
        <w:r w:rsidR="007560BC">
          <w:rPr>
            <w:noProof/>
            <w:webHidden/>
          </w:rPr>
          <w:fldChar w:fldCharType="begin"/>
        </w:r>
        <w:r w:rsidR="007560BC">
          <w:rPr>
            <w:noProof/>
            <w:webHidden/>
          </w:rPr>
          <w:instrText xml:space="preserve"> PAGEREF _Toc166580889 \h </w:instrText>
        </w:r>
        <w:r w:rsidR="007560BC">
          <w:rPr>
            <w:noProof/>
            <w:webHidden/>
          </w:rPr>
        </w:r>
        <w:r w:rsidR="007560BC">
          <w:rPr>
            <w:noProof/>
            <w:webHidden/>
          </w:rPr>
          <w:fldChar w:fldCharType="separate"/>
        </w:r>
        <w:r w:rsidR="00B94E38">
          <w:rPr>
            <w:noProof/>
            <w:webHidden/>
          </w:rPr>
          <w:t>44</w:t>
        </w:r>
        <w:r w:rsidR="007560BC">
          <w:rPr>
            <w:noProof/>
            <w:webHidden/>
          </w:rPr>
          <w:fldChar w:fldCharType="end"/>
        </w:r>
      </w:hyperlink>
    </w:p>
    <w:p w14:paraId="2F7E2795" w14:textId="5C0CA524" w:rsidR="007560BC" w:rsidRDefault="00534F60">
      <w:pPr>
        <w:pStyle w:val="TOC2"/>
        <w:rPr>
          <w:rFonts w:asciiTheme="minorHAnsi" w:eastAsiaTheme="minorEastAsia" w:hAnsiTheme="minorHAnsi" w:cstheme="minorBidi"/>
          <w:noProof/>
          <w:sz w:val="22"/>
          <w:szCs w:val="22"/>
          <w:lang w:val="en-GB" w:eastAsia="zh-CN"/>
        </w:rPr>
      </w:pPr>
      <w:hyperlink w:anchor="_Toc166580890" w:history="1">
        <w:r w:rsidR="007560BC" w:rsidRPr="005E4CAB">
          <w:rPr>
            <w:rStyle w:val="Hyperlink"/>
            <w:noProof/>
            <w:lang w:val="es-ES"/>
          </w:rPr>
          <w:t>7.2</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Seminarios y talleres: Profundización</w:t>
        </w:r>
        <w:r w:rsidR="007560BC">
          <w:rPr>
            <w:noProof/>
            <w:webHidden/>
          </w:rPr>
          <w:tab/>
        </w:r>
        <w:r w:rsidR="007560BC">
          <w:rPr>
            <w:noProof/>
            <w:webHidden/>
          </w:rPr>
          <w:fldChar w:fldCharType="begin"/>
        </w:r>
        <w:r w:rsidR="007560BC">
          <w:rPr>
            <w:noProof/>
            <w:webHidden/>
          </w:rPr>
          <w:instrText xml:space="preserve"> PAGEREF _Toc166580890 \h </w:instrText>
        </w:r>
        <w:r w:rsidR="007560BC">
          <w:rPr>
            <w:noProof/>
            <w:webHidden/>
          </w:rPr>
        </w:r>
        <w:r w:rsidR="007560BC">
          <w:rPr>
            <w:noProof/>
            <w:webHidden/>
          </w:rPr>
          <w:fldChar w:fldCharType="separate"/>
        </w:r>
        <w:r w:rsidR="00B94E38">
          <w:rPr>
            <w:noProof/>
            <w:webHidden/>
          </w:rPr>
          <w:t>45</w:t>
        </w:r>
        <w:r w:rsidR="007560BC">
          <w:rPr>
            <w:noProof/>
            <w:webHidden/>
          </w:rPr>
          <w:fldChar w:fldCharType="end"/>
        </w:r>
      </w:hyperlink>
    </w:p>
    <w:p w14:paraId="15C13C33" w14:textId="60B9CE64" w:rsidR="007560BC" w:rsidRDefault="00534F60">
      <w:pPr>
        <w:pStyle w:val="TOC2"/>
        <w:rPr>
          <w:rFonts w:asciiTheme="minorHAnsi" w:eastAsiaTheme="minorEastAsia" w:hAnsiTheme="minorHAnsi" w:cstheme="minorBidi"/>
          <w:noProof/>
          <w:sz w:val="22"/>
          <w:szCs w:val="22"/>
          <w:lang w:val="en-GB" w:eastAsia="zh-CN"/>
        </w:rPr>
      </w:pPr>
      <w:hyperlink w:anchor="_Toc166580891" w:history="1">
        <w:r w:rsidR="007560BC" w:rsidRPr="005E4CAB">
          <w:rPr>
            <w:rStyle w:val="Hyperlink"/>
            <w:noProof/>
            <w:lang w:val="es-ES"/>
          </w:rPr>
          <w:t>7.3</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Participación de las instituciones académicas en la labor de la UIT</w:t>
        </w:r>
        <w:r w:rsidR="007560BC">
          <w:rPr>
            <w:noProof/>
            <w:webHidden/>
          </w:rPr>
          <w:tab/>
        </w:r>
        <w:r w:rsidR="007560BC">
          <w:rPr>
            <w:noProof/>
            <w:webHidden/>
          </w:rPr>
          <w:fldChar w:fldCharType="begin"/>
        </w:r>
        <w:r w:rsidR="007560BC">
          <w:rPr>
            <w:noProof/>
            <w:webHidden/>
          </w:rPr>
          <w:instrText xml:space="preserve"> PAGEREF _Toc166580891 \h </w:instrText>
        </w:r>
        <w:r w:rsidR="007560BC">
          <w:rPr>
            <w:noProof/>
            <w:webHidden/>
          </w:rPr>
        </w:r>
        <w:r w:rsidR="007560BC">
          <w:rPr>
            <w:noProof/>
            <w:webHidden/>
          </w:rPr>
          <w:fldChar w:fldCharType="separate"/>
        </w:r>
        <w:r w:rsidR="00B94E38">
          <w:rPr>
            <w:noProof/>
            <w:webHidden/>
          </w:rPr>
          <w:t>45</w:t>
        </w:r>
        <w:r w:rsidR="007560BC">
          <w:rPr>
            <w:noProof/>
            <w:webHidden/>
          </w:rPr>
          <w:fldChar w:fldCharType="end"/>
        </w:r>
      </w:hyperlink>
    </w:p>
    <w:p w14:paraId="312F256E" w14:textId="67543AA3" w:rsidR="007560BC" w:rsidRDefault="00534F60">
      <w:pPr>
        <w:pStyle w:val="TOC1"/>
        <w:rPr>
          <w:rFonts w:asciiTheme="minorHAnsi" w:eastAsiaTheme="minorEastAsia" w:hAnsiTheme="minorHAnsi" w:cstheme="minorBidi"/>
          <w:noProof/>
          <w:sz w:val="22"/>
          <w:szCs w:val="22"/>
          <w:lang w:val="en-GB" w:eastAsia="zh-CN"/>
        </w:rPr>
      </w:pPr>
      <w:hyperlink w:anchor="_Toc166580892" w:history="1">
        <w:r w:rsidR="007560BC" w:rsidRPr="005E4CAB">
          <w:rPr>
            <w:rStyle w:val="Hyperlink"/>
            <w:noProof/>
            <w:lang w:val="es-ES"/>
          </w:rPr>
          <w:t>8</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Asistencia técnica</w:t>
        </w:r>
        <w:r w:rsidR="007560BC">
          <w:rPr>
            <w:noProof/>
            <w:webHidden/>
          </w:rPr>
          <w:tab/>
        </w:r>
        <w:r w:rsidR="007560BC">
          <w:rPr>
            <w:noProof/>
            <w:webHidden/>
          </w:rPr>
          <w:fldChar w:fldCharType="begin"/>
        </w:r>
        <w:r w:rsidR="007560BC">
          <w:rPr>
            <w:noProof/>
            <w:webHidden/>
          </w:rPr>
          <w:instrText xml:space="preserve"> PAGEREF _Toc166580892 \h </w:instrText>
        </w:r>
        <w:r w:rsidR="007560BC">
          <w:rPr>
            <w:noProof/>
            <w:webHidden/>
          </w:rPr>
        </w:r>
        <w:r w:rsidR="007560BC">
          <w:rPr>
            <w:noProof/>
            <w:webHidden/>
          </w:rPr>
          <w:fldChar w:fldCharType="separate"/>
        </w:r>
        <w:r w:rsidR="00B94E38">
          <w:rPr>
            <w:noProof/>
            <w:webHidden/>
          </w:rPr>
          <w:t>46</w:t>
        </w:r>
        <w:r w:rsidR="007560BC">
          <w:rPr>
            <w:noProof/>
            <w:webHidden/>
          </w:rPr>
          <w:fldChar w:fldCharType="end"/>
        </w:r>
      </w:hyperlink>
    </w:p>
    <w:p w14:paraId="78BBA993" w14:textId="16C977BE" w:rsidR="007560BC" w:rsidRDefault="00534F60">
      <w:pPr>
        <w:pStyle w:val="TOC1"/>
        <w:rPr>
          <w:rFonts w:asciiTheme="minorHAnsi" w:eastAsiaTheme="minorEastAsia" w:hAnsiTheme="minorHAnsi" w:cstheme="minorBidi"/>
          <w:noProof/>
          <w:sz w:val="22"/>
          <w:szCs w:val="22"/>
          <w:lang w:val="en-GB" w:eastAsia="zh-CN"/>
        </w:rPr>
      </w:pPr>
      <w:hyperlink w:anchor="_Toc166580893" w:history="1">
        <w:r w:rsidR="007560BC" w:rsidRPr="005E4CAB">
          <w:rPr>
            <w:rStyle w:val="Hyperlink"/>
            <w:noProof/>
            <w:lang w:val="es-ES"/>
          </w:rPr>
          <w:t>9</w:t>
        </w:r>
        <w:r w:rsidR="007560BC">
          <w:rPr>
            <w:rFonts w:asciiTheme="minorHAnsi" w:eastAsiaTheme="minorEastAsia" w:hAnsiTheme="minorHAnsi" w:cstheme="minorBidi"/>
            <w:noProof/>
            <w:sz w:val="22"/>
            <w:szCs w:val="22"/>
            <w:lang w:val="en-GB" w:eastAsia="zh-CN"/>
          </w:rPr>
          <w:tab/>
        </w:r>
        <w:r w:rsidR="007560BC" w:rsidRPr="005E4CAB">
          <w:rPr>
            <w:rStyle w:val="Hyperlink"/>
            <w:noProof/>
            <w:lang w:val="es-ES"/>
          </w:rPr>
          <w:t>Enfoque impulsado por los Miembros de la UIT</w:t>
        </w:r>
        <w:r w:rsidR="007560BC">
          <w:rPr>
            <w:noProof/>
            <w:webHidden/>
          </w:rPr>
          <w:tab/>
        </w:r>
        <w:r w:rsidR="007560BC">
          <w:rPr>
            <w:noProof/>
            <w:webHidden/>
          </w:rPr>
          <w:fldChar w:fldCharType="begin"/>
        </w:r>
        <w:r w:rsidR="007560BC">
          <w:rPr>
            <w:noProof/>
            <w:webHidden/>
          </w:rPr>
          <w:instrText xml:space="preserve"> PAGEREF _Toc166580893 \h </w:instrText>
        </w:r>
        <w:r w:rsidR="007560BC">
          <w:rPr>
            <w:noProof/>
            <w:webHidden/>
          </w:rPr>
        </w:r>
        <w:r w:rsidR="007560BC">
          <w:rPr>
            <w:noProof/>
            <w:webHidden/>
          </w:rPr>
          <w:fldChar w:fldCharType="separate"/>
        </w:r>
        <w:r w:rsidR="00B94E38">
          <w:rPr>
            <w:noProof/>
            <w:webHidden/>
          </w:rPr>
          <w:t>47</w:t>
        </w:r>
        <w:r w:rsidR="007560BC">
          <w:rPr>
            <w:noProof/>
            <w:webHidden/>
          </w:rPr>
          <w:fldChar w:fldCharType="end"/>
        </w:r>
      </w:hyperlink>
    </w:p>
    <w:p w14:paraId="52656A95" w14:textId="01895573" w:rsidR="007560BC" w:rsidRDefault="00534F60">
      <w:pPr>
        <w:pStyle w:val="TOC1"/>
        <w:rPr>
          <w:rFonts w:asciiTheme="minorHAnsi" w:eastAsiaTheme="minorEastAsia" w:hAnsiTheme="minorHAnsi" w:cstheme="minorBidi"/>
          <w:noProof/>
          <w:sz w:val="22"/>
          <w:szCs w:val="22"/>
          <w:lang w:val="en-GB" w:eastAsia="zh-CN"/>
        </w:rPr>
      </w:pPr>
      <w:hyperlink w:anchor="_Toc166580894" w:history="1">
        <w:r w:rsidR="007560BC" w:rsidRPr="005E4CAB">
          <w:rPr>
            <w:rStyle w:val="Hyperlink"/>
            <w:noProof/>
          </w:rPr>
          <w:t>10</w:t>
        </w:r>
        <w:r w:rsidR="007560BC">
          <w:rPr>
            <w:rFonts w:asciiTheme="minorHAnsi" w:eastAsiaTheme="minorEastAsia" w:hAnsiTheme="minorHAnsi" w:cstheme="minorBidi"/>
            <w:noProof/>
            <w:sz w:val="22"/>
            <w:szCs w:val="22"/>
            <w:lang w:val="en-GB" w:eastAsia="zh-CN"/>
          </w:rPr>
          <w:tab/>
        </w:r>
        <w:r w:rsidR="007560BC" w:rsidRPr="005E4CAB">
          <w:rPr>
            <w:rStyle w:val="Hyperlink"/>
            <w:noProof/>
          </w:rPr>
          <w:t>Aplicación de las Resoluciones de la Conferencia de Plenipotenciarios</w:t>
        </w:r>
        <w:r w:rsidR="007560BC">
          <w:rPr>
            <w:noProof/>
            <w:webHidden/>
          </w:rPr>
          <w:tab/>
        </w:r>
        <w:r w:rsidR="007560BC">
          <w:rPr>
            <w:noProof/>
            <w:webHidden/>
          </w:rPr>
          <w:fldChar w:fldCharType="begin"/>
        </w:r>
        <w:r w:rsidR="007560BC">
          <w:rPr>
            <w:noProof/>
            <w:webHidden/>
          </w:rPr>
          <w:instrText xml:space="preserve"> PAGEREF _Toc166580894 \h </w:instrText>
        </w:r>
        <w:r w:rsidR="007560BC">
          <w:rPr>
            <w:noProof/>
            <w:webHidden/>
          </w:rPr>
        </w:r>
        <w:r w:rsidR="007560BC">
          <w:rPr>
            <w:noProof/>
            <w:webHidden/>
          </w:rPr>
          <w:fldChar w:fldCharType="separate"/>
        </w:r>
        <w:r w:rsidR="00B94E38">
          <w:rPr>
            <w:noProof/>
            <w:webHidden/>
          </w:rPr>
          <w:t>49</w:t>
        </w:r>
        <w:r w:rsidR="007560BC">
          <w:rPr>
            <w:noProof/>
            <w:webHidden/>
          </w:rPr>
          <w:fldChar w:fldCharType="end"/>
        </w:r>
      </w:hyperlink>
    </w:p>
    <w:p w14:paraId="45E8649B" w14:textId="17B6AB7A" w:rsidR="00AC3DB7" w:rsidRPr="00F8275B" w:rsidRDefault="005B0425" w:rsidP="005B0425">
      <w:pPr>
        <w:pStyle w:val="TOC1"/>
        <w:rPr>
          <w:lang w:val="es-ES"/>
        </w:rPr>
      </w:pPr>
      <w:r w:rsidRPr="00F8275B">
        <w:rPr>
          <w:lang w:val="es-ES"/>
        </w:rPr>
        <w:fldChar w:fldCharType="end"/>
      </w:r>
    </w:p>
    <w:p w14:paraId="2E7E034B" w14:textId="77777777" w:rsidR="00CE6D77" w:rsidRPr="00F8275B" w:rsidRDefault="00CE6D77">
      <w:pPr>
        <w:rPr>
          <w:lang w:val="es-ES"/>
        </w:rPr>
        <w:sectPr w:rsidR="00CE6D77" w:rsidRPr="00F8275B" w:rsidSect="00AC7278">
          <w:headerReference w:type="default" r:id="rId12"/>
          <w:footerReference w:type="default" r:id="rId13"/>
          <w:headerReference w:type="first" r:id="rId14"/>
          <w:footerReference w:type="first" r:id="rId15"/>
          <w:pgSz w:w="11907" w:h="16834"/>
          <w:pgMar w:top="1418" w:right="1418" w:bottom="1418" w:left="1418" w:header="720" w:footer="720" w:gutter="0"/>
          <w:paperSrc w:first="286" w:other="286"/>
          <w:pgNumType w:fmt="lowerRoman"/>
          <w:cols w:space="720"/>
          <w:titlePg/>
        </w:sectPr>
      </w:pPr>
    </w:p>
    <w:p w14:paraId="68FD9865" w14:textId="77777777" w:rsidR="00CE6D77" w:rsidRPr="00F8275B" w:rsidRDefault="00CE6D77" w:rsidP="00CE6D77">
      <w:pPr>
        <w:pStyle w:val="Heading1"/>
        <w:rPr>
          <w:lang w:val="es-ES"/>
        </w:rPr>
      </w:pPr>
      <w:bookmarkStart w:id="5" w:name="_Toc164862516"/>
      <w:bookmarkStart w:id="6" w:name="_Toc165024930"/>
      <w:bookmarkStart w:id="7" w:name="_Toc166580872"/>
      <w:bookmarkStart w:id="8" w:name="_Toc148012655"/>
      <w:bookmarkStart w:id="9" w:name="_Toc37860454"/>
      <w:bookmarkStart w:id="10" w:name="_Toc37861215"/>
      <w:bookmarkStart w:id="11" w:name="_Toc37943334"/>
      <w:r w:rsidRPr="00F8275B">
        <w:rPr>
          <w:lang w:val="es-ES"/>
        </w:rPr>
        <w:lastRenderedPageBreak/>
        <w:t>i</w:t>
      </w:r>
      <w:r w:rsidRPr="00F8275B">
        <w:rPr>
          <w:lang w:val="es-ES"/>
        </w:rPr>
        <w:tab/>
        <w:t>Principales conclusiones</w:t>
      </w:r>
      <w:bookmarkEnd w:id="5"/>
      <w:bookmarkEnd w:id="6"/>
      <w:bookmarkEnd w:id="7"/>
    </w:p>
    <w:p w14:paraId="63CC48AF" w14:textId="3B46B22E" w:rsidR="00CE6D77" w:rsidRPr="00F8275B" w:rsidRDefault="00CE6D77" w:rsidP="00CE6D77">
      <w:pPr>
        <w:pStyle w:val="enumlev1"/>
        <w:rPr>
          <w:lang w:val="es-ES"/>
        </w:rPr>
      </w:pPr>
      <w:r w:rsidRPr="00F8275B">
        <w:rPr>
          <w:lang w:val="es-ES"/>
        </w:rPr>
        <w:t>•</w:t>
      </w:r>
      <w:r w:rsidRPr="00F8275B">
        <w:rPr>
          <w:lang w:val="es-ES"/>
        </w:rPr>
        <w:tab/>
        <w:t>La UIT se esfuerza por lograr la conectividad universal y la transformación digital sostenible, con el objeto de conectar al último tercio de la humanidad, es decir, los 2 600</w:t>
      </w:r>
      <w:r w:rsidR="00082AF5" w:rsidRPr="00F8275B">
        <w:rPr>
          <w:lang w:val="es-ES"/>
        </w:rPr>
        <w:t> </w:t>
      </w:r>
      <w:r w:rsidRPr="00F8275B">
        <w:rPr>
          <w:lang w:val="es-ES"/>
        </w:rPr>
        <w:t>millones de personas que siguen careciendo de acceso a Internet en todo el mundo.</w:t>
      </w:r>
    </w:p>
    <w:p w14:paraId="2F0D544A" w14:textId="6742F3DA" w:rsidR="00CE6D77" w:rsidRPr="00F8275B" w:rsidRDefault="00CE6D77" w:rsidP="00CE6D77">
      <w:pPr>
        <w:pStyle w:val="enumlev1"/>
        <w:rPr>
          <w:lang w:val="es-ES"/>
        </w:rPr>
      </w:pPr>
      <w:r w:rsidRPr="00F8275B">
        <w:rPr>
          <w:lang w:val="es-ES"/>
        </w:rPr>
        <w:t>•</w:t>
      </w:r>
      <w:r w:rsidRPr="00F8275B">
        <w:rPr>
          <w:lang w:val="es-ES"/>
        </w:rPr>
        <w:tab/>
        <w:t>El Plan Estratégico de la UIT para 2024-2027 se centra en 12</w:t>
      </w:r>
      <w:r w:rsidR="00082AF5" w:rsidRPr="00F8275B">
        <w:rPr>
          <w:lang w:val="es-ES"/>
        </w:rPr>
        <w:t> </w:t>
      </w:r>
      <w:r w:rsidRPr="00F8275B">
        <w:rPr>
          <w:lang w:val="es-ES"/>
        </w:rPr>
        <w:t>metas para lograr la conectividad y la transformación.</w:t>
      </w:r>
    </w:p>
    <w:p w14:paraId="2D67783F" w14:textId="13DFDBF8" w:rsidR="00CE6D77" w:rsidRPr="00F8275B" w:rsidRDefault="00CE6D77" w:rsidP="00CE6D77">
      <w:pPr>
        <w:pStyle w:val="enumlev1"/>
        <w:rPr>
          <w:lang w:val="es-ES"/>
        </w:rPr>
      </w:pPr>
      <w:r w:rsidRPr="00F8275B">
        <w:rPr>
          <w:lang w:val="es-ES"/>
        </w:rPr>
        <w:t>•</w:t>
      </w:r>
      <w:r w:rsidRPr="00F8275B">
        <w:rPr>
          <w:lang w:val="es-ES"/>
        </w:rPr>
        <w:tab/>
        <w:t>La iniciativa Partner2Connect de la UIT ha movilizado más de 46</w:t>
      </w:r>
      <w:r w:rsidR="00082AF5" w:rsidRPr="00F8275B">
        <w:rPr>
          <w:lang w:val="es-ES"/>
        </w:rPr>
        <w:t> </w:t>
      </w:r>
      <w:r w:rsidRPr="00F8275B">
        <w:rPr>
          <w:lang w:val="es-ES"/>
        </w:rPr>
        <w:t>000</w:t>
      </w:r>
      <w:r w:rsidR="00082AF5" w:rsidRPr="00F8275B">
        <w:rPr>
          <w:lang w:val="es-ES"/>
        </w:rPr>
        <w:t> </w:t>
      </w:r>
      <w:r w:rsidRPr="00F8275B">
        <w:rPr>
          <w:lang w:val="es-ES"/>
        </w:rPr>
        <w:t xml:space="preserve">millones de dólares en promesas </w:t>
      </w:r>
      <w:r w:rsidR="00542DBD" w:rsidRPr="00F8275B">
        <w:rPr>
          <w:lang w:val="es-ES"/>
        </w:rPr>
        <w:t xml:space="preserve">destinadas al desarrollo digital centrado en la inclusión, la colaboración y la sostenibilidad para marzo de 2024. La iniciativa dirigida por la UIT reconoce la necesidad de que las múltiples partes interesadas colaboren para lograr la transformación digital universal, significativa y sostenible, </w:t>
      </w:r>
      <w:r w:rsidR="00583331" w:rsidRPr="00F8275B">
        <w:rPr>
          <w:lang w:val="es-ES"/>
        </w:rPr>
        <w:t>incluido el liderazgo directo de los gobiernos, responsables de formular políticas y la comunidad reglamentaria.</w:t>
      </w:r>
    </w:p>
    <w:p w14:paraId="757CC8CC" w14:textId="77777777" w:rsidR="00CE6D77" w:rsidRPr="00F8275B" w:rsidRDefault="00CE6D77" w:rsidP="00CE6D77">
      <w:pPr>
        <w:pStyle w:val="Headingi"/>
        <w:rPr>
          <w:lang w:val="es-ES"/>
        </w:rPr>
      </w:pPr>
      <w:r w:rsidRPr="00F8275B">
        <w:rPr>
          <w:lang w:val="es-ES"/>
        </w:rPr>
        <w:t>La situación a nivel mundial</w:t>
      </w:r>
    </w:p>
    <w:p w14:paraId="4F3037FD" w14:textId="1F91E1BA" w:rsidR="00CE6D77" w:rsidRPr="00F8275B" w:rsidRDefault="00CE6D77" w:rsidP="00CE6D77">
      <w:pPr>
        <w:pStyle w:val="enumlev1"/>
        <w:rPr>
          <w:lang w:val="es-ES"/>
        </w:rPr>
      </w:pPr>
      <w:r w:rsidRPr="00F8275B">
        <w:rPr>
          <w:lang w:val="es-ES"/>
        </w:rPr>
        <w:t>•</w:t>
      </w:r>
      <w:r w:rsidRPr="00F8275B">
        <w:rPr>
          <w:lang w:val="es-ES"/>
        </w:rPr>
        <w:tab/>
        <w:t>A finales de 2023, en torno al 67% de la población mundial, a saber, 5</w:t>
      </w:r>
      <w:r w:rsidR="00082AF5" w:rsidRPr="00F8275B">
        <w:rPr>
          <w:lang w:val="es-ES"/>
        </w:rPr>
        <w:t> </w:t>
      </w:r>
      <w:r w:rsidRPr="00F8275B">
        <w:rPr>
          <w:lang w:val="es-ES"/>
        </w:rPr>
        <w:t>400</w:t>
      </w:r>
      <w:r w:rsidR="00082AF5" w:rsidRPr="00F8275B">
        <w:rPr>
          <w:lang w:val="es-ES"/>
        </w:rPr>
        <w:t> </w:t>
      </w:r>
      <w:r w:rsidRPr="00F8275B">
        <w:rPr>
          <w:lang w:val="es-ES"/>
        </w:rPr>
        <w:t>millones de personas, tenía acceso a Internet, lo que supone un aumento del 4,7% desde 2022.</w:t>
      </w:r>
    </w:p>
    <w:p w14:paraId="07E0C4BF" w14:textId="77E5913B" w:rsidR="00CE6D77" w:rsidRPr="00F8275B" w:rsidRDefault="00CE6D77" w:rsidP="00CE6D77">
      <w:pPr>
        <w:pStyle w:val="enumlev1"/>
        <w:rPr>
          <w:lang w:val="es-ES"/>
        </w:rPr>
      </w:pPr>
      <w:r w:rsidRPr="00F8275B">
        <w:rPr>
          <w:lang w:val="es-ES"/>
        </w:rPr>
        <w:t>•</w:t>
      </w:r>
      <w:r w:rsidRPr="00F8275B">
        <w:rPr>
          <w:lang w:val="es-ES"/>
        </w:rPr>
        <w:tab/>
        <w:t>A pesar de los avances, solo el 27% de la población de los países de renta baja utilizó Internet en 2023, lo que pone de manifiesto los desafíos persistentes en relación con la reducción de la brecha digital.</w:t>
      </w:r>
    </w:p>
    <w:p w14:paraId="54E89313" w14:textId="216FAA8D" w:rsidR="00CE6D77" w:rsidRPr="00F8275B" w:rsidRDefault="00CE6D77" w:rsidP="00CE6D77">
      <w:pPr>
        <w:pStyle w:val="enumlev1"/>
        <w:rPr>
          <w:lang w:val="es-ES"/>
        </w:rPr>
      </w:pPr>
      <w:r w:rsidRPr="00F8275B">
        <w:rPr>
          <w:lang w:val="es-ES"/>
        </w:rPr>
        <w:t>•</w:t>
      </w:r>
      <w:r w:rsidRPr="00F8275B">
        <w:rPr>
          <w:lang w:val="es-ES"/>
        </w:rPr>
        <w:tab/>
        <w:t>En 2023, la cesta de datos de banda ancha móvil resultó más asequible en todas las regiones del mundo y para todos los grupos de ingresos.</w:t>
      </w:r>
      <w:r w:rsidR="00583331" w:rsidRPr="00F8275B">
        <w:rPr>
          <w:lang w:val="es-ES"/>
        </w:rPr>
        <w:t xml:space="preserve"> La asequibilidad ha mejorado un 36% entre 2017 y 2023.</w:t>
      </w:r>
    </w:p>
    <w:p w14:paraId="795F28E0" w14:textId="38D7C184" w:rsidR="00CE6D77" w:rsidRPr="00F8275B" w:rsidRDefault="00CE6D77" w:rsidP="00CE6D77">
      <w:pPr>
        <w:pStyle w:val="enumlev1"/>
        <w:rPr>
          <w:lang w:val="es-ES"/>
        </w:rPr>
      </w:pPr>
      <w:r w:rsidRPr="00F8275B">
        <w:rPr>
          <w:lang w:val="es-ES"/>
        </w:rPr>
        <w:t>•</w:t>
      </w:r>
      <w:r w:rsidRPr="00F8275B">
        <w:rPr>
          <w:lang w:val="es-ES"/>
        </w:rPr>
        <w:tab/>
        <w:t>A finales de 2023, había 250</w:t>
      </w:r>
      <w:r w:rsidR="00E73C6D" w:rsidRPr="00F8275B">
        <w:rPr>
          <w:lang w:val="es-ES"/>
        </w:rPr>
        <w:t> </w:t>
      </w:r>
      <w:r w:rsidRPr="00F8275B">
        <w:rPr>
          <w:lang w:val="es-ES"/>
        </w:rPr>
        <w:t xml:space="preserve">millones más de hombres que de mujeres con acceso a Internet en todo el mundo, especialmente en los países menos adelantados, y el número de países que han establecido un marco reglamentario para garantizar la accesibilidad de las </w:t>
      </w:r>
      <w:r w:rsidR="008E2292" w:rsidRPr="00F8275B">
        <w:rPr>
          <w:lang w:val="es-ES"/>
        </w:rPr>
        <w:t>tecnologías de la información y la comunicación (</w:t>
      </w:r>
      <w:r w:rsidRPr="00F8275B">
        <w:rPr>
          <w:lang w:val="es-ES"/>
        </w:rPr>
        <w:t>TIC</w:t>
      </w:r>
      <w:r w:rsidR="008E2292" w:rsidRPr="00F8275B">
        <w:rPr>
          <w:lang w:val="es-ES"/>
        </w:rPr>
        <w:t>)</w:t>
      </w:r>
      <w:r w:rsidRPr="00F8275B">
        <w:rPr>
          <w:lang w:val="es-ES"/>
        </w:rPr>
        <w:t xml:space="preserve"> para las personas con discapacidad casi se ha duplicado desde</w:t>
      </w:r>
      <w:r w:rsidR="00A84AA8" w:rsidRPr="00F8275B">
        <w:rPr>
          <w:lang w:val="es-ES"/>
        </w:rPr>
        <w:t> </w:t>
      </w:r>
      <w:r w:rsidRPr="00F8275B">
        <w:rPr>
          <w:lang w:val="es-ES"/>
        </w:rPr>
        <w:t>2020, pasando de 61 a 117.</w:t>
      </w:r>
    </w:p>
    <w:p w14:paraId="52B00592" w14:textId="6150D3C8" w:rsidR="00CE6D77" w:rsidRPr="00F8275B" w:rsidRDefault="00CE6D77" w:rsidP="00CE6D77">
      <w:pPr>
        <w:pStyle w:val="enumlev1"/>
        <w:rPr>
          <w:lang w:val="es-ES"/>
        </w:rPr>
      </w:pPr>
      <w:r w:rsidRPr="00F8275B">
        <w:rPr>
          <w:lang w:val="es-ES"/>
        </w:rPr>
        <w:t>•</w:t>
      </w:r>
      <w:r w:rsidRPr="00F8275B">
        <w:rPr>
          <w:lang w:val="es-ES"/>
        </w:rPr>
        <w:tab/>
        <w:t xml:space="preserve">Según las predicciones del </w:t>
      </w:r>
      <w:r w:rsidR="008E2292" w:rsidRPr="00F8275B">
        <w:rPr>
          <w:lang w:val="es-ES"/>
        </w:rPr>
        <w:t xml:space="preserve">último </w:t>
      </w:r>
      <w:hyperlink r:id="rId16" w:history="1">
        <w:r w:rsidRPr="00F8275B">
          <w:rPr>
            <w:rStyle w:val="Hyperlink"/>
            <w:lang w:val="es-ES"/>
          </w:rPr>
          <w:t>Global E-waste Monitor</w:t>
        </w:r>
      </w:hyperlink>
      <w:r w:rsidRPr="00F8275B">
        <w:rPr>
          <w:lang w:val="es-ES"/>
        </w:rPr>
        <w:t>, los residuos electrónicos se cifrarán en todo el mundo en 74,7</w:t>
      </w:r>
      <w:r w:rsidR="00E73C6D" w:rsidRPr="00F8275B">
        <w:rPr>
          <w:lang w:val="es-ES"/>
        </w:rPr>
        <w:t> </w:t>
      </w:r>
      <w:r w:rsidRPr="00F8275B">
        <w:rPr>
          <w:lang w:val="es-ES"/>
        </w:rPr>
        <w:t xml:space="preserve">Mt en 2030, una cifra que casi duplica la de 2014, </w:t>
      </w:r>
      <w:r w:rsidR="00F458B8" w:rsidRPr="00F8275B">
        <w:rPr>
          <w:lang w:val="es-ES"/>
        </w:rPr>
        <w:t>y el porcentaje de residuos electrónicos reciclados se reducirá hasta un 20% en 2030 debido a la desproporción entre las medidas de reciclaje y el crecimiento acelerado de la generación de residuos electrónicos en todo el mundo, alimentado por e</w:t>
      </w:r>
      <w:r w:rsidRPr="00F8275B">
        <w:rPr>
          <w:lang w:val="es-ES"/>
        </w:rPr>
        <w:t>l aumento de las tasas de consumo de productos eléctricos y electrónicos, a la reducción de los ciclos de vida y a las limitadas opciones de reparación.</w:t>
      </w:r>
    </w:p>
    <w:p w14:paraId="5BA64DFB" w14:textId="2104B802" w:rsidR="008E2292" w:rsidRPr="00F8275B" w:rsidRDefault="008E2292" w:rsidP="00CE6D77">
      <w:pPr>
        <w:pStyle w:val="enumlev1"/>
        <w:rPr>
          <w:lang w:val="es-ES"/>
        </w:rPr>
      </w:pPr>
      <w:r w:rsidRPr="00F8275B">
        <w:rPr>
          <w:lang w:val="es-ES"/>
        </w:rPr>
        <w:t>•</w:t>
      </w:r>
      <w:r w:rsidRPr="00F8275B">
        <w:rPr>
          <w:lang w:val="es-ES"/>
        </w:rPr>
        <w:tab/>
        <w:t>A pesar de los desafíos del mundo en 2023, las tecnologías digitales emergieron como un rayo de esperanza, reforzando la creciente ambición de los objetivos estratégicos, las iniciativas mundiales y la labor diaria de la UIT.</w:t>
      </w:r>
      <w:r w:rsidR="00583331" w:rsidRPr="00F8275B">
        <w:rPr>
          <w:lang w:val="es-ES"/>
        </w:rPr>
        <w:t xml:space="preserve"> El plan de Aceleración Digital de los ODS, que el PNUD y la UIT pusieron en marcha en septiembre de 2023 antes de la Cumbre de los ODS, ha determinado que la consecución del 70% de las metas de los ODS puede impulsarse con las tecnologías digitales.</w:t>
      </w:r>
    </w:p>
    <w:p w14:paraId="45D296F8" w14:textId="3007C2AB" w:rsidR="00CE6D77" w:rsidRPr="00F8275B" w:rsidRDefault="00CE6D77" w:rsidP="00233F8E">
      <w:pPr>
        <w:pStyle w:val="enumlev1"/>
        <w:keepNext/>
        <w:keepLines/>
        <w:rPr>
          <w:lang w:val="es-ES"/>
        </w:rPr>
      </w:pPr>
      <w:r w:rsidRPr="00F8275B">
        <w:rPr>
          <w:lang w:val="es-ES"/>
        </w:rPr>
        <w:lastRenderedPageBreak/>
        <w:t>•</w:t>
      </w:r>
      <w:r w:rsidRPr="00F8275B">
        <w:rPr>
          <w:lang w:val="es-ES"/>
        </w:rPr>
        <w:tab/>
      </w:r>
      <w:r w:rsidR="008E2292" w:rsidRPr="00F8275B">
        <w:rPr>
          <w:lang w:val="es-ES"/>
        </w:rPr>
        <w:t>A finales de 2023:</w:t>
      </w:r>
    </w:p>
    <w:p w14:paraId="3AF67545" w14:textId="0C9105C1" w:rsidR="00CE6D77" w:rsidRPr="00F8275B" w:rsidRDefault="00CE6D77" w:rsidP="00A84AA8">
      <w:pPr>
        <w:pStyle w:val="enumlev2"/>
        <w:rPr>
          <w:lang w:val="es-ES"/>
        </w:rPr>
      </w:pPr>
      <w:r w:rsidRPr="00F8275B">
        <w:rPr>
          <w:lang w:val="es-ES"/>
        </w:rPr>
        <w:t>–</w:t>
      </w:r>
      <w:r w:rsidRPr="00F8275B">
        <w:rPr>
          <w:lang w:val="es-ES"/>
        </w:rPr>
        <w:tab/>
        <w:t>81</w:t>
      </w:r>
      <w:r w:rsidR="00082AF5" w:rsidRPr="00F8275B">
        <w:rPr>
          <w:lang w:val="es-ES"/>
        </w:rPr>
        <w:t> </w:t>
      </w:r>
      <w:r w:rsidRPr="00F8275B">
        <w:rPr>
          <w:lang w:val="es-ES"/>
        </w:rPr>
        <w:t>países tenían políticas, leyes o reglamentos en materia de residuos electrónicos</w:t>
      </w:r>
      <w:r w:rsidR="00583331" w:rsidRPr="00F8275B">
        <w:rPr>
          <w:lang w:val="es-ES"/>
        </w:rPr>
        <w:t xml:space="preserve"> (lo que constituye un aumento respecto de los 78</w:t>
      </w:r>
      <w:r w:rsidR="00233F8E">
        <w:rPr>
          <w:lang w:val="es-ES"/>
        </w:rPr>
        <w:t> </w:t>
      </w:r>
      <w:r w:rsidR="00583331" w:rsidRPr="00F8275B">
        <w:rPr>
          <w:lang w:val="es-ES"/>
        </w:rPr>
        <w:t>países registrados en 2019)</w:t>
      </w:r>
      <w:r w:rsidRPr="00F8275B">
        <w:rPr>
          <w:lang w:val="es-ES"/>
        </w:rPr>
        <w:t>, en comparación con la meta establecida en 97</w:t>
      </w:r>
      <w:r w:rsidR="00082AF5" w:rsidRPr="00F8275B">
        <w:rPr>
          <w:lang w:val="es-ES"/>
        </w:rPr>
        <w:t> </w:t>
      </w:r>
      <w:r w:rsidRPr="00F8275B">
        <w:rPr>
          <w:lang w:val="es-ES"/>
        </w:rPr>
        <w:t>países.</w:t>
      </w:r>
    </w:p>
    <w:p w14:paraId="1BFDB55B" w14:textId="5A036F2E" w:rsidR="00CE6D77" w:rsidRPr="00F8275B" w:rsidRDefault="00CE6D77" w:rsidP="00A84AA8">
      <w:pPr>
        <w:pStyle w:val="enumlev2"/>
        <w:rPr>
          <w:lang w:val="es-ES"/>
        </w:rPr>
      </w:pPr>
      <w:r w:rsidRPr="00F8275B">
        <w:rPr>
          <w:lang w:val="es-ES"/>
        </w:rPr>
        <w:t>–</w:t>
      </w:r>
      <w:r w:rsidRPr="00F8275B">
        <w:rPr>
          <w:lang w:val="es-ES"/>
        </w:rPr>
        <w:tab/>
      </w:r>
      <w:r w:rsidR="008E2292" w:rsidRPr="00F8275B">
        <w:rPr>
          <w:lang w:val="es-ES"/>
        </w:rPr>
        <w:t xml:space="preserve">En </w:t>
      </w:r>
      <w:r w:rsidRPr="00F8275B">
        <w:rPr>
          <w:lang w:val="es-ES"/>
        </w:rPr>
        <w:t>total, 126</w:t>
      </w:r>
      <w:r w:rsidR="00082AF5" w:rsidRPr="00F8275B">
        <w:rPr>
          <w:lang w:val="es-ES"/>
        </w:rPr>
        <w:t> </w:t>
      </w:r>
      <w:r w:rsidRPr="00F8275B">
        <w:rPr>
          <w:lang w:val="es-ES"/>
        </w:rPr>
        <w:t>países tenían equipos de intervención en caso de incidentes informáticos (EIII), lo que implica un aumento respecto de los 109 países registrados en 2020; y 127 tenían estrategias y planes de acción en materia de ciberseguridad, en comparación con los 107 registrados en 2020.</w:t>
      </w:r>
    </w:p>
    <w:p w14:paraId="6F231D00" w14:textId="65A005F9" w:rsidR="00CE6D77" w:rsidRPr="00F8275B" w:rsidRDefault="00CE6D77" w:rsidP="00CE6D77">
      <w:pPr>
        <w:pStyle w:val="enumlev2"/>
        <w:rPr>
          <w:lang w:val="es-ES"/>
        </w:rPr>
      </w:pPr>
      <w:r w:rsidRPr="00F8275B">
        <w:rPr>
          <w:lang w:val="es-ES"/>
        </w:rPr>
        <w:t>–</w:t>
      </w:r>
      <w:r w:rsidRPr="00F8275B">
        <w:rPr>
          <w:lang w:val="es-ES"/>
        </w:rPr>
        <w:tab/>
      </w:r>
      <w:r w:rsidR="008E2292" w:rsidRPr="00F8275B">
        <w:rPr>
          <w:lang w:val="es-ES"/>
        </w:rPr>
        <w:t xml:space="preserve">El </w:t>
      </w:r>
      <w:r w:rsidRPr="00F8275B">
        <w:rPr>
          <w:lang w:val="es-ES"/>
        </w:rPr>
        <w:t>83% de los países tenían planes nacionales para las telecomunicaciones de emergencia, lo que significa un aumento respecto del 25% registrado exclusivamente en 2020.</w:t>
      </w:r>
    </w:p>
    <w:p w14:paraId="311C8B00" w14:textId="65E89A87" w:rsidR="00CE6D77" w:rsidRPr="00F8275B" w:rsidRDefault="00CE6D77" w:rsidP="00CE6D77">
      <w:pPr>
        <w:pStyle w:val="enumlev2"/>
        <w:rPr>
          <w:lang w:val="es-ES"/>
        </w:rPr>
      </w:pPr>
      <w:r w:rsidRPr="00F8275B">
        <w:rPr>
          <w:lang w:val="es-ES"/>
        </w:rPr>
        <w:t>–</w:t>
      </w:r>
      <w:r w:rsidRPr="00F8275B">
        <w:rPr>
          <w:lang w:val="es-ES"/>
        </w:rPr>
        <w:tab/>
        <w:t xml:space="preserve">El número de países con políticas que fomentan la innovación centrada en las tecnologías </w:t>
      </w:r>
      <w:r w:rsidR="00583331" w:rsidRPr="00F8275B">
        <w:rPr>
          <w:lang w:val="es-ES"/>
        </w:rPr>
        <w:t xml:space="preserve">aumentó hasta 97, desde los </w:t>
      </w:r>
      <w:r w:rsidRPr="00F8275B">
        <w:rPr>
          <w:lang w:val="es-ES"/>
        </w:rPr>
        <w:t xml:space="preserve">66 </w:t>
      </w:r>
      <w:r w:rsidR="00583331" w:rsidRPr="00F8275B">
        <w:rPr>
          <w:lang w:val="es-ES"/>
        </w:rPr>
        <w:t>registrados en</w:t>
      </w:r>
      <w:r w:rsidRPr="00F8275B">
        <w:rPr>
          <w:lang w:val="es-ES"/>
        </w:rPr>
        <w:t xml:space="preserve"> 2020.</w:t>
      </w:r>
    </w:p>
    <w:p w14:paraId="447F167D" w14:textId="1D7B83F3" w:rsidR="008E2292" w:rsidRPr="00F8275B" w:rsidRDefault="000F18DC" w:rsidP="000F18DC">
      <w:pPr>
        <w:pStyle w:val="enumlev1"/>
        <w:rPr>
          <w:lang w:val="es-ES"/>
        </w:rPr>
      </w:pPr>
      <w:r w:rsidRPr="00F8275B">
        <w:rPr>
          <w:lang w:val="es-ES"/>
        </w:rPr>
        <w:t>•</w:t>
      </w:r>
      <w:r w:rsidRPr="00F8275B">
        <w:rPr>
          <w:lang w:val="es-ES"/>
        </w:rPr>
        <w:tab/>
      </w:r>
      <w:r w:rsidR="008E2292" w:rsidRPr="00F8275B">
        <w:rPr>
          <w:lang w:val="es-ES"/>
        </w:rPr>
        <w:t xml:space="preserve">Gran parte del </w:t>
      </w:r>
      <w:r w:rsidR="00CB6042" w:rsidRPr="00F8275B">
        <w:rPr>
          <w:lang w:val="es-ES"/>
        </w:rPr>
        <w:t xml:space="preserve">Plan Estratégico </w:t>
      </w:r>
      <w:r w:rsidR="008E2292" w:rsidRPr="00F8275B">
        <w:rPr>
          <w:lang w:val="es-ES"/>
        </w:rPr>
        <w:t>de la UIT para 2020</w:t>
      </w:r>
      <w:r w:rsidRPr="00F8275B">
        <w:rPr>
          <w:lang w:val="es-ES"/>
        </w:rPr>
        <w:noBreakHyphen/>
      </w:r>
      <w:r w:rsidR="008E2292" w:rsidRPr="00F8275B">
        <w:rPr>
          <w:lang w:val="es-ES"/>
        </w:rPr>
        <w:t xml:space="preserve">2023 se había ejecutado, y se habían llevado a cabo proyectos e iniciativas de éxito en los últimos años con énfasis en el crecimiento, la inclusividad, la </w:t>
      </w:r>
      <w:r w:rsidR="00A55B05" w:rsidRPr="00F8275B">
        <w:rPr>
          <w:lang w:val="es-ES"/>
        </w:rPr>
        <w:t>sostenibilidad</w:t>
      </w:r>
      <w:r w:rsidR="00583331" w:rsidRPr="00F8275B">
        <w:rPr>
          <w:lang w:val="es-ES"/>
        </w:rPr>
        <w:t>, la innovación y la colaboración.</w:t>
      </w:r>
    </w:p>
    <w:p w14:paraId="5A8E93D9" w14:textId="342FAC67" w:rsidR="008E2292" w:rsidRPr="00F8275B" w:rsidRDefault="000F18DC" w:rsidP="000F18DC">
      <w:pPr>
        <w:pStyle w:val="enumlev1"/>
        <w:rPr>
          <w:lang w:val="es-ES"/>
        </w:rPr>
      </w:pPr>
      <w:r w:rsidRPr="00F8275B">
        <w:rPr>
          <w:lang w:val="es-ES"/>
        </w:rPr>
        <w:t>•</w:t>
      </w:r>
      <w:r w:rsidRPr="00F8275B">
        <w:rPr>
          <w:lang w:val="es-ES"/>
        </w:rPr>
        <w:tab/>
      </w:r>
      <w:r w:rsidR="00C80C59" w:rsidRPr="00F8275B">
        <w:rPr>
          <w:lang w:val="es-ES"/>
        </w:rPr>
        <w:t>Los desafíos persisten, en particular respecto de la reducción de la brecha de género digital y la lucha contra los residuos electrónicos y las emisiones de gases de efecto invernadero</w:t>
      </w:r>
      <w:r w:rsidR="008E2292" w:rsidRPr="00F8275B">
        <w:rPr>
          <w:lang w:val="es-ES"/>
        </w:rPr>
        <w:t>.</w:t>
      </w:r>
    </w:p>
    <w:p w14:paraId="2ACACEE4" w14:textId="5C0755EE" w:rsidR="008E2292" w:rsidRPr="00F8275B" w:rsidRDefault="000F18DC" w:rsidP="000F18DC">
      <w:pPr>
        <w:pStyle w:val="enumlev1"/>
        <w:rPr>
          <w:lang w:val="es-ES"/>
        </w:rPr>
      </w:pPr>
      <w:r w:rsidRPr="00F8275B">
        <w:rPr>
          <w:lang w:val="es-ES"/>
        </w:rPr>
        <w:t>•</w:t>
      </w:r>
      <w:r w:rsidRPr="00F8275B">
        <w:rPr>
          <w:lang w:val="es-ES"/>
        </w:rPr>
        <w:tab/>
      </w:r>
      <w:r w:rsidR="00C80C59" w:rsidRPr="00F8275B">
        <w:rPr>
          <w:lang w:val="es-ES"/>
        </w:rPr>
        <w:t xml:space="preserve">La labor de la UIT abarca aspectos </w:t>
      </w:r>
      <w:r w:rsidR="00583331" w:rsidRPr="00F8275B">
        <w:rPr>
          <w:lang w:val="es-ES"/>
        </w:rPr>
        <w:t>diversos</w:t>
      </w:r>
      <w:r w:rsidR="00C80C59" w:rsidRPr="00F8275B">
        <w:rPr>
          <w:lang w:val="es-ES"/>
        </w:rPr>
        <w:t xml:space="preserve">, aunque </w:t>
      </w:r>
      <w:r w:rsidR="00583331" w:rsidRPr="00F8275B">
        <w:rPr>
          <w:lang w:val="es-ES"/>
        </w:rPr>
        <w:t>inter</w:t>
      </w:r>
      <w:r w:rsidR="00C80C59" w:rsidRPr="00F8275B">
        <w:rPr>
          <w:lang w:val="es-ES"/>
        </w:rPr>
        <w:t xml:space="preserve">relacionados, de la conectividad, las comunicaciones y la transformación digital, desde las redes terrenales y espaciales hasta las normas de tecnología accesible, así como el hecho de garantizar que las personas y comunidades disfruten del acceso digital y las competencias necesarias para </w:t>
      </w:r>
      <w:r w:rsidR="00AB2CFF" w:rsidRPr="00F8275B">
        <w:rPr>
          <w:lang w:val="es-ES"/>
        </w:rPr>
        <w:t>lograr una participación y oportunidades socioeconómicas plenas y significativas. Los tres sectores de la UIT trabajan juntos para conectar a todos, en todas partes</w:t>
      </w:r>
      <w:r w:rsidR="00583331" w:rsidRPr="00F8275B">
        <w:rPr>
          <w:lang w:val="es-ES"/>
        </w:rPr>
        <w:t>, y para aportar los beneficios de las tecnologías digitales a todas las personas.</w:t>
      </w:r>
    </w:p>
    <w:p w14:paraId="2F0D5E89" w14:textId="77777777" w:rsidR="00CE6D77" w:rsidRPr="00F8275B" w:rsidRDefault="00CE6D77" w:rsidP="00CE6D77">
      <w:pPr>
        <w:pStyle w:val="Headingi"/>
        <w:rPr>
          <w:lang w:val="es-ES"/>
        </w:rPr>
      </w:pPr>
      <w:r w:rsidRPr="00F8275B">
        <w:rPr>
          <w:lang w:val="es-ES"/>
        </w:rPr>
        <w:t>Conferencia estatutaria</w:t>
      </w:r>
    </w:p>
    <w:p w14:paraId="2EF077F3" w14:textId="0187CE07" w:rsidR="00CE6D77" w:rsidRPr="00F8275B" w:rsidRDefault="000C3086" w:rsidP="000C3086">
      <w:pPr>
        <w:pStyle w:val="enumlev1"/>
        <w:rPr>
          <w:lang w:val="es-ES"/>
        </w:rPr>
      </w:pPr>
      <w:r w:rsidRPr="00F8275B">
        <w:rPr>
          <w:lang w:val="es-ES"/>
        </w:rPr>
        <w:t>•</w:t>
      </w:r>
      <w:r w:rsidRPr="00F8275B">
        <w:rPr>
          <w:lang w:val="es-ES"/>
        </w:rPr>
        <w:tab/>
      </w:r>
      <w:r w:rsidR="00CE6D77" w:rsidRPr="00F8275B">
        <w:rPr>
          <w:lang w:val="es-ES"/>
        </w:rPr>
        <w:t xml:space="preserve">La Conferencia Mundial </w:t>
      </w:r>
      <w:r w:rsidR="006D3985" w:rsidRPr="00F8275B">
        <w:rPr>
          <w:lang w:val="es-ES"/>
        </w:rPr>
        <w:t>de Radiocomunicaciones (CMR-23), c</w:t>
      </w:r>
      <w:r w:rsidR="00AB2CFF" w:rsidRPr="00F8275B">
        <w:rPr>
          <w:lang w:val="es-ES"/>
        </w:rPr>
        <w:t>elebrada en Dubái</w:t>
      </w:r>
      <w:r w:rsidR="006D3985" w:rsidRPr="00F8275B">
        <w:rPr>
          <w:lang w:val="es-ES"/>
        </w:rPr>
        <w:t xml:space="preserve"> (Emiratos Árabes Unidos),</w:t>
      </w:r>
      <w:r w:rsidR="00AB2CFF" w:rsidRPr="00F8275B">
        <w:rPr>
          <w:lang w:val="es-ES"/>
        </w:rPr>
        <w:t xml:space="preserve"> </w:t>
      </w:r>
      <w:r w:rsidR="00CE6D77" w:rsidRPr="00F8275B">
        <w:rPr>
          <w:lang w:val="es-ES"/>
        </w:rPr>
        <w:t xml:space="preserve">hizo actualizaciones clave de la reglamentación mundial sobre la atribución del espectro radioeléctrico a los servicios inalámbricos y de otro tipo, </w:t>
      </w:r>
      <w:r w:rsidR="00AB2CFF" w:rsidRPr="00F8275B">
        <w:rPr>
          <w:lang w:val="es-ES"/>
        </w:rPr>
        <w:t>incluida</w:t>
      </w:r>
      <w:r w:rsidR="00CE6D77" w:rsidRPr="00F8275B">
        <w:rPr>
          <w:lang w:val="es-ES"/>
        </w:rPr>
        <w:t xml:space="preserve"> la atribución adicional de espectro a las telecomunicaciones móviles internacionales (UIT),</w:t>
      </w:r>
      <w:r w:rsidR="00AB2CFF" w:rsidRPr="00F8275B">
        <w:rPr>
          <w:lang w:val="es-ES"/>
        </w:rPr>
        <w:t xml:space="preserve"> en particular la banda ancha móvil y fija,</w:t>
      </w:r>
      <w:r w:rsidR="00CE6D77" w:rsidRPr="00F8275B">
        <w:rPr>
          <w:lang w:val="es-ES"/>
        </w:rPr>
        <w:t xml:space="preserve"> la modernización del Sistema Mundial de Socorro y Seguridad Marítimos (SMSSM) y las normas relativas a los servicios por satélite.</w:t>
      </w:r>
    </w:p>
    <w:p w14:paraId="036AAA61" w14:textId="4434004B" w:rsidR="006D3985" w:rsidRPr="00F8275B" w:rsidRDefault="006D3985" w:rsidP="000C3086">
      <w:pPr>
        <w:pStyle w:val="enumlev1"/>
        <w:rPr>
          <w:lang w:val="es-ES"/>
        </w:rPr>
      </w:pPr>
      <w:r w:rsidRPr="00F8275B">
        <w:rPr>
          <w:lang w:val="es-ES"/>
        </w:rPr>
        <w:t>•</w:t>
      </w:r>
      <w:r w:rsidRPr="00F8275B">
        <w:rPr>
          <w:lang w:val="es-ES"/>
        </w:rPr>
        <w:tab/>
        <w:t xml:space="preserve">La anterior Asamblea de Radiocomunicaciones (AR-23) definió </w:t>
      </w:r>
      <w:r w:rsidR="00F21A8E" w:rsidRPr="00F8275B">
        <w:rPr>
          <w:lang w:val="es-ES"/>
        </w:rPr>
        <w:t xml:space="preserve">los programas de trabajo futuros del Sector de Radiocomunicaciones de la UIT (UIT-R) y aprobó una serie de Recomendaciones y Resoluciones UIT-R que tendrán </w:t>
      </w:r>
      <w:r w:rsidR="00F8275B" w:rsidRPr="00F8275B">
        <w:rPr>
          <w:lang w:val="es-ES"/>
        </w:rPr>
        <w:t>repercusiones</w:t>
      </w:r>
      <w:r w:rsidR="00F21A8E" w:rsidRPr="00F8275B">
        <w:rPr>
          <w:lang w:val="es-ES"/>
        </w:rPr>
        <w:t xml:space="preserve"> mundiales en las tecnologías de radiocomunicaciones futuras.</w:t>
      </w:r>
    </w:p>
    <w:p w14:paraId="5A36785F" w14:textId="6E2BCF49" w:rsidR="00CE6D77" w:rsidRPr="00F8275B" w:rsidRDefault="000C3086" w:rsidP="000C3086">
      <w:pPr>
        <w:pStyle w:val="enumlev1"/>
        <w:rPr>
          <w:lang w:val="es-ES"/>
        </w:rPr>
      </w:pPr>
      <w:r w:rsidRPr="00F8275B">
        <w:rPr>
          <w:lang w:val="es-ES"/>
        </w:rPr>
        <w:t>•</w:t>
      </w:r>
      <w:r w:rsidRPr="00F8275B">
        <w:rPr>
          <w:lang w:val="es-ES"/>
        </w:rPr>
        <w:tab/>
      </w:r>
      <w:r w:rsidR="00CE6D77" w:rsidRPr="00F8275B">
        <w:rPr>
          <w:lang w:val="es-ES"/>
        </w:rPr>
        <w:t>Las mujeres representaron el 22% de los delegados de la CMR-23</w:t>
      </w:r>
      <w:r w:rsidR="00F21A8E" w:rsidRPr="00F8275B">
        <w:rPr>
          <w:lang w:val="es-ES"/>
        </w:rPr>
        <w:t xml:space="preserve"> (un aumento respecto del 19% registrado en la CMR-19)</w:t>
      </w:r>
      <w:r w:rsidR="00CE6D77" w:rsidRPr="00F8275B">
        <w:rPr>
          <w:lang w:val="es-ES"/>
        </w:rPr>
        <w:t>, lo que reflejó la reducción progresiva de la brecha de género en las actividades de la UIT, en particular los debates relacionados con las radiocomunicaciones.</w:t>
      </w:r>
    </w:p>
    <w:p w14:paraId="76B4BF35" w14:textId="57170D73" w:rsidR="00CE6D77" w:rsidRPr="00F8275B" w:rsidRDefault="000C3086" w:rsidP="000C3086">
      <w:pPr>
        <w:pStyle w:val="enumlev1"/>
        <w:rPr>
          <w:lang w:val="es-ES"/>
        </w:rPr>
      </w:pPr>
      <w:r w:rsidRPr="00F8275B">
        <w:rPr>
          <w:lang w:val="es-ES"/>
        </w:rPr>
        <w:lastRenderedPageBreak/>
        <w:t>•</w:t>
      </w:r>
      <w:r w:rsidRPr="00F8275B">
        <w:rPr>
          <w:lang w:val="es-ES"/>
        </w:rPr>
        <w:tab/>
      </w:r>
      <w:r w:rsidR="00F21A8E" w:rsidRPr="00F8275B">
        <w:rPr>
          <w:lang w:val="es-ES"/>
        </w:rPr>
        <w:t xml:space="preserve">La </w:t>
      </w:r>
      <w:r w:rsidR="00CE6D77" w:rsidRPr="00F8275B">
        <w:rPr>
          <w:lang w:val="es-ES"/>
        </w:rPr>
        <w:t>AR-23 adoptó una Resolución para promover la igualdad de género en la labor de la UIT en esta esfera, así como en el Sector de Radiocomunicaciones de la UIT (UIT-R) y en toda la industria.</w:t>
      </w:r>
    </w:p>
    <w:p w14:paraId="65E2BF65" w14:textId="3F583C22" w:rsidR="00AB2CFF" w:rsidRPr="00F8275B" w:rsidRDefault="00AB2CFF" w:rsidP="000F18DC">
      <w:pPr>
        <w:pStyle w:val="Headingi"/>
        <w:rPr>
          <w:lang w:val="es-ES"/>
        </w:rPr>
      </w:pPr>
      <w:r w:rsidRPr="00F8275B">
        <w:rPr>
          <w:lang w:val="es-ES"/>
        </w:rPr>
        <w:t>Avances fundamentales en cada Sector</w:t>
      </w:r>
    </w:p>
    <w:p w14:paraId="545179D2" w14:textId="2A394444" w:rsidR="00A55B05" w:rsidRPr="00F8275B" w:rsidRDefault="000F18DC" w:rsidP="000F18DC">
      <w:pPr>
        <w:pStyle w:val="enumlev1"/>
        <w:rPr>
          <w:lang w:val="es-ES"/>
        </w:rPr>
      </w:pPr>
      <w:r w:rsidRPr="00F8275B">
        <w:rPr>
          <w:lang w:val="es-ES"/>
        </w:rPr>
        <w:t>•</w:t>
      </w:r>
      <w:r w:rsidRPr="00F8275B">
        <w:rPr>
          <w:lang w:val="es-ES"/>
        </w:rPr>
        <w:tab/>
      </w:r>
      <w:r w:rsidR="00AB2CFF" w:rsidRPr="00F8275B">
        <w:rPr>
          <w:lang w:val="es-ES"/>
        </w:rPr>
        <w:t>El Sector de Radiocomunicaciones de la UIT (UIT-R) aprobó más de 80</w:t>
      </w:r>
      <w:r w:rsidRPr="00F8275B">
        <w:rPr>
          <w:lang w:val="es-ES"/>
        </w:rPr>
        <w:t> </w:t>
      </w:r>
      <w:r w:rsidR="00AB2CFF" w:rsidRPr="00F8275B">
        <w:rPr>
          <w:lang w:val="es-ES"/>
        </w:rPr>
        <w:t xml:space="preserve">Recomendaciones nuevas o revisadas, </w:t>
      </w:r>
      <w:r w:rsidR="00F21A8E" w:rsidRPr="00F8275B">
        <w:rPr>
          <w:lang w:val="es-ES"/>
        </w:rPr>
        <w:t>cuya</w:t>
      </w:r>
      <w:r w:rsidR="00AB2CFF" w:rsidRPr="00F8275B">
        <w:rPr>
          <w:lang w:val="es-ES"/>
        </w:rPr>
        <w:t xml:space="preserve"> información exhaustiva </w:t>
      </w:r>
      <w:r w:rsidR="00F21A8E" w:rsidRPr="00F8275B">
        <w:rPr>
          <w:lang w:val="es-ES"/>
        </w:rPr>
        <w:t xml:space="preserve">puede consultarse en este </w:t>
      </w:r>
      <w:hyperlink r:id="rId17" w:history="1">
        <w:r w:rsidR="00F21A8E" w:rsidRPr="007579FF">
          <w:rPr>
            <w:rStyle w:val="Hyperlink"/>
            <w:lang w:val="es-ES"/>
          </w:rPr>
          <w:t>enlace</w:t>
        </w:r>
      </w:hyperlink>
      <w:r w:rsidR="00AB2CFF" w:rsidRPr="00F8275B">
        <w:rPr>
          <w:lang w:val="es-ES"/>
        </w:rPr>
        <w:t>.</w:t>
      </w:r>
    </w:p>
    <w:p w14:paraId="0BACD350" w14:textId="0EEECE74" w:rsidR="00AB2CFF" w:rsidRPr="00F8275B" w:rsidRDefault="000F18DC" w:rsidP="004C1B6D">
      <w:pPr>
        <w:pStyle w:val="enumlev1"/>
        <w:keepNext/>
        <w:keepLines/>
        <w:rPr>
          <w:lang w:val="es-ES"/>
        </w:rPr>
      </w:pPr>
      <w:r w:rsidRPr="00F8275B">
        <w:rPr>
          <w:lang w:val="es-ES"/>
        </w:rPr>
        <w:t>•</w:t>
      </w:r>
      <w:r w:rsidRPr="00F8275B">
        <w:rPr>
          <w:lang w:val="es-ES"/>
        </w:rPr>
        <w:tab/>
      </w:r>
      <w:r w:rsidR="00AB2CFF" w:rsidRPr="00F8275B">
        <w:rPr>
          <w:lang w:val="es-ES"/>
        </w:rPr>
        <w:t>La UIT recibió el Premio Emmy</w:t>
      </w:r>
      <w:r w:rsidR="00A55B05" w:rsidRPr="00F8275B">
        <w:rPr>
          <w:lang w:val="es-ES"/>
        </w:rPr>
        <w:t xml:space="preserve"> </w:t>
      </w:r>
      <w:r w:rsidR="00AB2CFF" w:rsidRPr="00F8275B">
        <w:rPr>
          <w:lang w:val="es-ES"/>
        </w:rPr>
        <w:t xml:space="preserve">de Ingeniería, Ciencia y Tecnología por su labor sobre las normas de radiocomunicaciones para la </w:t>
      </w:r>
      <w:r w:rsidR="00F14E48" w:rsidRPr="00F8275B">
        <w:rPr>
          <w:lang w:val="es-ES"/>
        </w:rPr>
        <w:t>televisión de elevada gama dinámica (HDR-TV)</w:t>
      </w:r>
      <w:r w:rsidR="00AB2CFF" w:rsidRPr="00F8275B">
        <w:rPr>
          <w:lang w:val="es-ES"/>
        </w:rPr>
        <w:t xml:space="preserve">, </w:t>
      </w:r>
      <w:r w:rsidR="00F14E48" w:rsidRPr="00F8275B">
        <w:rPr>
          <w:lang w:val="es-ES"/>
        </w:rPr>
        <w:t>en reconocimiento de la función esencial que desempeña la Organización en la conformación de las tecnologías actuales y futuras.</w:t>
      </w:r>
      <w:r w:rsidR="00AB2CFF" w:rsidRPr="00F8275B">
        <w:rPr>
          <w:lang w:val="es-ES"/>
        </w:rPr>
        <w:t xml:space="preserve"> </w:t>
      </w:r>
      <w:r w:rsidR="00F14E48" w:rsidRPr="00F8275B">
        <w:rPr>
          <w:lang w:val="es-ES"/>
        </w:rPr>
        <w:t>Este fue el tercer Premio Emmy otorgado a la labor de la UIT en el sector de las radiocomunicaciones, y el sexto Emmy a la UIT en su conjunto.</w:t>
      </w:r>
    </w:p>
    <w:p w14:paraId="006BDBB6" w14:textId="156B1008" w:rsidR="00F14E48" w:rsidRPr="00F8275B" w:rsidRDefault="000F18DC" w:rsidP="00765A16">
      <w:pPr>
        <w:pStyle w:val="enumlev1"/>
        <w:rPr>
          <w:lang w:val="es-ES"/>
        </w:rPr>
      </w:pPr>
      <w:r w:rsidRPr="00F8275B">
        <w:rPr>
          <w:lang w:val="es-ES"/>
        </w:rPr>
        <w:t>•</w:t>
      </w:r>
      <w:r w:rsidRPr="00F8275B">
        <w:rPr>
          <w:lang w:val="es-ES"/>
        </w:rPr>
        <w:tab/>
      </w:r>
      <w:r w:rsidR="00F14E48" w:rsidRPr="00F8275B">
        <w:rPr>
          <w:lang w:val="es-ES"/>
        </w:rPr>
        <w:t>El Sector de Normalización de la UIT (UIT-T) aprobó 286</w:t>
      </w:r>
      <w:r w:rsidR="00765A16" w:rsidRPr="00F8275B">
        <w:rPr>
          <w:lang w:val="es-ES"/>
        </w:rPr>
        <w:t> </w:t>
      </w:r>
      <w:r w:rsidR="00F14E48" w:rsidRPr="00F8275B">
        <w:rPr>
          <w:lang w:val="es-ES"/>
        </w:rPr>
        <w:t>Recomendaciones nuevas y revisadas, y los cinco grupos temáticos activos apoyaron la labor c</w:t>
      </w:r>
      <w:r w:rsidR="00F21A8E" w:rsidRPr="00F8275B">
        <w:rPr>
          <w:lang w:val="es-ES"/>
        </w:rPr>
        <w:t>onexa en materia de servicios de datos asequibles, casos de usos del metaverso, la armonización de los bancos de pruebas de telecomunicaciones móviles, la agricultura digital y la inteligencia artificial (IA) para la gestión de catástrofes.</w:t>
      </w:r>
    </w:p>
    <w:p w14:paraId="222E50DA" w14:textId="240DDE7F" w:rsidR="00CE6D77" w:rsidRPr="00F8275B" w:rsidRDefault="000F18DC" w:rsidP="000F18DC">
      <w:pPr>
        <w:pStyle w:val="enumlev1"/>
        <w:rPr>
          <w:lang w:val="es-ES"/>
        </w:rPr>
      </w:pPr>
      <w:r w:rsidRPr="00F8275B">
        <w:rPr>
          <w:lang w:val="es-ES"/>
        </w:rPr>
        <w:t>•</w:t>
      </w:r>
      <w:r w:rsidRPr="00F8275B">
        <w:rPr>
          <w:lang w:val="es-ES"/>
        </w:rPr>
        <w:tab/>
      </w:r>
      <w:r w:rsidR="00F21A8E" w:rsidRPr="00F8275B">
        <w:rPr>
          <w:lang w:val="es-ES"/>
        </w:rPr>
        <w:t>Se están realizando los preparativos de l</w:t>
      </w:r>
      <w:r w:rsidR="00F14E48" w:rsidRPr="00F8275B">
        <w:rPr>
          <w:lang w:val="es-ES"/>
        </w:rPr>
        <w:t xml:space="preserve">a conferencia rectora del UIT-T, la Asamblea Mundial de Normalización de las Telecomunicaciones (AMNT-24), </w:t>
      </w:r>
      <w:r w:rsidR="00F21A8E" w:rsidRPr="00F8275B">
        <w:rPr>
          <w:lang w:val="es-ES"/>
        </w:rPr>
        <w:t xml:space="preserve">que </w:t>
      </w:r>
      <w:r w:rsidR="00F14E48" w:rsidRPr="00F8275B">
        <w:rPr>
          <w:lang w:val="es-ES"/>
        </w:rPr>
        <w:t>tendrá lugar en Nueva Delhi (India) del 15 al 24 de octubre de 2024.</w:t>
      </w:r>
    </w:p>
    <w:p w14:paraId="65E09016" w14:textId="0B3307D7"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 xml:space="preserve">El Sector de Desarrollo de la UIT (UIT-D) </w:t>
      </w:r>
      <w:r w:rsidR="00F21A8E" w:rsidRPr="00F8275B">
        <w:rPr>
          <w:lang w:val="es-ES"/>
        </w:rPr>
        <w:t>ha trabajado o sigue trabajando en</w:t>
      </w:r>
      <w:r w:rsidR="00CE6D77" w:rsidRPr="00F8275B">
        <w:rPr>
          <w:lang w:val="es-ES"/>
        </w:rPr>
        <w:t xml:space="preserve"> 87</w:t>
      </w:r>
      <w:r w:rsidR="00901886" w:rsidRPr="00F8275B">
        <w:rPr>
          <w:lang w:val="es-ES"/>
        </w:rPr>
        <w:t> </w:t>
      </w:r>
      <w:r w:rsidR="00CE6D77" w:rsidRPr="00F8275B">
        <w:rPr>
          <w:lang w:val="es-ES"/>
        </w:rPr>
        <w:t>proyectos valorados en un total de 106,4</w:t>
      </w:r>
      <w:r w:rsidRPr="00F8275B">
        <w:rPr>
          <w:lang w:val="es-ES"/>
        </w:rPr>
        <w:t> </w:t>
      </w:r>
      <w:r w:rsidR="00CE6D77" w:rsidRPr="00F8275B">
        <w:rPr>
          <w:lang w:val="es-ES"/>
        </w:rPr>
        <w:t>millones</w:t>
      </w:r>
      <w:r w:rsidRPr="00F8275B">
        <w:rPr>
          <w:lang w:val="es-ES"/>
        </w:rPr>
        <w:t> </w:t>
      </w:r>
      <w:r w:rsidR="00CE6D77" w:rsidRPr="00F8275B">
        <w:rPr>
          <w:lang w:val="es-ES"/>
        </w:rPr>
        <w:t>CHF, y</w:t>
      </w:r>
      <w:r w:rsidR="00F21A8E" w:rsidRPr="00F8275B">
        <w:rPr>
          <w:lang w:val="es-ES"/>
        </w:rPr>
        <w:t xml:space="preserve"> en 2023</w:t>
      </w:r>
      <w:r w:rsidR="00CE6D77" w:rsidRPr="00F8275B">
        <w:rPr>
          <w:lang w:val="es-ES"/>
        </w:rPr>
        <w:t xml:space="preserve"> se firmaron 23</w:t>
      </w:r>
      <w:r w:rsidR="00901886" w:rsidRPr="00F8275B">
        <w:rPr>
          <w:lang w:val="es-ES"/>
        </w:rPr>
        <w:t> </w:t>
      </w:r>
      <w:r w:rsidR="00CE6D77" w:rsidRPr="00F8275B">
        <w:rPr>
          <w:lang w:val="es-ES"/>
        </w:rPr>
        <w:t>proyectos nuevos cifrados en 20,9</w:t>
      </w:r>
      <w:r w:rsidRPr="00F8275B">
        <w:rPr>
          <w:lang w:val="es-ES"/>
        </w:rPr>
        <w:t> </w:t>
      </w:r>
      <w:r w:rsidR="00CE6D77" w:rsidRPr="00F8275B">
        <w:rPr>
          <w:lang w:val="es-ES"/>
        </w:rPr>
        <w:t>millones</w:t>
      </w:r>
      <w:r w:rsidRPr="00F8275B">
        <w:rPr>
          <w:lang w:val="es-ES"/>
        </w:rPr>
        <w:t> </w:t>
      </w:r>
      <w:r w:rsidR="00CE6D77" w:rsidRPr="00F8275B">
        <w:rPr>
          <w:lang w:val="es-ES"/>
        </w:rPr>
        <w:t>CHF.</w:t>
      </w:r>
    </w:p>
    <w:p w14:paraId="73049479" w14:textId="3307754E"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La influencia de la IA y el aprendizaje automático en la labor de normalización de la</w:t>
      </w:r>
      <w:r w:rsidR="00A84AA8" w:rsidRPr="00F8275B">
        <w:rPr>
          <w:lang w:val="es-ES"/>
        </w:rPr>
        <w:t> </w:t>
      </w:r>
      <w:r w:rsidR="00CE6D77" w:rsidRPr="00F8275B">
        <w:rPr>
          <w:lang w:val="es-ES"/>
        </w:rPr>
        <w:t xml:space="preserve">UIT (UIT-T) sigue aumentando, en particular </w:t>
      </w:r>
      <w:r w:rsidR="00F21A8E" w:rsidRPr="00F8275B">
        <w:rPr>
          <w:lang w:val="es-ES"/>
        </w:rPr>
        <w:t>en áreas como la</w:t>
      </w:r>
      <w:r w:rsidR="00CE6D77" w:rsidRPr="00F8275B">
        <w:rPr>
          <w:lang w:val="es-ES"/>
        </w:rPr>
        <w:t xml:space="preserve"> orquestación y gestión de redes, los multimedios, la evaluación de la calidad del servicio, la eficiencia energética, los protocolos y las especificaciones de pruebas, las redes futuras, las redes de cables, la explotación y el mantenimiento de redes, la seguridad, la salud digital, la movilidad inteligente, la agricultura digital y la gestión de desastres.</w:t>
      </w:r>
    </w:p>
    <w:p w14:paraId="30BD7F78" w14:textId="5805C8DA"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La comunidad mundial e inclusiva de AI for Good reúne al sector privado, la sociedad civil y las instituciones públicas para ofrecer perspectivas durante todo el año sobre la</w:t>
      </w:r>
      <w:r w:rsidRPr="00F8275B">
        <w:rPr>
          <w:lang w:val="es-ES"/>
        </w:rPr>
        <w:t> </w:t>
      </w:r>
      <w:r w:rsidR="00CE6D77" w:rsidRPr="00F8275B">
        <w:rPr>
          <w:lang w:val="es-ES"/>
        </w:rPr>
        <w:t>IA, el aprendizaje automático y las herramientas de interfaz entre máquinas y cerebros.</w:t>
      </w:r>
    </w:p>
    <w:p w14:paraId="74BFB466" w14:textId="233A398C"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 xml:space="preserve">Los debates sobre gobernanza </w:t>
      </w:r>
      <w:r w:rsidR="00F14E48" w:rsidRPr="00F8275B">
        <w:rPr>
          <w:lang w:val="es-ES"/>
        </w:rPr>
        <w:t xml:space="preserve">de la IA </w:t>
      </w:r>
      <w:r w:rsidR="00CE6D77" w:rsidRPr="00F8275B">
        <w:rPr>
          <w:lang w:val="es-ES"/>
        </w:rPr>
        <w:t xml:space="preserve">organizados por la UIT han comenzado a profundizar en la manera de gestionar los riesgos, en particular el riesgo de ampliación de la brecha </w:t>
      </w:r>
      <w:r w:rsidR="00F21A8E" w:rsidRPr="00F8275B">
        <w:rPr>
          <w:lang w:val="es-ES"/>
        </w:rPr>
        <w:t>de la IA</w:t>
      </w:r>
      <w:r w:rsidR="00CE6D77" w:rsidRPr="00F8275B">
        <w:rPr>
          <w:lang w:val="es-ES"/>
        </w:rPr>
        <w:t>, y garantizar los beneficios de la IA para toda la humanidad.</w:t>
      </w:r>
    </w:p>
    <w:p w14:paraId="25735089" w14:textId="77777777" w:rsidR="00CE6D77" w:rsidRPr="00F8275B" w:rsidRDefault="00CE6D77" w:rsidP="00CE6D77">
      <w:pPr>
        <w:pStyle w:val="Headingi"/>
        <w:rPr>
          <w:lang w:val="es-ES"/>
        </w:rPr>
      </w:pPr>
      <w:r w:rsidRPr="00F8275B">
        <w:rPr>
          <w:lang w:val="es-ES"/>
        </w:rPr>
        <w:t>Hitos relativos a los Miembros</w:t>
      </w:r>
    </w:p>
    <w:p w14:paraId="53E5652B" w14:textId="46DFB5AC"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 xml:space="preserve">La </w:t>
      </w:r>
      <w:r w:rsidR="00F14E48" w:rsidRPr="00F8275B">
        <w:rPr>
          <w:lang w:val="es-ES"/>
        </w:rPr>
        <w:t>UIT</w:t>
      </w:r>
      <w:r w:rsidR="00CE6D77" w:rsidRPr="00F8275B">
        <w:rPr>
          <w:lang w:val="es-ES"/>
        </w:rPr>
        <w:t xml:space="preserve"> siguió teniendo un ámbito casi mundial/universal a nivel político con sus 193</w:t>
      </w:r>
      <w:r w:rsidR="00901886" w:rsidRPr="00F8275B">
        <w:rPr>
          <w:lang w:val="es-ES"/>
        </w:rPr>
        <w:t> </w:t>
      </w:r>
      <w:r w:rsidR="00CE6D77" w:rsidRPr="00F8275B">
        <w:rPr>
          <w:lang w:val="es-ES"/>
        </w:rPr>
        <w:t xml:space="preserve">Estados Miembros, mientras que los Miembros de Sector (empresas, organizaciones, institutos de investigación y otras entidades no estatales centradas en las radiocomunicaciones, la normalización o el desarrollo digital, según sus </w:t>
      </w:r>
      <w:r w:rsidR="00CE6D77" w:rsidRPr="00F8275B">
        <w:rPr>
          <w:lang w:val="es-ES"/>
        </w:rPr>
        <w:lastRenderedPageBreak/>
        <w:t>intereses) alcanzaron un récord máximo de 1</w:t>
      </w:r>
      <w:r w:rsidRPr="00F8275B">
        <w:rPr>
          <w:lang w:val="es-ES"/>
        </w:rPr>
        <w:t> </w:t>
      </w:r>
      <w:r w:rsidR="00CE6D77" w:rsidRPr="00F8275B">
        <w:rPr>
          <w:lang w:val="es-ES"/>
        </w:rPr>
        <w:t>000</w:t>
      </w:r>
      <w:r w:rsidRPr="00F8275B">
        <w:rPr>
          <w:lang w:val="es-ES"/>
        </w:rPr>
        <w:t> </w:t>
      </w:r>
      <w:r w:rsidR="00CE6D77" w:rsidRPr="00F8275B">
        <w:rPr>
          <w:lang w:val="es-ES"/>
        </w:rPr>
        <w:t>miembros en el primer trimestre de</w:t>
      </w:r>
      <w:r w:rsidR="00A84AA8" w:rsidRPr="00F8275B">
        <w:rPr>
          <w:lang w:val="es-ES"/>
        </w:rPr>
        <w:t> </w:t>
      </w:r>
      <w:r w:rsidR="00CE6D77" w:rsidRPr="00F8275B">
        <w:rPr>
          <w:lang w:val="es-ES"/>
        </w:rPr>
        <w:t>2024.</w:t>
      </w:r>
    </w:p>
    <w:p w14:paraId="226714D0" w14:textId="35F5E548"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Las entidades no estatales siguieron mostrando un fuerte interés por la UIT, y los Miembros de Sector representaron un 48%, los Asociados un 36% y las Instituciones Académicas un 16% de los nuevos miembros.</w:t>
      </w:r>
    </w:p>
    <w:p w14:paraId="0A8251FE" w14:textId="77777777" w:rsidR="00CE6D77" w:rsidRPr="00F8275B" w:rsidRDefault="00CE6D77" w:rsidP="00CE6D77">
      <w:pPr>
        <w:pStyle w:val="Headingi"/>
        <w:rPr>
          <w:lang w:val="es-ES"/>
        </w:rPr>
      </w:pPr>
      <w:r w:rsidRPr="00F8275B">
        <w:rPr>
          <w:lang w:val="es-ES"/>
        </w:rPr>
        <w:t>Aspectos destacados del presupuesto</w:t>
      </w:r>
    </w:p>
    <w:p w14:paraId="2928E9E5" w14:textId="2A098E44" w:rsidR="00F21A8E" w:rsidRPr="00F8275B" w:rsidRDefault="00F21A8E" w:rsidP="00F21A8E">
      <w:pPr>
        <w:pStyle w:val="enumlev1"/>
        <w:rPr>
          <w:lang w:val="es-ES"/>
        </w:rPr>
      </w:pPr>
      <w:r w:rsidRPr="00F8275B">
        <w:rPr>
          <w:lang w:val="es-ES"/>
        </w:rPr>
        <w:t>•</w:t>
      </w:r>
      <w:r w:rsidRPr="00F8275B">
        <w:rPr>
          <w:lang w:val="es-ES"/>
        </w:rPr>
        <w:tab/>
        <w:t>La UIT tuvo un excedente a finales de 2023 que constituía el 0,87% del presupuesto.</w:t>
      </w:r>
    </w:p>
    <w:p w14:paraId="44902BCE" w14:textId="4BA39C1F"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 xml:space="preserve">Las contribuciones </w:t>
      </w:r>
      <w:r w:rsidR="00F21A8E" w:rsidRPr="00F8275B">
        <w:rPr>
          <w:lang w:val="es-ES"/>
        </w:rPr>
        <w:t xml:space="preserve">extrapresupuestarias </w:t>
      </w:r>
      <w:r w:rsidR="00CE6D77" w:rsidRPr="00F8275B">
        <w:rPr>
          <w:lang w:val="es-ES"/>
        </w:rPr>
        <w:t>previstas aumentaron ligeramente hasta alcanzar más de 17</w:t>
      </w:r>
      <w:r w:rsidR="00B8648E" w:rsidRPr="00F8275B">
        <w:rPr>
          <w:lang w:val="es-ES"/>
        </w:rPr>
        <w:t> </w:t>
      </w:r>
      <w:r w:rsidR="00CE6D77" w:rsidRPr="00F8275B">
        <w:rPr>
          <w:lang w:val="es-ES"/>
        </w:rPr>
        <w:t>millones</w:t>
      </w:r>
      <w:r w:rsidR="00B8648E" w:rsidRPr="00F8275B">
        <w:rPr>
          <w:lang w:val="es-ES"/>
        </w:rPr>
        <w:t> </w:t>
      </w:r>
      <w:r w:rsidR="00CE6D77" w:rsidRPr="00F8275B">
        <w:rPr>
          <w:lang w:val="es-ES"/>
        </w:rPr>
        <w:t>CHF al año (unos 18,7</w:t>
      </w:r>
      <w:r w:rsidR="00B8648E" w:rsidRPr="00F8275B">
        <w:rPr>
          <w:lang w:val="es-ES"/>
        </w:rPr>
        <w:t> </w:t>
      </w:r>
      <w:r w:rsidR="00CE6D77" w:rsidRPr="00F8275B">
        <w:rPr>
          <w:lang w:val="es-ES"/>
        </w:rPr>
        <w:t>millones</w:t>
      </w:r>
      <w:r w:rsidR="00B8648E" w:rsidRPr="00F8275B">
        <w:rPr>
          <w:lang w:val="es-ES"/>
        </w:rPr>
        <w:t> </w:t>
      </w:r>
      <w:r w:rsidR="00CE6D77" w:rsidRPr="00F8275B">
        <w:rPr>
          <w:lang w:val="es-ES"/>
        </w:rPr>
        <w:t>USD según los tipos de interés actuales), lo que demuestra un apoyo financiero sostenido a las iniciativas de la UIT.</w:t>
      </w:r>
    </w:p>
    <w:p w14:paraId="69ED4FF5" w14:textId="055B6914" w:rsidR="00CE6D77" w:rsidRPr="00F8275B" w:rsidRDefault="0040710E" w:rsidP="0040710E">
      <w:pPr>
        <w:pStyle w:val="enumlev1"/>
        <w:rPr>
          <w:lang w:val="es-ES"/>
        </w:rPr>
      </w:pPr>
      <w:r w:rsidRPr="00F8275B">
        <w:rPr>
          <w:lang w:val="es-ES"/>
        </w:rPr>
        <w:t>•</w:t>
      </w:r>
      <w:r w:rsidRPr="00F8275B">
        <w:rPr>
          <w:lang w:val="es-ES"/>
        </w:rPr>
        <w:tab/>
      </w:r>
      <w:r w:rsidR="00CE6D77" w:rsidRPr="00F8275B">
        <w:rPr>
          <w:lang w:val="es-ES"/>
        </w:rPr>
        <w:t>La organización sigue contando con relativamente pocos contribuyentes al presupuesto, y los 10 a 15</w:t>
      </w:r>
      <w:r w:rsidR="00901886" w:rsidRPr="00F8275B">
        <w:rPr>
          <w:lang w:val="es-ES"/>
        </w:rPr>
        <w:t> </w:t>
      </w:r>
      <w:r w:rsidR="00CE6D77" w:rsidRPr="00F8275B">
        <w:rPr>
          <w:lang w:val="es-ES"/>
        </w:rPr>
        <w:t>Estados Miembros que más contribuyen representan la mayoría de los ingresos.</w:t>
      </w:r>
    </w:p>
    <w:p w14:paraId="1B4ED177" w14:textId="77777777" w:rsidR="00F21A8E" w:rsidRPr="00F8275B" w:rsidRDefault="00F21A8E">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bookmarkStart w:id="12" w:name="_Toc164862518"/>
      <w:bookmarkStart w:id="13" w:name="_Toc165024932"/>
      <w:r w:rsidRPr="00F8275B">
        <w:rPr>
          <w:lang w:val="es-ES"/>
        </w:rPr>
        <w:br w:type="page"/>
      </w:r>
    </w:p>
    <w:p w14:paraId="6CD0E4FB" w14:textId="5EA92DCC" w:rsidR="00CE6D77" w:rsidRPr="00F8275B" w:rsidRDefault="00CE6D77" w:rsidP="00CE6D77">
      <w:pPr>
        <w:pStyle w:val="Heading1"/>
        <w:rPr>
          <w:lang w:val="es-ES"/>
        </w:rPr>
      </w:pPr>
      <w:bookmarkStart w:id="14" w:name="_Toc166580873"/>
      <w:r w:rsidRPr="00F8275B">
        <w:rPr>
          <w:lang w:val="es-ES"/>
        </w:rPr>
        <w:lastRenderedPageBreak/>
        <w:t>1</w:t>
      </w:r>
      <w:r w:rsidRPr="00F8275B">
        <w:rPr>
          <w:lang w:val="es-ES"/>
        </w:rPr>
        <w:tab/>
        <w:t>Introducción</w:t>
      </w:r>
      <w:bookmarkEnd w:id="12"/>
      <w:bookmarkEnd w:id="13"/>
      <w:bookmarkEnd w:id="14"/>
    </w:p>
    <w:p w14:paraId="24ED5DFB" w14:textId="77777777" w:rsidR="00CE6D77" w:rsidRPr="00F8275B" w:rsidRDefault="00CE6D77" w:rsidP="00CE6D77">
      <w:pPr>
        <w:pStyle w:val="Headingb"/>
        <w:rPr>
          <w:b w:val="0"/>
          <w:bCs/>
          <w:color w:val="4F81BD"/>
          <w:lang w:val="es-ES"/>
        </w:rPr>
      </w:pPr>
      <w:r w:rsidRPr="00F8275B">
        <w:rPr>
          <w:b w:val="0"/>
          <w:bCs/>
          <w:color w:val="4F81BD"/>
          <w:lang w:val="es-ES"/>
        </w:rPr>
        <w:t>El organismo de las Naciones Unidas para las tecnologías digitales</w:t>
      </w:r>
    </w:p>
    <w:p w14:paraId="179888ED" w14:textId="62D3AE7A" w:rsidR="00CE6D77" w:rsidRPr="00F8275B" w:rsidRDefault="00CE6D77" w:rsidP="00FE720D">
      <w:pPr>
        <w:rPr>
          <w:lang w:val="es-ES"/>
        </w:rPr>
      </w:pPr>
      <w:r w:rsidRPr="00F8275B">
        <w:rPr>
          <w:lang w:val="es-ES"/>
        </w:rPr>
        <w:t>La Unión Internacional de Telecomunicaciones (UIT) reúne a 193</w:t>
      </w:r>
      <w:r w:rsidR="00901886" w:rsidRPr="00F8275B">
        <w:rPr>
          <w:lang w:val="es-ES"/>
        </w:rPr>
        <w:t> </w:t>
      </w:r>
      <w:r w:rsidRPr="00F8275B">
        <w:rPr>
          <w:lang w:val="es-ES"/>
        </w:rPr>
        <w:t>gobiernos nacionales y a más de 1 000</w:t>
      </w:r>
      <w:r w:rsidR="00901886" w:rsidRPr="00F8275B">
        <w:rPr>
          <w:lang w:val="es-ES"/>
        </w:rPr>
        <w:t> </w:t>
      </w:r>
      <w:r w:rsidRPr="00F8275B">
        <w:rPr>
          <w:lang w:val="es-ES"/>
        </w:rPr>
        <w:t>empresas, universidades, institutos de investigación y organizaciones internacionales en torno a un objetivo común: el fomento de la conectividad mundial y la creación del futuro de las tecnologías digitales.</w:t>
      </w:r>
      <w:r w:rsidR="00FE720D">
        <w:rPr>
          <w:lang w:val="es-ES"/>
        </w:rPr>
        <w:t xml:space="preserve"> </w:t>
      </w:r>
      <w:r w:rsidRPr="00F8275B">
        <w:rPr>
          <w:lang w:val="es-ES"/>
        </w:rPr>
        <w:t>Dada la profundidad de esta membresía singular, la Organización coordina las radiofrecuencias en la Tierra y en el espacio; elabora normas tecnológicas ampliamente reconocidas; y fomenta el desarrollo digital para no dejar a nadie atrás.</w:t>
      </w:r>
    </w:p>
    <w:p w14:paraId="51C9A604" w14:textId="77777777" w:rsidR="00CE6D77" w:rsidRPr="00F8275B" w:rsidRDefault="00CE6D77" w:rsidP="00CE6D77">
      <w:pPr>
        <w:rPr>
          <w:lang w:val="es-ES"/>
        </w:rPr>
      </w:pPr>
      <w:r w:rsidRPr="00F8275B">
        <w:rPr>
          <w:lang w:val="es-ES"/>
        </w:rPr>
        <w:t>La UIT es el organismo de las Naciones Unidas encargado de las tecnologías digitales, dedicado a conectar el último tercio de la humanidad y a aprovechar las tecnologías digitales para garantizar un mejor futuro para todos.</w:t>
      </w:r>
    </w:p>
    <w:p w14:paraId="3FF2D0F4" w14:textId="77777777" w:rsidR="00CE6D77" w:rsidRPr="00F8275B" w:rsidRDefault="00CE6D77" w:rsidP="008E064D">
      <w:pPr>
        <w:pStyle w:val="Headingb"/>
        <w:rPr>
          <w:b w:val="0"/>
          <w:bCs/>
          <w:color w:val="4F81BD"/>
          <w:lang w:val="es-ES"/>
        </w:rPr>
      </w:pPr>
      <w:r w:rsidRPr="00F8275B">
        <w:rPr>
          <w:b w:val="0"/>
          <w:bCs/>
          <w:color w:val="4F81BD"/>
          <w:lang w:val="es-ES"/>
        </w:rPr>
        <w:t>La UIT en la actualidad</w:t>
      </w:r>
    </w:p>
    <w:p w14:paraId="6146F0E3" w14:textId="303CAACB" w:rsidR="00CE6D77" w:rsidRPr="00F8275B" w:rsidRDefault="00CE6D77" w:rsidP="0010593D">
      <w:pPr>
        <w:rPr>
          <w:lang w:val="es-ES"/>
        </w:rPr>
      </w:pPr>
      <w:r w:rsidRPr="00F8275B">
        <w:rPr>
          <w:lang w:val="es-ES"/>
        </w:rPr>
        <w:t xml:space="preserve">El mundo experimentó crecientes crisis humanitarias y conflictos en 2023, junto con incertidumbres económicas que han aumentado las brechas y las desigualdades. </w:t>
      </w:r>
      <w:r w:rsidR="005135A4" w:rsidRPr="00F8275B">
        <w:rPr>
          <w:lang w:val="es-ES"/>
        </w:rPr>
        <w:t xml:space="preserve">La crisis climática se ha resentido en todo el mundo, y las inundaciones, sequías y temperaturas medias han alcanzado nuevos récords. </w:t>
      </w:r>
      <w:r w:rsidRPr="00F8275B">
        <w:rPr>
          <w:lang w:val="es-ES"/>
        </w:rPr>
        <w:t>La transformación digital ofreció un rayo de esperanza.</w:t>
      </w:r>
    </w:p>
    <w:p w14:paraId="799422E8" w14:textId="77777777" w:rsidR="00CE6D77" w:rsidRPr="00F8275B" w:rsidRDefault="00CE6D77" w:rsidP="00CE6D77">
      <w:pPr>
        <w:rPr>
          <w:lang w:val="es-ES"/>
        </w:rPr>
      </w:pPr>
      <w:r w:rsidRPr="00F8275B">
        <w:rPr>
          <w:lang w:val="es-ES"/>
        </w:rPr>
        <w:t>En tiempos difíciles en todo el mundo, la UIT ha intensificado iniciativas históricas para conseguir la conectividad universal y la transformación digital sostenible. A medida que la Organización asume prioridades más ambiciosas, también se enorgullece de su propio rejuvenecimiento.</w:t>
      </w:r>
    </w:p>
    <w:p w14:paraId="430C1471" w14:textId="77777777" w:rsidR="00CE6D77" w:rsidRPr="00F8275B" w:rsidRDefault="00CE6D77" w:rsidP="008E064D">
      <w:pPr>
        <w:pStyle w:val="Headingb"/>
        <w:rPr>
          <w:b w:val="0"/>
          <w:bCs/>
          <w:color w:val="4F81BD"/>
          <w:lang w:val="es-ES"/>
        </w:rPr>
      </w:pPr>
      <w:r w:rsidRPr="00F8275B">
        <w:rPr>
          <w:b w:val="0"/>
          <w:bCs/>
          <w:color w:val="4F81BD"/>
          <w:lang w:val="es-ES"/>
        </w:rPr>
        <w:t>Visión, misión y objetivos de la UIT</w:t>
      </w:r>
    </w:p>
    <w:p w14:paraId="41791E20" w14:textId="03926037" w:rsidR="00CE6D77" w:rsidRPr="00F8275B" w:rsidRDefault="00CE6D77" w:rsidP="00CE6D77">
      <w:pPr>
        <w:rPr>
          <w:lang w:val="es-ES"/>
        </w:rPr>
      </w:pPr>
      <w:r w:rsidRPr="00F8275B">
        <w:rPr>
          <w:lang w:val="es-ES"/>
        </w:rPr>
        <w:t xml:space="preserve">En el </w:t>
      </w:r>
      <w:hyperlink r:id="rId18" w:history="1">
        <w:r w:rsidR="00901886" w:rsidRPr="00F8275B">
          <w:rPr>
            <w:rStyle w:val="Hyperlink"/>
            <w:lang w:val="es-ES"/>
          </w:rPr>
          <w:t>P</w:t>
        </w:r>
        <w:r w:rsidRPr="00F8275B">
          <w:rPr>
            <w:rStyle w:val="Hyperlink"/>
            <w:lang w:val="es-ES"/>
          </w:rPr>
          <w:t xml:space="preserve">lan </w:t>
        </w:r>
        <w:r w:rsidR="00901886" w:rsidRPr="00F8275B">
          <w:rPr>
            <w:rStyle w:val="Hyperlink"/>
            <w:lang w:val="es-ES"/>
          </w:rPr>
          <w:t>E</w:t>
        </w:r>
        <w:r w:rsidRPr="00F8275B">
          <w:rPr>
            <w:rStyle w:val="Hyperlink"/>
            <w:lang w:val="es-ES"/>
          </w:rPr>
          <w:t>stratégico</w:t>
        </w:r>
      </w:hyperlink>
      <w:r w:rsidRPr="00F8275B">
        <w:rPr>
          <w:lang w:val="es-ES"/>
        </w:rPr>
        <w:t xml:space="preserve"> de la UIT para 2024-2027 se establecen dos objetivos generales:</w:t>
      </w:r>
    </w:p>
    <w:p w14:paraId="5E857AC1" w14:textId="175FFD01" w:rsidR="00CE6D77" w:rsidRPr="00F8275B" w:rsidRDefault="00901886" w:rsidP="00901886">
      <w:pPr>
        <w:pStyle w:val="enumlev1"/>
        <w:rPr>
          <w:lang w:val="es-ES"/>
        </w:rPr>
      </w:pPr>
      <w:r w:rsidRPr="00F8275B">
        <w:rPr>
          <w:lang w:val="es-ES"/>
        </w:rPr>
        <w:t>•</w:t>
      </w:r>
      <w:r w:rsidRPr="00F8275B">
        <w:rPr>
          <w:lang w:val="es-ES"/>
        </w:rPr>
        <w:tab/>
      </w:r>
      <w:r w:rsidR="00CE6D77" w:rsidRPr="00F8275B">
        <w:rPr>
          <w:b/>
          <w:bCs/>
          <w:lang w:val="es-ES"/>
        </w:rPr>
        <w:t>La conectividad universal</w:t>
      </w:r>
      <w:r w:rsidR="00CE6D77" w:rsidRPr="00F8275B">
        <w:rPr>
          <w:lang w:val="es-ES"/>
        </w:rPr>
        <w:t xml:space="preserve"> – conectando a los últimos 2</w:t>
      </w:r>
      <w:r w:rsidRPr="00F8275B">
        <w:rPr>
          <w:lang w:val="es-ES"/>
        </w:rPr>
        <w:t> </w:t>
      </w:r>
      <w:r w:rsidR="00CE6D77" w:rsidRPr="00F8275B">
        <w:rPr>
          <w:lang w:val="es-ES"/>
        </w:rPr>
        <w:t>600</w:t>
      </w:r>
      <w:r w:rsidRPr="00F8275B">
        <w:rPr>
          <w:lang w:val="es-ES"/>
        </w:rPr>
        <w:t> </w:t>
      </w:r>
      <w:r w:rsidR="00CE6D77" w:rsidRPr="00F8275B">
        <w:rPr>
          <w:lang w:val="es-ES"/>
        </w:rPr>
        <w:t>millones de personas a Internet y reduciendo las brechas socioeconómicas mediante un acceso digital significativo y asequible.</w:t>
      </w:r>
    </w:p>
    <w:p w14:paraId="41C322BE" w14:textId="6FF36F0F" w:rsidR="00CE6D77" w:rsidRPr="00F8275B" w:rsidRDefault="00901886" w:rsidP="00901886">
      <w:pPr>
        <w:pStyle w:val="enumlev1"/>
        <w:rPr>
          <w:lang w:val="es-ES"/>
        </w:rPr>
      </w:pPr>
      <w:r w:rsidRPr="00F8275B">
        <w:rPr>
          <w:lang w:val="es-ES"/>
        </w:rPr>
        <w:t>•</w:t>
      </w:r>
      <w:r w:rsidRPr="00F8275B">
        <w:rPr>
          <w:lang w:val="es-ES"/>
        </w:rPr>
        <w:tab/>
      </w:r>
      <w:r w:rsidR="00CE6D77" w:rsidRPr="00F8275B">
        <w:rPr>
          <w:b/>
          <w:bCs/>
          <w:lang w:val="es-ES"/>
        </w:rPr>
        <w:t>La transformación digital sostenible</w:t>
      </w:r>
      <w:r w:rsidR="00CE6D77" w:rsidRPr="00F8275B">
        <w:rPr>
          <w:lang w:val="es-ES"/>
        </w:rPr>
        <w:t xml:space="preserve"> – armonizando las tecnologías innovadoras con el desarrollo sostenible y la acción mundial para el clima, y fomentando a su vez el desarrollo digital equitativo e inclusivo para todos.</w:t>
      </w:r>
    </w:p>
    <w:p w14:paraId="7618AAB0" w14:textId="77777777" w:rsidR="00CE6D77" w:rsidRPr="00F8275B" w:rsidRDefault="00CE6D77" w:rsidP="00CE6D77">
      <w:pPr>
        <w:rPr>
          <w:lang w:val="es-ES"/>
        </w:rPr>
      </w:pPr>
      <w:r w:rsidRPr="00F8275B">
        <w:rPr>
          <w:lang w:val="es-ES"/>
        </w:rPr>
        <w:t>La diversa y constantemente evolutiva labor de la UIT incluye:</w:t>
      </w:r>
    </w:p>
    <w:p w14:paraId="2B590FB6" w14:textId="1E62CCE0" w:rsidR="00CE6D77" w:rsidRPr="00F8275B" w:rsidRDefault="00CE6D77" w:rsidP="00CE6D77">
      <w:pPr>
        <w:pStyle w:val="enumlev1"/>
        <w:rPr>
          <w:lang w:val="es-ES"/>
        </w:rPr>
      </w:pPr>
      <w:r w:rsidRPr="00F8275B">
        <w:rPr>
          <w:lang w:val="es-ES"/>
        </w:rPr>
        <w:t>•</w:t>
      </w:r>
      <w:r w:rsidRPr="00F8275B">
        <w:rPr>
          <w:lang w:val="es-ES"/>
        </w:rPr>
        <w:tab/>
      </w:r>
      <w:r w:rsidR="00A24614" w:rsidRPr="00F8275B">
        <w:rPr>
          <w:lang w:val="es-ES"/>
        </w:rPr>
        <w:t>v</w:t>
      </w:r>
      <w:r w:rsidRPr="00F8275B">
        <w:rPr>
          <w:lang w:val="es-ES"/>
        </w:rPr>
        <w:t>elar por que la inteligencia artificial (IA) sirva a la humanidad</w:t>
      </w:r>
      <w:r w:rsidR="00A24614" w:rsidRPr="00F8275B">
        <w:rPr>
          <w:lang w:val="es-ES"/>
        </w:rPr>
        <w:t>;</w:t>
      </w:r>
    </w:p>
    <w:p w14:paraId="12BC70A4" w14:textId="5D13B0E5" w:rsidR="00CE6D77" w:rsidRPr="00F8275B" w:rsidRDefault="00CE6D77" w:rsidP="00CE6D77">
      <w:pPr>
        <w:pStyle w:val="enumlev1"/>
        <w:rPr>
          <w:lang w:val="es-ES"/>
        </w:rPr>
      </w:pPr>
      <w:r w:rsidRPr="00F8275B">
        <w:rPr>
          <w:lang w:val="es-ES"/>
        </w:rPr>
        <w:t>•</w:t>
      </w:r>
      <w:r w:rsidRPr="00F8275B">
        <w:rPr>
          <w:lang w:val="es-ES"/>
        </w:rPr>
        <w:tab/>
      </w:r>
      <w:r w:rsidR="00A24614" w:rsidRPr="00F8275B">
        <w:rPr>
          <w:lang w:val="es-ES"/>
        </w:rPr>
        <w:t>h</w:t>
      </w:r>
      <w:r w:rsidRPr="00F8275B">
        <w:rPr>
          <w:lang w:val="es-ES"/>
        </w:rPr>
        <w:t>acer que las normas se adapten a todos</w:t>
      </w:r>
      <w:r w:rsidR="00A24614" w:rsidRPr="00F8275B">
        <w:rPr>
          <w:lang w:val="es-ES"/>
        </w:rPr>
        <w:t>;</w:t>
      </w:r>
    </w:p>
    <w:p w14:paraId="623A0DE8" w14:textId="6BA3F4CC" w:rsidR="00CE6D77" w:rsidRPr="00F8275B" w:rsidRDefault="00CE6D77" w:rsidP="00CE6D77">
      <w:pPr>
        <w:pStyle w:val="enumlev1"/>
        <w:rPr>
          <w:lang w:val="es-ES"/>
        </w:rPr>
      </w:pPr>
      <w:r w:rsidRPr="00F8275B">
        <w:rPr>
          <w:lang w:val="es-ES"/>
        </w:rPr>
        <w:t>•</w:t>
      </w:r>
      <w:r w:rsidRPr="00F8275B">
        <w:rPr>
          <w:lang w:val="es-ES"/>
        </w:rPr>
        <w:tab/>
      </w:r>
      <w:r w:rsidR="00A24614" w:rsidRPr="00F8275B">
        <w:rPr>
          <w:lang w:val="es-ES"/>
        </w:rPr>
        <w:t>m</w:t>
      </w:r>
      <w:r w:rsidRPr="00F8275B">
        <w:rPr>
          <w:lang w:val="es-ES"/>
        </w:rPr>
        <w:t>antener el espacio sostenible.</w:t>
      </w:r>
    </w:p>
    <w:p w14:paraId="68345E50" w14:textId="77777777" w:rsidR="00CE6D77" w:rsidRPr="00F8275B" w:rsidRDefault="00CE6D77" w:rsidP="00CE6D77">
      <w:pPr>
        <w:rPr>
          <w:lang w:val="es-ES"/>
        </w:rPr>
      </w:pPr>
      <w:r w:rsidRPr="00F8275B">
        <w:rPr>
          <w:lang w:val="es-ES"/>
        </w:rPr>
        <w:t>La UIT promueve las tecnologías para el bien y las tecnologías para todos – conectar a todas las personas y en todos los lugares.</w:t>
      </w:r>
    </w:p>
    <w:p w14:paraId="3C130585" w14:textId="77777777" w:rsidR="00CE6D77" w:rsidRPr="00F8275B" w:rsidRDefault="00CE6D77" w:rsidP="008E064D">
      <w:pPr>
        <w:pStyle w:val="Headingb"/>
        <w:rPr>
          <w:b w:val="0"/>
          <w:bCs/>
          <w:color w:val="4F81BD"/>
          <w:u w:val="single"/>
          <w:lang w:val="es-ES"/>
        </w:rPr>
      </w:pPr>
      <w:r w:rsidRPr="00F8275B">
        <w:rPr>
          <w:b w:val="0"/>
          <w:bCs/>
          <w:color w:val="4F81BD"/>
          <w:u w:val="single"/>
          <w:lang w:val="es-ES"/>
        </w:rPr>
        <w:lastRenderedPageBreak/>
        <w:t>Progreso constante y retos persistentes</w:t>
      </w:r>
    </w:p>
    <w:p w14:paraId="40C78CB8" w14:textId="09249318" w:rsidR="00CE6D77" w:rsidRPr="00F8275B" w:rsidRDefault="00CE6D77" w:rsidP="007560BC">
      <w:pPr>
        <w:keepNext/>
        <w:keepLines/>
        <w:rPr>
          <w:lang w:val="es-ES"/>
        </w:rPr>
      </w:pPr>
      <w:r w:rsidRPr="00F8275B">
        <w:rPr>
          <w:lang w:val="es-ES"/>
        </w:rPr>
        <w:t>El presente informe anual abarca las actividades de la UIT entre mayo de 2023 y abril de</w:t>
      </w:r>
      <w:r w:rsidR="00A24614" w:rsidRPr="00F8275B">
        <w:rPr>
          <w:lang w:val="es-ES"/>
        </w:rPr>
        <w:t> </w:t>
      </w:r>
      <w:r w:rsidRPr="00F8275B">
        <w:rPr>
          <w:lang w:val="es-ES"/>
        </w:rPr>
        <w:t>2024, con énfasis en la conectividad universal y la transformación digital sostenible. En el periodo se han observado avances en el acceso digital y la asequibilidad en todo el mundo. A pesar de ello, sigue habiendo desafíos, en particular en los países de renta baja, y las disparidades de género son buen ejemplo de ello.</w:t>
      </w:r>
    </w:p>
    <w:p w14:paraId="426E3AAC" w14:textId="2EB7E6F1" w:rsidR="00CE6D77" w:rsidRPr="00F8275B" w:rsidRDefault="00CE6D77" w:rsidP="00CE6D77">
      <w:pPr>
        <w:rPr>
          <w:lang w:val="es-ES"/>
        </w:rPr>
      </w:pPr>
      <w:r w:rsidRPr="00F8275B">
        <w:rPr>
          <w:lang w:val="es-ES"/>
        </w:rPr>
        <w:t>En el Plan Estratégico de la UIT para 2024-2027 se definen 12</w:t>
      </w:r>
      <w:r w:rsidR="00901886" w:rsidRPr="00F8275B">
        <w:rPr>
          <w:lang w:val="es-ES"/>
        </w:rPr>
        <w:t> </w:t>
      </w:r>
      <w:r w:rsidRPr="00F8275B">
        <w:rPr>
          <w:lang w:val="es-ES"/>
        </w:rPr>
        <w:t xml:space="preserve">metas para la conectividad universal y la transformación digital, con esfuerzos constantes en la mejora de la recopilación de datos. La UIT hace énfasis en la inclusión digital, en particular las iniciativas en materia de igualdad de género y la </w:t>
      </w:r>
      <w:r w:rsidR="00E85E84" w:rsidRPr="00F8275B">
        <w:rPr>
          <w:lang w:val="es-ES"/>
        </w:rPr>
        <w:t>implicación de los jóvenes en varias iniciativas</w:t>
      </w:r>
      <w:r w:rsidRPr="00F8275B">
        <w:rPr>
          <w:lang w:val="es-ES"/>
        </w:rPr>
        <w:t>.</w:t>
      </w:r>
    </w:p>
    <w:p w14:paraId="023677BA" w14:textId="20FC24E0" w:rsidR="00CE6D77" w:rsidRPr="00F8275B" w:rsidRDefault="005135A4" w:rsidP="00CE6D77">
      <w:pPr>
        <w:rPr>
          <w:lang w:val="es-ES"/>
        </w:rPr>
      </w:pPr>
      <w:r w:rsidRPr="00F8275B">
        <w:rPr>
          <w:lang w:val="es-ES"/>
        </w:rPr>
        <w:t>A pesar de los desafíos mundiales persistentes y nuevos,</w:t>
      </w:r>
      <w:r w:rsidR="00CE6D77" w:rsidRPr="00F8275B">
        <w:rPr>
          <w:lang w:val="es-ES"/>
        </w:rPr>
        <w:t xml:space="preserve"> las nuevas alianzas y plataformas de colaboración han impulsado proyectos de conectividad digital existentes y nuevos en todo el mundo.</w:t>
      </w:r>
    </w:p>
    <w:p w14:paraId="7E9BC919" w14:textId="77777777" w:rsidR="00CE6D77" w:rsidRPr="00F8275B" w:rsidRDefault="00CE6D77" w:rsidP="00CE6D77">
      <w:pPr>
        <w:pStyle w:val="Headingb"/>
        <w:rPr>
          <w:b w:val="0"/>
          <w:bCs/>
          <w:color w:val="4F81BD"/>
          <w:lang w:val="es-ES"/>
        </w:rPr>
      </w:pPr>
      <w:r w:rsidRPr="00F8275B">
        <w:rPr>
          <w:b w:val="0"/>
          <w:bCs/>
          <w:color w:val="4F81BD"/>
          <w:lang w:val="es-ES"/>
        </w:rPr>
        <w:t>Avance hacia la conectividad universal</w:t>
      </w:r>
    </w:p>
    <w:p w14:paraId="397EBC92" w14:textId="490C5E00" w:rsidR="00CE6D77" w:rsidRPr="00F8275B" w:rsidRDefault="00CE6D77" w:rsidP="00CE6D77">
      <w:pPr>
        <w:rPr>
          <w:lang w:val="es-ES"/>
        </w:rPr>
      </w:pPr>
      <w:r w:rsidRPr="00F8275B">
        <w:rPr>
          <w:lang w:val="es-ES"/>
        </w:rPr>
        <w:t>Se estima que el 67% de la población mundial (5</w:t>
      </w:r>
      <w:r w:rsidR="0040710E" w:rsidRPr="00F8275B">
        <w:rPr>
          <w:lang w:val="es-ES"/>
        </w:rPr>
        <w:t> </w:t>
      </w:r>
      <w:r w:rsidRPr="00F8275B">
        <w:rPr>
          <w:lang w:val="es-ES"/>
        </w:rPr>
        <w:t>400</w:t>
      </w:r>
      <w:r w:rsidR="0040710E" w:rsidRPr="00F8275B">
        <w:rPr>
          <w:lang w:val="es-ES"/>
        </w:rPr>
        <w:t> </w:t>
      </w:r>
      <w:r w:rsidRPr="00F8275B">
        <w:rPr>
          <w:lang w:val="es-ES"/>
        </w:rPr>
        <w:t>millones de personas) tenía acceso a Internet en 2023, lo cual representa un aumento del 4,7% con respecto a 2022, y dicha proporción era del 93% en los países de renta alta en 2023. Si bien 167</w:t>
      </w:r>
      <w:r w:rsidR="00A24614" w:rsidRPr="00F8275B">
        <w:rPr>
          <w:lang w:val="es-ES"/>
        </w:rPr>
        <w:t> </w:t>
      </w:r>
      <w:r w:rsidRPr="00F8275B">
        <w:rPr>
          <w:lang w:val="es-ES"/>
        </w:rPr>
        <w:t xml:space="preserve">países </w:t>
      </w:r>
      <w:r w:rsidR="005135A4" w:rsidRPr="00F8275B">
        <w:rPr>
          <w:lang w:val="es-ES"/>
        </w:rPr>
        <w:t>habían aprobado</w:t>
      </w:r>
      <w:r w:rsidRPr="00F8275B">
        <w:rPr>
          <w:lang w:val="es-ES"/>
        </w:rPr>
        <w:t xml:space="preserve"> planes de banda ancha, el crecimiento se había estancado claramente desde 2019. </w:t>
      </w:r>
      <w:r w:rsidR="005135A4" w:rsidRPr="00F8275B">
        <w:rPr>
          <w:lang w:val="es-ES"/>
        </w:rPr>
        <w:t>Dado que l</w:t>
      </w:r>
      <w:r w:rsidRPr="00F8275B">
        <w:rPr>
          <w:lang w:val="es-ES"/>
        </w:rPr>
        <w:t xml:space="preserve">os precios de las tecnologías de la información y la comunicación (TIC) habían </w:t>
      </w:r>
      <w:r w:rsidR="005135A4" w:rsidRPr="00F8275B">
        <w:rPr>
          <w:lang w:val="es-ES"/>
        </w:rPr>
        <w:t>seguido disminuyendo (registrando una disminución del 36% en general entre 2017 y 2023)</w:t>
      </w:r>
      <w:r w:rsidRPr="00F8275B">
        <w:rPr>
          <w:lang w:val="es-ES"/>
        </w:rPr>
        <w:t>, mejoró la asequibilidad de la banda ancha móvil exclusivamente para datos.</w:t>
      </w:r>
    </w:p>
    <w:p w14:paraId="4E14FA97" w14:textId="390BA577" w:rsidR="00CE6D77" w:rsidRPr="00F8275B" w:rsidRDefault="00CE6D77" w:rsidP="00CE6D77">
      <w:pPr>
        <w:rPr>
          <w:lang w:val="es-ES"/>
        </w:rPr>
      </w:pPr>
      <w:r w:rsidRPr="00F8275B">
        <w:rPr>
          <w:lang w:val="es-ES"/>
        </w:rPr>
        <w:t xml:space="preserve">En los países de renta baja, la utilización de Internet aumentó hasta el 27% en 2023 desde el 24% en 2022, y el 37% de la población africana tenía acceso a Internet, lo cual indica disparidades regionales. La asequibilidad sigue siendo un desafío, especialmente en las economías de renta baja. En general, la probabilidad de uso de Internet en los hombres es un 5% mayor que en las mujeres, y se observan disparidades </w:t>
      </w:r>
      <w:r w:rsidR="005135A4" w:rsidRPr="00F8275B">
        <w:rPr>
          <w:lang w:val="es-ES"/>
        </w:rPr>
        <w:t xml:space="preserve">más importantes </w:t>
      </w:r>
      <w:r w:rsidRPr="00F8275B">
        <w:rPr>
          <w:lang w:val="es-ES"/>
        </w:rPr>
        <w:t>en África y en los países menos adelantados.</w:t>
      </w:r>
    </w:p>
    <w:p w14:paraId="15DE4C9F" w14:textId="1D3D94E8" w:rsidR="00CE6D77" w:rsidRPr="00F8275B" w:rsidRDefault="00CE6D77" w:rsidP="008E064D">
      <w:pPr>
        <w:pStyle w:val="Headingb"/>
        <w:rPr>
          <w:b w:val="0"/>
          <w:bCs/>
          <w:color w:val="4F81BD"/>
          <w:lang w:val="es-ES"/>
        </w:rPr>
      </w:pPr>
      <w:r w:rsidRPr="00F8275B">
        <w:rPr>
          <w:b w:val="0"/>
          <w:bCs/>
          <w:color w:val="4F81BD"/>
          <w:lang w:val="es-ES"/>
        </w:rPr>
        <w:t>Alianzas y promesas de contribución: 46</w:t>
      </w:r>
      <w:r w:rsidR="00A84AA8" w:rsidRPr="00F8275B">
        <w:rPr>
          <w:b w:val="0"/>
          <w:bCs/>
          <w:color w:val="4F81BD"/>
          <w:lang w:val="es-ES"/>
        </w:rPr>
        <w:t> </w:t>
      </w:r>
      <w:r w:rsidRPr="00F8275B">
        <w:rPr>
          <w:b w:val="0"/>
          <w:bCs/>
          <w:color w:val="4F81BD"/>
          <w:lang w:val="es-ES"/>
        </w:rPr>
        <w:t>000</w:t>
      </w:r>
      <w:r w:rsidR="00A84AA8" w:rsidRPr="00F8275B">
        <w:rPr>
          <w:b w:val="0"/>
          <w:bCs/>
          <w:color w:val="4F81BD"/>
          <w:lang w:val="es-ES"/>
        </w:rPr>
        <w:t> </w:t>
      </w:r>
      <w:r w:rsidRPr="00F8275B">
        <w:rPr>
          <w:b w:val="0"/>
          <w:bCs/>
          <w:color w:val="4F81BD"/>
          <w:lang w:val="es-ES"/>
        </w:rPr>
        <w:t>millones</w:t>
      </w:r>
      <w:r w:rsidR="00A84AA8" w:rsidRPr="00F8275B">
        <w:rPr>
          <w:b w:val="0"/>
          <w:bCs/>
          <w:color w:val="4F81BD"/>
          <w:lang w:val="es-ES"/>
        </w:rPr>
        <w:t> </w:t>
      </w:r>
      <w:r w:rsidRPr="00F8275B">
        <w:rPr>
          <w:b w:val="0"/>
          <w:bCs/>
          <w:color w:val="4F81BD"/>
          <w:lang w:val="es-ES"/>
        </w:rPr>
        <w:t>USD y recuento</w:t>
      </w:r>
    </w:p>
    <w:p w14:paraId="0C2E3A78" w14:textId="2B69B94F" w:rsidR="00CE6D77" w:rsidRPr="00F8275B" w:rsidRDefault="00CE6D77" w:rsidP="00CE6D77">
      <w:pPr>
        <w:rPr>
          <w:lang w:val="es-ES"/>
        </w:rPr>
      </w:pPr>
      <w:r w:rsidRPr="00F8275B">
        <w:rPr>
          <w:lang w:val="es-ES"/>
        </w:rPr>
        <w:t>Los compromisos de Partner2Connect (P2C) alcanzaron los 37</w:t>
      </w:r>
      <w:r w:rsidR="00901886" w:rsidRPr="00F8275B">
        <w:rPr>
          <w:lang w:val="es-ES"/>
        </w:rPr>
        <w:t> </w:t>
      </w:r>
      <w:r w:rsidRPr="00F8275B">
        <w:rPr>
          <w:lang w:val="es-ES"/>
        </w:rPr>
        <w:t>000</w:t>
      </w:r>
      <w:r w:rsidR="00901886" w:rsidRPr="00F8275B">
        <w:rPr>
          <w:lang w:val="es-ES"/>
        </w:rPr>
        <w:t> </w:t>
      </w:r>
      <w:r w:rsidRPr="00F8275B">
        <w:rPr>
          <w:lang w:val="es-ES"/>
        </w:rPr>
        <w:t>millones</w:t>
      </w:r>
      <w:r w:rsidR="00901886" w:rsidRPr="00F8275B">
        <w:rPr>
          <w:lang w:val="es-ES"/>
        </w:rPr>
        <w:t> </w:t>
      </w:r>
      <w:r w:rsidRPr="00F8275B">
        <w:rPr>
          <w:lang w:val="es-ES"/>
        </w:rPr>
        <w:t>USD a finales de</w:t>
      </w:r>
      <w:r w:rsidR="00A24614" w:rsidRPr="00F8275B">
        <w:rPr>
          <w:lang w:val="es-ES"/>
        </w:rPr>
        <w:t> </w:t>
      </w:r>
      <w:r w:rsidRPr="00F8275B">
        <w:rPr>
          <w:lang w:val="es-ES"/>
        </w:rPr>
        <w:t>2023 y los 46</w:t>
      </w:r>
      <w:r w:rsidR="00901886" w:rsidRPr="00F8275B">
        <w:rPr>
          <w:lang w:val="es-ES"/>
        </w:rPr>
        <w:t> </w:t>
      </w:r>
      <w:r w:rsidR="00A24614" w:rsidRPr="00F8275B">
        <w:rPr>
          <w:lang w:val="es-ES"/>
        </w:rPr>
        <w:t>000 </w:t>
      </w:r>
      <w:r w:rsidRPr="00F8275B">
        <w:rPr>
          <w:lang w:val="es-ES"/>
        </w:rPr>
        <w:t>millones</w:t>
      </w:r>
      <w:r w:rsidR="00901886" w:rsidRPr="00F8275B">
        <w:rPr>
          <w:lang w:val="es-ES"/>
        </w:rPr>
        <w:t> </w:t>
      </w:r>
      <w:r w:rsidRPr="00F8275B">
        <w:rPr>
          <w:lang w:val="es-ES"/>
        </w:rPr>
        <w:t xml:space="preserve">USD en marzo de 2024 gracias a nuevas promesas del sector de las telecomunicaciones móviles. En general, P2C experimentó un incremento del número de promesas de contribución (a pesar de que las cantidades eran menores), movilizando </w:t>
      </w:r>
      <w:r w:rsidR="005135A4" w:rsidRPr="00F8275B">
        <w:rPr>
          <w:lang w:val="es-ES"/>
        </w:rPr>
        <w:t xml:space="preserve">aproximadamente </w:t>
      </w:r>
      <w:r w:rsidRPr="00F8275B">
        <w:rPr>
          <w:lang w:val="es-ES"/>
        </w:rPr>
        <w:t>7</w:t>
      </w:r>
      <w:r w:rsidR="00901886" w:rsidRPr="00F8275B">
        <w:rPr>
          <w:lang w:val="es-ES"/>
        </w:rPr>
        <w:t> </w:t>
      </w:r>
      <w:r w:rsidRPr="00F8275B">
        <w:rPr>
          <w:lang w:val="es-ES"/>
        </w:rPr>
        <w:t>000</w:t>
      </w:r>
      <w:r w:rsidR="00901886" w:rsidRPr="00F8275B">
        <w:rPr>
          <w:lang w:val="es-ES"/>
        </w:rPr>
        <w:t> </w:t>
      </w:r>
      <w:r w:rsidRPr="00F8275B">
        <w:rPr>
          <w:lang w:val="es-ES"/>
        </w:rPr>
        <w:t>millones</w:t>
      </w:r>
      <w:r w:rsidR="00901886" w:rsidRPr="00F8275B">
        <w:rPr>
          <w:lang w:val="es-ES"/>
        </w:rPr>
        <w:t> </w:t>
      </w:r>
      <w:r w:rsidRPr="00F8275B">
        <w:rPr>
          <w:lang w:val="es-ES"/>
        </w:rPr>
        <w:t xml:space="preserve">USD </w:t>
      </w:r>
      <w:r w:rsidR="005135A4" w:rsidRPr="00F8275B">
        <w:rPr>
          <w:lang w:val="es-ES"/>
        </w:rPr>
        <w:t xml:space="preserve">en 2023 </w:t>
      </w:r>
      <w:r w:rsidRPr="00F8275B">
        <w:rPr>
          <w:lang w:val="es-ES"/>
        </w:rPr>
        <w:t xml:space="preserve">en proyectos </w:t>
      </w:r>
      <w:r w:rsidR="005135A4" w:rsidRPr="00F8275B">
        <w:rPr>
          <w:lang w:val="es-ES"/>
        </w:rPr>
        <w:t>destinados a lograr la</w:t>
      </w:r>
      <w:r w:rsidRPr="00F8275B">
        <w:rPr>
          <w:lang w:val="es-ES"/>
        </w:rPr>
        <w:t xml:space="preserve"> conectividad </w:t>
      </w:r>
      <w:r w:rsidR="005135A4" w:rsidRPr="00F8275B">
        <w:rPr>
          <w:lang w:val="es-ES"/>
        </w:rPr>
        <w:t>universal significativa y la transformación digital sostenible para todas las personas, en todos los lugares</w:t>
      </w:r>
      <w:r w:rsidRPr="00F8275B">
        <w:rPr>
          <w:lang w:val="es-ES"/>
        </w:rPr>
        <w:t>.</w:t>
      </w:r>
    </w:p>
    <w:p w14:paraId="6485C4BD" w14:textId="038B349C" w:rsidR="00CE6D77" w:rsidRPr="00F8275B" w:rsidRDefault="00CE6D77" w:rsidP="00CE6D77">
      <w:pPr>
        <w:rPr>
          <w:lang w:val="es-ES"/>
        </w:rPr>
      </w:pPr>
      <w:r w:rsidRPr="00F8275B">
        <w:rPr>
          <w:lang w:val="es-ES"/>
        </w:rPr>
        <w:t>La UIT sigue intensificando la cooperación entre los sectores público y privado para conectar a los 2</w:t>
      </w:r>
      <w:r w:rsidR="00901886" w:rsidRPr="00F8275B">
        <w:rPr>
          <w:lang w:val="es-ES"/>
        </w:rPr>
        <w:t> </w:t>
      </w:r>
      <w:r w:rsidRPr="00F8275B">
        <w:rPr>
          <w:lang w:val="es-ES"/>
        </w:rPr>
        <w:t>600</w:t>
      </w:r>
      <w:r w:rsidR="00901886" w:rsidRPr="00F8275B">
        <w:rPr>
          <w:lang w:val="es-ES"/>
        </w:rPr>
        <w:t> </w:t>
      </w:r>
      <w:r w:rsidRPr="00F8275B">
        <w:rPr>
          <w:lang w:val="es-ES"/>
        </w:rPr>
        <w:t xml:space="preserve">millones de personas que siguen sin conexión, y ha puesto sus miras en la movilización de promesas </w:t>
      </w:r>
      <w:r w:rsidR="005135A4" w:rsidRPr="00F8275B">
        <w:rPr>
          <w:lang w:val="es-ES"/>
        </w:rPr>
        <w:t xml:space="preserve">P2C </w:t>
      </w:r>
      <w:r w:rsidRPr="00F8275B">
        <w:rPr>
          <w:lang w:val="es-ES"/>
        </w:rPr>
        <w:t>de un valor de 100</w:t>
      </w:r>
      <w:r w:rsidR="00901886" w:rsidRPr="00F8275B">
        <w:rPr>
          <w:lang w:val="es-ES"/>
        </w:rPr>
        <w:t> </w:t>
      </w:r>
      <w:r w:rsidRPr="00F8275B">
        <w:rPr>
          <w:lang w:val="es-ES"/>
        </w:rPr>
        <w:t>000</w:t>
      </w:r>
      <w:r w:rsidR="00901886" w:rsidRPr="00F8275B">
        <w:rPr>
          <w:lang w:val="es-ES"/>
        </w:rPr>
        <w:t> </w:t>
      </w:r>
      <w:r w:rsidRPr="00F8275B">
        <w:rPr>
          <w:lang w:val="es-ES"/>
        </w:rPr>
        <w:t>millones</w:t>
      </w:r>
      <w:r w:rsidR="00901886" w:rsidRPr="00F8275B">
        <w:rPr>
          <w:lang w:val="es-ES"/>
        </w:rPr>
        <w:t> </w:t>
      </w:r>
      <w:r w:rsidRPr="00F8275B">
        <w:rPr>
          <w:lang w:val="es-ES"/>
        </w:rPr>
        <w:t>USD para 2026.</w:t>
      </w:r>
    </w:p>
    <w:p w14:paraId="7AD97ADF" w14:textId="77777777" w:rsidR="00CE6D77" w:rsidRPr="00F8275B" w:rsidRDefault="00CE6D77" w:rsidP="008E064D">
      <w:pPr>
        <w:pStyle w:val="Headingb"/>
        <w:rPr>
          <w:b w:val="0"/>
          <w:bCs/>
          <w:color w:val="4F81BD"/>
          <w:lang w:val="es-ES"/>
        </w:rPr>
      </w:pPr>
      <w:r w:rsidRPr="00F8275B">
        <w:rPr>
          <w:b w:val="0"/>
          <w:bCs/>
          <w:color w:val="4F81BD"/>
          <w:lang w:val="es-ES"/>
        </w:rPr>
        <w:lastRenderedPageBreak/>
        <w:t>Gestión del espectro en la Tierra y el espacio</w:t>
      </w:r>
    </w:p>
    <w:p w14:paraId="044BB2A7" w14:textId="77777777" w:rsidR="00CE6D77" w:rsidRPr="00F8275B" w:rsidRDefault="00CE6D77" w:rsidP="007560BC">
      <w:pPr>
        <w:keepNext/>
        <w:keepLines/>
        <w:rPr>
          <w:lang w:val="es-ES"/>
        </w:rPr>
      </w:pPr>
      <w:r w:rsidRPr="00F8275B">
        <w:rPr>
          <w:lang w:val="es-ES"/>
        </w:rPr>
        <w:t>Como organismo custodio del tratado internacional del Reglamento de Radiocomunicaciones, la UIT coordina el uso del espectro de radiofrecuencias y de las órbitas de satélite. Esto también hace que la organización sea una plataforma fundamental para la cooperación sobre los bienes espaciales vitales. En consecuencia, la UIT ayuda a promover la sostenibilidad tanto en el espacio como desde el espacio.</w:t>
      </w:r>
    </w:p>
    <w:p w14:paraId="67116B09" w14:textId="5D4053EF" w:rsidR="00CE6D77" w:rsidRPr="00F8275B" w:rsidRDefault="00CE6D77" w:rsidP="007560BC">
      <w:pPr>
        <w:rPr>
          <w:lang w:val="es-ES"/>
        </w:rPr>
      </w:pPr>
      <w:r w:rsidRPr="00F8275B">
        <w:rPr>
          <w:lang w:val="es-ES"/>
        </w:rPr>
        <w:t>La Oficina de Radiocomunicaciones (BR) de la UIT tramitó 5</w:t>
      </w:r>
      <w:r w:rsidR="00901886" w:rsidRPr="00F8275B">
        <w:rPr>
          <w:lang w:val="es-ES"/>
        </w:rPr>
        <w:t> </w:t>
      </w:r>
      <w:r w:rsidRPr="00F8275B">
        <w:rPr>
          <w:lang w:val="es-ES"/>
        </w:rPr>
        <w:t>556</w:t>
      </w:r>
      <w:r w:rsidR="00901886" w:rsidRPr="00F8275B">
        <w:rPr>
          <w:lang w:val="es-ES"/>
        </w:rPr>
        <w:t> </w:t>
      </w:r>
      <w:r w:rsidRPr="00F8275B">
        <w:rPr>
          <w:lang w:val="es-ES"/>
        </w:rPr>
        <w:t>solicitudes de coordinación y notificación entre 2019 y 2023, junto con 506</w:t>
      </w:r>
      <w:r w:rsidR="00901886" w:rsidRPr="00F8275B">
        <w:rPr>
          <w:lang w:val="es-ES"/>
        </w:rPr>
        <w:t> </w:t>
      </w:r>
      <w:r w:rsidRPr="00F8275B">
        <w:rPr>
          <w:lang w:val="es-ES"/>
        </w:rPr>
        <w:t>planes de radiodifusión por satélite y 281</w:t>
      </w:r>
      <w:r w:rsidR="00901886" w:rsidRPr="00F8275B">
        <w:rPr>
          <w:lang w:val="es-ES"/>
        </w:rPr>
        <w:t> </w:t>
      </w:r>
      <w:r w:rsidRPr="00F8275B">
        <w:rPr>
          <w:lang w:val="es-ES"/>
        </w:rPr>
        <w:t>planes del servicio fijo por satélite. Se registraron 5</w:t>
      </w:r>
      <w:r w:rsidR="00901886" w:rsidRPr="00F8275B">
        <w:rPr>
          <w:lang w:val="es-ES"/>
        </w:rPr>
        <w:t> </w:t>
      </w:r>
      <w:r w:rsidRPr="00F8275B">
        <w:rPr>
          <w:lang w:val="es-ES"/>
        </w:rPr>
        <w:t>536</w:t>
      </w:r>
      <w:r w:rsidR="00901886" w:rsidRPr="00F8275B">
        <w:rPr>
          <w:lang w:val="es-ES"/>
        </w:rPr>
        <w:t> </w:t>
      </w:r>
      <w:r w:rsidRPr="00F8275B">
        <w:rPr>
          <w:lang w:val="es-ES"/>
        </w:rPr>
        <w:t>notificaciones terrenales en total. Las mejoras de los programas informáticos agilizaron la coordinación, la migración de las bases de datos y la modernización de los programas en el Sector de Radiocomunicaciones de la UIT (UIT-R).</w:t>
      </w:r>
    </w:p>
    <w:p w14:paraId="22442538" w14:textId="4082B354" w:rsidR="00CE6D77" w:rsidRPr="00F8275B" w:rsidRDefault="00CE6D77" w:rsidP="00CE6D77">
      <w:pPr>
        <w:rPr>
          <w:lang w:val="es-ES"/>
        </w:rPr>
      </w:pPr>
      <w:r w:rsidRPr="00F8275B">
        <w:rPr>
          <w:lang w:val="es-ES"/>
        </w:rPr>
        <w:t>Algunos de los avances en los servicios terrenales fueron la finali</w:t>
      </w:r>
      <w:r w:rsidR="005135A4" w:rsidRPr="00F8275B">
        <w:rPr>
          <w:lang w:val="es-ES"/>
        </w:rPr>
        <w:t>zación del proyecto geoespacial y</w:t>
      </w:r>
      <w:r w:rsidRPr="00F8275B">
        <w:rPr>
          <w:lang w:val="es-ES"/>
        </w:rPr>
        <w:t xml:space="preserve"> la modernización de las Pub</w:t>
      </w:r>
      <w:r w:rsidR="005135A4" w:rsidRPr="00F8275B">
        <w:rPr>
          <w:lang w:val="es-ES"/>
        </w:rPr>
        <w:t xml:space="preserve">licaciones del Servicio </w:t>
      </w:r>
      <w:r w:rsidR="00F8275B" w:rsidRPr="00F8275B">
        <w:rPr>
          <w:lang w:val="es-ES"/>
        </w:rPr>
        <w:t>Marítimo</w:t>
      </w:r>
      <w:r w:rsidRPr="00F8275B">
        <w:rPr>
          <w:lang w:val="es-ES"/>
        </w:rPr>
        <w:t>. La hoja de ruta de los sistemas de información espacial de la</w:t>
      </w:r>
      <w:r w:rsidR="00901886" w:rsidRPr="00F8275B">
        <w:rPr>
          <w:lang w:val="es-ES"/>
        </w:rPr>
        <w:t> </w:t>
      </w:r>
      <w:r w:rsidRPr="00F8275B">
        <w:rPr>
          <w:lang w:val="es-ES"/>
        </w:rPr>
        <w:t>BR, iniciada en 2019 por el Grupo Asesor de Radiocomunicaciones (GAR-19) experimentó avances. Las aplicaciones del UIT-R relacionadas con el espacio mejoraron con la implementación del sistema de notificaciones y comunicaciones electrónicas, mientras que la Circular Internacional de Información sobre Frecuencias (BR</w:t>
      </w:r>
      <w:r w:rsidR="00BC3BB0" w:rsidRPr="00F8275B">
        <w:rPr>
          <w:lang w:val="es-ES"/>
        </w:rPr>
        <w:t> </w:t>
      </w:r>
      <w:r w:rsidRPr="00F8275B">
        <w:rPr>
          <w:lang w:val="es-ES"/>
        </w:rPr>
        <w:t>IFIC) de la Oficina de Radiocomunicaciones se desplazó a una plataforma en línea, mejorando la eficacia operativa.</w:t>
      </w:r>
    </w:p>
    <w:p w14:paraId="2B548CDE" w14:textId="77777777" w:rsidR="00CE6D77" w:rsidRPr="00F8275B" w:rsidRDefault="00CE6D77" w:rsidP="008E064D">
      <w:pPr>
        <w:pStyle w:val="Headingb"/>
        <w:rPr>
          <w:b w:val="0"/>
          <w:bCs/>
          <w:color w:val="4F81BD"/>
          <w:lang w:val="es-ES"/>
        </w:rPr>
      </w:pPr>
      <w:r w:rsidRPr="00F8275B">
        <w:rPr>
          <w:b w:val="0"/>
          <w:bCs/>
          <w:color w:val="4F81BD"/>
          <w:lang w:val="es-ES"/>
        </w:rPr>
        <w:t>Logro de la conectividad efectiva</w:t>
      </w:r>
    </w:p>
    <w:p w14:paraId="65ACEAFA" w14:textId="34BE0336" w:rsidR="00CE6D77" w:rsidRPr="00F8275B" w:rsidRDefault="00CE6D77" w:rsidP="00CE6D77">
      <w:pPr>
        <w:rPr>
          <w:lang w:val="es-ES"/>
        </w:rPr>
      </w:pPr>
      <w:r w:rsidRPr="00F8275B">
        <w:rPr>
          <w:lang w:val="es-ES"/>
        </w:rPr>
        <w:t>En todo el mundo en 2023, se estima que unos 2</w:t>
      </w:r>
      <w:r w:rsidR="00A84AA8" w:rsidRPr="00F8275B">
        <w:rPr>
          <w:lang w:val="es-ES"/>
        </w:rPr>
        <w:t> </w:t>
      </w:r>
      <w:r w:rsidRPr="00F8275B">
        <w:rPr>
          <w:lang w:val="es-ES"/>
        </w:rPr>
        <w:t>600</w:t>
      </w:r>
      <w:r w:rsidR="00A84AA8" w:rsidRPr="00F8275B">
        <w:rPr>
          <w:lang w:val="es-ES"/>
        </w:rPr>
        <w:t> </w:t>
      </w:r>
      <w:r w:rsidRPr="00F8275B">
        <w:rPr>
          <w:lang w:val="es-ES"/>
        </w:rPr>
        <w:t xml:space="preserve">millones de personas seguían viviendo sin acceso a Internet. La UIT está trabajando duro para </w:t>
      </w:r>
      <w:r w:rsidR="005135A4" w:rsidRPr="00F8275B">
        <w:rPr>
          <w:lang w:val="es-ES"/>
        </w:rPr>
        <w:t xml:space="preserve">facilitar </w:t>
      </w:r>
      <w:r w:rsidRPr="00F8275B">
        <w:rPr>
          <w:lang w:val="es-ES"/>
        </w:rPr>
        <w:t>que todos tengan dicho acceso. Junto con la promoción de la mejora de las infraestructuras, la organización se está esforzando por garantizar que todas las personas tengan las competencias y opciones de contenido fundamentales para que la conectividad sea efectiva.</w:t>
      </w:r>
    </w:p>
    <w:p w14:paraId="2BBE733A" w14:textId="05D19D2B" w:rsidR="00E85E84" w:rsidRPr="00F8275B" w:rsidRDefault="00E85E84" w:rsidP="00765A16">
      <w:pPr>
        <w:rPr>
          <w:lang w:val="es-ES"/>
        </w:rPr>
      </w:pPr>
      <w:r w:rsidRPr="00F8275B">
        <w:rPr>
          <w:lang w:val="es-ES"/>
        </w:rPr>
        <w:t xml:space="preserve">La UIT sigue comprometida con la incorporación de las prácticas en materia de diversidad e inclusión en </w:t>
      </w:r>
      <w:r w:rsidR="005135A4" w:rsidRPr="00F8275B">
        <w:rPr>
          <w:lang w:val="es-ES"/>
        </w:rPr>
        <w:t>su labor</w:t>
      </w:r>
      <w:r w:rsidRPr="00F8275B">
        <w:rPr>
          <w:lang w:val="es-ES"/>
        </w:rPr>
        <w:t>. Para conseguir sus objetivos, la UIT trabaja para reducir la brecha digital y construir una sociedad digital inclusiva, fomentando el acceso a las telecomunicaciones/TIC, su asequibilidad y su utilización en todos los países y para todas las personas,</w:t>
      </w:r>
      <w:r w:rsidR="00A55B05" w:rsidRPr="00F8275B">
        <w:rPr>
          <w:lang w:val="es-ES"/>
        </w:rPr>
        <w:t xml:space="preserve"> </w:t>
      </w:r>
      <w:r w:rsidRPr="00F8275B">
        <w:rPr>
          <w:lang w:val="es-ES"/>
        </w:rPr>
        <w:t>en particular las mujeres y niñas, los jóvenes, los pueblos indígenas, las personas de edad, las personas con discapacidad y las personas con necesidades especiales.</w:t>
      </w:r>
    </w:p>
    <w:p w14:paraId="35BF59DA" w14:textId="77777777" w:rsidR="00CE6D77" w:rsidRPr="00F8275B" w:rsidRDefault="00CE6D77" w:rsidP="00CE6D77">
      <w:pPr>
        <w:rPr>
          <w:lang w:val="es-ES"/>
        </w:rPr>
      </w:pPr>
      <w:r w:rsidRPr="00F8275B">
        <w:rPr>
          <w:lang w:val="es-ES"/>
        </w:rPr>
        <w:t>Los esfuerzos relativos a la inclusión digital se centran en la igualdad de género, dado que las mujeres siguen afrontando tasas de desconexión desproporcionadas y un menor índice de posesión de teléfonos móviles. Las iniciativas de la UIT como el Día Internacional de las Niñas en las TIC y las Redes de Mujeres (NOW) tienen por objeto reducir esta disparidad por conducto de formaciones y mentorías, que fomentan la representación femenina en los cargos directivos.</w:t>
      </w:r>
    </w:p>
    <w:p w14:paraId="618CF03E" w14:textId="2F0EB072" w:rsidR="00E85E84" w:rsidRPr="00F8275B" w:rsidRDefault="00CE6D77" w:rsidP="00CB6042">
      <w:pPr>
        <w:rPr>
          <w:lang w:val="es-ES"/>
        </w:rPr>
      </w:pPr>
      <w:r w:rsidRPr="00F8275B">
        <w:rPr>
          <w:lang w:val="es-ES"/>
        </w:rPr>
        <w:t xml:space="preserve">También se hace énfasis en la participación de los jóvenes, y en el Caleidoscopio de la UIT 2024 se incluyen sesiones para apoyar la participación de la nueva generación en la elaboración de normas. </w:t>
      </w:r>
      <w:r w:rsidR="00E85E84" w:rsidRPr="00F8275B">
        <w:rPr>
          <w:lang w:val="es-ES"/>
        </w:rPr>
        <w:t xml:space="preserve">En 2023, prosiguió la labor sobre </w:t>
      </w:r>
      <w:hyperlink r:id="rId19" w:history="1">
        <w:r w:rsidR="00E85E84" w:rsidRPr="00F8275B">
          <w:rPr>
            <w:rStyle w:val="Hyperlink"/>
            <w:lang w:val="es-ES"/>
          </w:rPr>
          <w:t>Generation Connect</w:t>
        </w:r>
      </w:hyperlink>
      <w:r w:rsidR="00E85E84" w:rsidRPr="00F8275B">
        <w:rPr>
          <w:lang w:val="es-ES"/>
        </w:rPr>
        <w:t xml:space="preserve"> </w:t>
      </w:r>
      <w:r w:rsidR="00CB6042" w:rsidRPr="00F8275B">
        <w:rPr>
          <w:lang w:val="es-ES"/>
        </w:rPr>
        <w:t>−</w:t>
      </w:r>
      <w:r w:rsidR="00E85E84" w:rsidRPr="00F8275B">
        <w:rPr>
          <w:lang w:val="es-ES"/>
        </w:rPr>
        <w:t>la iniciativa general de la Estrategia de la UIT para la Juventud, que tiene por objeto dar voz a los jóvenes en el diálogo sobre desarrollo digital</w:t>
      </w:r>
      <w:r w:rsidR="00CB6042" w:rsidRPr="00F8275B">
        <w:rPr>
          <w:lang w:val="es-ES"/>
        </w:rPr>
        <w:t>−</w:t>
      </w:r>
      <w:r w:rsidR="00E85E84" w:rsidRPr="00F8275B">
        <w:rPr>
          <w:lang w:val="es-ES"/>
        </w:rPr>
        <w:t xml:space="preserve"> ordenada mediante la actualización de la Resolución 76 (</w:t>
      </w:r>
      <w:r w:rsidR="005135A4" w:rsidRPr="00F8275B">
        <w:rPr>
          <w:lang w:val="es-ES"/>
        </w:rPr>
        <w:t xml:space="preserve">Rev. </w:t>
      </w:r>
      <w:r w:rsidR="00E85E84" w:rsidRPr="00F8275B">
        <w:rPr>
          <w:lang w:val="es-ES"/>
        </w:rPr>
        <w:t xml:space="preserve">Kigali, 2022) de la </w:t>
      </w:r>
      <w:r w:rsidR="005135A4" w:rsidRPr="00F8275B">
        <w:rPr>
          <w:lang w:val="es-ES"/>
        </w:rPr>
        <w:t xml:space="preserve">Conferencia Mundial de Desarrollo de las Telecomunicaciones </w:t>
      </w:r>
      <w:r w:rsidR="005135A4" w:rsidRPr="00F8275B">
        <w:rPr>
          <w:lang w:val="es-ES"/>
        </w:rPr>
        <w:lastRenderedPageBreak/>
        <w:t>(</w:t>
      </w:r>
      <w:r w:rsidR="00E85E84" w:rsidRPr="00F8275B">
        <w:rPr>
          <w:lang w:val="es-ES"/>
        </w:rPr>
        <w:t>CMDT</w:t>
      </w:r>
      <w:r w:rsidR="005135A4" w:rsidRPr="00F8275B">
        <w:rPr>
          <w:lang w:val="es-ES"/>
        </w:rPr>
        <w:t>)</w:t>
      </w:r>
      <w:r w:rsidR="00E85E84" w:rsidRPr="00F8275B">
        <w:rPr>
          <w:lang w:val="es-ES"/>
        </w:rPr>
        <w:t xml:space="preserve"> y la Resolución 198 (</w:t>
      </w:r>
      <w:r w:rsidR="005135A4" w:rsidRPr="00F8275B">
        <w:rPr>
          <w:lang w:val="es-ES"/>
        </w:rPr>
        <w:t xml:space="preserve">Rev. </w:t>
      </w:r>
      <w:r w:rsidR="00E85E84" w:rsidRPr="00F8275B">
        <w:rPr>
          <w:lang w:val="es-ES"/>
        </w:rPr>
        <w:t xml:space="preserve">Bucarest, 2022) de la </w:t>
      </w:r>
      <w:r w:rsidR="005135A4" w:rsidRPr="00F8275B">
        <w:rPr>
          <w:lang w:val="es-ES"/>
        </w:rPr>
        <w:t>Conferencia de Plenipotenciarios (</w:t>
      </w:r>
      <w:r w:rsidR="00E85E84" w:rsidRPr="00F8275B">
        <w:rPr>
          <w:lang w:val="es-ES"/>
        </w:rPr>
        <w:t>PP</w:t>
      </w:r>
      <w:r w:rsidR="005135A4" w:rsidRPr="00F8275B">
        <w:rPr>
          <w:lang w:val="es-ES"/>
        </w:rPr>
        <w:t>)</w:t>
      </w:r>
      <w:r w:rsidR="00E85E84" w:rsidRPr="00F8275B">
        <w:rPr>
          <w:lang w:val="es-ES"/>
        </w:rPr>
        <w:t>.</w:t>
      </w:r>
    </w:p>
    <w:p w14:paraId="08E6E2A8" w14:textId="66F0CE6B" w:rsidR="00CE6D77" w:rsidRPr="00F8275B" w:rsidRDefault="00CE6D77" w:rsidP="00765A16">
      <w:pPr>
        <w:pStyle w:val="Normalaftertitle"/>
        <w:rPr>
          <w:lang w:val="es-ES"/>
        </w:rPr>
      </w:pPr>
      <w:r w:rsidRPr="00F8275B">
        <w:rPr>
          <w:lang w:val="es-ES"/>
        </w:rPr>
        <w:t>Los esfuerzos en materia de accesibilidad se destinan a las personas con discapacidad, promoviendo la sensibilización y la incorporación de la accesibilidad en las normas m</w:t>
      </w:r>
      <w:r w:rsidR="00AD2E70" w:rsidRPr="00F8275B">
        <w:rPr>
          <w:lang w:val="es-ES"/>
        </w:rPr>
        <w:t xml:space="preserve">ediante publicaciones revisadas. Además, durante el periodo sobre el que se informa, muchos Miembros de la UIT, partes interesadas y participantes reforzaron sus conocimientos en materia de accesibilidad de las TIC/digital mediante diversas actividades. El </w:t>
      </w:r>
      <w:hyperlink r:id="rId20" w:history="1">
        <w:r w:rsidR="00AD2E70" w:rsidRPr="00F8275B">
          <w:rPr>
            <w:rStyle w:val="Hyperlink"/>
            <w:lang w:val="es-ES"/>
          </w:rPr>
          <w:t>UIT-D</w:t>
        </w:r>
      </w:hyperlink>
      <w:r w:rsidR="00AD2E70" w:rsidRPr="00F8275B">
        <w:rPr>
          <w:lang w:val="es-ES"/>
        </w:rPr>
        <w:t xml:space="preserve"> proporcionó asesoramiento especializado en materia de accesibilidad de las TIC para apoyar los esfuerzos de los Miembros de la UIT para fomentar la inclusión digital mediante la formación ejecutiva de los responsables de regionales de la formulación de políticas y la toma de decisiones.</w:t>
      </w:r>
    </w:p>
    <w:p w14:paraId="1C91EE12" w14:textId="27A0B642" w:rsidR="00CE6D77" w:rsidRPr="00F8275B" w:rsidRDefault="00CE6D77" w:rsidP="00CE6D77">
      <w:pPr>
        <w:rPr>
          <w:lang w:val="es-ES"/>
        </w:rPr>
      </w:pPr>
      <w:r w:rsidRPr="00F8275B">
        <w:rPr>
          <w:lang w:val="es-ES"/>
        </w:rPr>
        <w:t>A nivel interno, se ha creado un Grupo de Tareas Especiales para la Juventud a fin de promover la participación activa y el desarrollo positivo de los jóvenes en la Organización. La Secretaria General también ha constituido una Junta de Jóvenes Asesores formada por 12</w:t>
      </w:r>
      <w:r w:rsidR="00901886" w:rsidRPr="00F8275B">
        <w:rPr>
          <w:lang w:val="es-ES"/>
        </w:rPr>
        <w:t> </w:t>
      </w:r>
      <w:r w:rsidRPr="00F8275B">
        <w:rPr>
          <w:lang w:val="es-ES"/>
        </w:rPr>
        <w:t xml:space="preserve">jóvenes expertos de todo el mundo, que </w:t>
      </w:r>
      <w:r w:rsidR="00147AC3" w:rsidRPr="00F8275B">
        <w:rPr>
          <w:lang w:val="es-ES"/>
        </w:rPr>
        <w:t>están ofreciendo</w:t>
      </w:r>
      <w:r w:rsidRPr="00F8275B">
        <w:rPr>
          <w:lang w:val="es-ES"/>
        </w:rPr>
        <w:t xml:space="preserve"> diversas perspectivas de jóvenes y recomendaciones concretas para mejorar la cooperación mundial en materia de reducción de la brecha digital.</w:t>
      </w:r>
    </w:p>
    <w:p w14:paraId="10D96AEE" w14:textId="259A68F5" w:rsidR="00AD2E70" w:rsidRPr="00F8275B" w:rsidRDefault="00AD2E70" w:rsidP="00CE6D77">
      <w:pPr>
        <w:rPr>
          <w:lang w:val="es-ES"/>
        </w:rPr>
      </w:pPr>
      <w:r w:rsidRPr="00F8275B">
        <w:rPr>
          <w:lang w:val="es-ES"/>
        </w:rPr>
        <w:t>El programa de Reducción de la Brecha de Normalización siguió ofreciendo formación y becas para mejorar la participación a nivel mundial.</w:t>
      </w:r>
    </w:p>
    <w:p w14:paraId="2566F45E" w14:textId="77777777" w:rsidR="00CE6D77" w:rsidRPr="00F8275B" w:rsidRDefault="00CE6D77" w:rsidP="00CE6D77">
      <w:pPr>
        <w:pStyle w:val="Headingb"/>
        <w:rPr>
          <w:b w:val="0"/>
          <w:bCs/>
          <w:color w:val="4F81BD"/>
          <w:lang w:val="es-ES"/>
        </w:rPr>
      </w:pPr>
      <w:r w:rsidRPr="00F8275B">
        <w:rPr>
          <w:b w:val="0"/>
          <w:bCs/>
          <w:color w:val="4F81BD"/>
          <w:lang w:val="es-ES"/>
        </w:rPr>
        <w:t>Lograr la transformación digital sostenible</w:t>
      </w:r>
    </w:p>
    <w:p w14:paraId="79B98D17" w14:textId="77777777" w:rsidR="00CE6D77" w:rsidRPr="00F8275B" w:rsidRDefault="00CE6D77" w:rsidP="008E064D">
      <w:pPr>
        <w:rPr>
          <w:lang w:val="es-ES"/>
        </w:rPr>
      </w:pPr>
      <w:r w:rsidRPr="00F8275B">
        <w:rPr>
          <w:lang w:val="es-ES"/>
        </w:rPr>
        <w:t>Las tecnologías digitales ofrecen la posibilidad de acelerar el avance socioeconómico y permitir que todas las personas, en todos los lugares, construyan un futuro mejor. La UIT se ha unido a asociados de todo el sistema de las Naciones Unidas y fuera de él para promover la transformación digital en línea con los Objetivos de Desarrollo Sostenible de las Naciones Unidas y ayudar a cumplir la promesa de la Agenda 2030.</w:t>
      </w:r>
    </w:p>
    <w:p w14:paraId="4A18B802" w14:textId="0C424830" w:rsidR="00147AC3" w:rsidRPr="00F8275B" w:rsidRDefault="00147AC3" w:rsidP="008E064D">
      <w:pPr>
        <w:rPr>
          <w:lang w:val="es-ES"/>
        </w:rPr>
      </w:pPr>
      <w:r w:rsidRPr="00F8275B">
        <w:rPr>
          <w:lang w:val="es-ES"/>
        </w:rPr>
        <w:t>A pesar de la intensificación de los esfuerzos de la UIT, aún deben frenarse las emisiones de gases de efecto invernadero (GEI) y los residuos electrónicos.</w:t>
      </w:r>
    </w:p>
    <w:p w14:paraId="5E66AE7A" w14:textId="77777777" w:rsidR="00CE6D77" w:rsidRPr="00F8275B" w:rsidRDefault="00CE6D77" w:rsidP="008E064D">
      <w:pPr>
        <w:pStyle w:val="Headingb"/>
        <w:rPr>
          <w:b w:val="0"/>
          <w:bCs/>
          <w:color w:val="4F81BD"/>
          <w:lang w:val="es-ES"/>
        </w:rPr>
      </w:pPr>
      <w:r w:rsidRPr="00F8275B">
        <w:rPr>
          <w:b w:val="0"/>
          <w:bCs/>
          <w:color w:val="4F81BD"/>
          <w:lang w:val="es-ES"/>
        </w:rPr>
        <w:t>El aprovechamiento de la IA para la humanidad</w:t>
      </w:r>
    </w:p>
    <w:p w14:paraId="5B7CCAA8" w14:textId="5D777036" w:rsidR="00147AC3" w:rsidRPr="00F8275B" w:rsidRDefault="00CE6D77" w:rsidP="00CE6D77">
      <w:pPr>
        <w:rPr>
          <w:lang w:val="es-ES"/>
        </w:rPr>
      </w:pPr>
      <w:r w:rsidRPr="00F8275B">
        <w:rPr>
          <w:lang w:val="es-ES"/>
        </w:rPr>
        <w:t>En 2023, el rápido crecimiento de la IA se convirtió en una preocupación mundial, que llevó a la UIT a actuar como foro esencial para los debates sobre el aprovechamiento de la IA para el beneficio colectivo de la humanidad. La IA alberga la promesa de incidir positivamente en 134</w:t>
      </w:r>
      <w:r w:rsidR="00901886" w:rsidRPr="00F8275B">
        <w:rPr>
          <w:lang w:val="es-ES"/>
        </w:rPr>
        <w:t> </w:t>
      </w:r>
      <w:r w:rsidRPr="00F8275B">
        <w:rPr>
          <w:lang w:val="es-ES"/>
        </w:rPr>
        <w:t>metas de todos los 17</w:t>
      </w:r>
      <w:r w:rsidR="00A84AA8" w:rsidRPr="00F8275B">
        <w:rPr>
          <w:lang w:val="es-ES"/>
        </w:rPr>
        <w:t> </w:t>
      </w:r>
      <w:r w:rsidRPr="00F8275B">
        <w:rPr>
          <w:lang w:val="es-ES"/>
        </w:rPr>
        <w:t>Objetivos de Desarrollo Sostenible.</w:t>
      </w:r>
    </w:p>
    <w:p w14:paraId="588AB4A1" w14:textId="00C92309" w:rsidR="00CE6D77" w:rsidRPr="00F8275B" w:rsidRDefault="00CE6D77" w:rsidP="00CE6D77">
      <w:pPr>
        <w:rPr>
          <w:lang w:val="es-ES"/>
        </w:rPr>
      </w:pPr>
      <w:r w:rsidRPr="00F8275B">
        <w:rPr>
          <w:lang w:val="es-ES"/>
        </w:rPr>
        <w:t>La plataforma AI for Good de la UIT constituye un lugar único que armoniza la tecnología con los objetivos humanitarios y de sostenibilidad, como lo demuestra Cumbre Mundial "AI for Good". La cumbre de 2023, coorganizada con 40</w:t>
      </w:r>
      <w:r w:rsidR="00BC3BB0" w:rsidRPr="00F8275B">
        <w:rPr>
          <w:lang w:val="es-ES"/>
        </w:rPr>
        <w:t> </w:t>
      </w:r>
      <w:r w:rsidRPr="00F8275B">
        <w:rPr>
          <w:lang w:val="es-ES"/>
        </w:rPr>
        <w:t>organismos de las Naciones Unidas y Suiza, marcó un regreso a las reuniones de alto perfil tras la pandemia de COVID-19. La primera conferencia de prensa con robots humanoides hizo que el público se interesase por esta creciente esfera de la labor de la UIT, y demostró también el potencial de la IA para impulsar el desarrollo sostenible. Los concursos relativos a la IA y el aprendizaje automático pusieron de manifiesto el potencial de la IA y el valor de la labor de normalización de la UIT.</w:t>
      </w:r>
    </w:p>
    <w:p w14:paraId="5C405915" w14:textId="77777777" w:rsidR="00CE6D77" w:rsidRPr="00F8275B" w:rsidRDefault="00CE6D77" w:rsidP="007560BC">
      <w:pPr>
        <w:keepNext/>
        <w:keepLines/>
        <w:spacing w:after="240"/>
        <w:rPr>
          <w:lang w:val="es-ES"/>
        </w:rPr>
      </w:pPr>
      <w:r w:rsidRPr="00F8275B">
        <w:rPr>
          <w:lang w:val="es-ES"/>
        </w:rPr>
        <w:lastRenderedPageBreak/>
        <w:t>Al mismo tiempo, reconociendo los riesgos de la IA, la UIT ha abogado por la colaboración entre los gobiernos, el sector privado y los organismos de las Naciones Unidas para definir normas internacionales. La plataforma neutra de la UIT fomenta la comprensión y orienta las políticas sobre las tecnologías emergentes de IA. Dado que la UIT continúa haciendo frente a desafíos en evolución, sigue contribuyendo de manera fundamental a los esfuerzos de las Naciones Unidas para aprovechar la IA a favor de los Objetivos de Desarrollo Sostenible.</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AD2E70" w:rsidRPr="00F8275B" w14:paraId="7DB11FFD" w14:textId="77777777" w:rsidTr="00765A16">
        <w:trPr>
          <w:jc w:val="center"/>
        </w:trPr>
        <w:tc>
          <w:tcPr>
            <w:tcW w:w="9061" w:type="dxa"/>
          </w:tcPr>
          <w:p w14:paraId="606BF82B" w14:textId="77777777" w:rsidR="00AD2E70" w:rsidRPr="00F8275B" w:rsidRDefault="00AD2E70" w:rsidP="00233F8E">
            <w:pPr>
              <w:keepNext/>
              <w:keepLines/>
              <w:jc w:val="center"/>
              <w:rPr>
                <w:b/>
                <w:bCs/>
                <w:sz w:val="28"/>
                <w:szCs w:val="28"/>
                <w:lang w:val="es-ES"/>
              </w:rPr>
            </w:pPr>
            <w:r w:rsidRPr="00F8275B">
              <w:rPr>
                <w:b/>
                <w:bCs/>
                <w:sz w:val="28"/>
                <w:szCs w:val="28"/>
                <w:lang w:val="es-ES"/>
              </w:rPr>
              <w:t>Historia de impacto</w:t>
            </w:r>
          </w:p>
          <w:p w14:paraId="32A161AB" w14:textId="7CB271C1" w:rsidR="00AD2E70" w:rsidRPr="00F8275B" w:rsidRDefault="00396F88" w:rsidP="00173444">
            <w:pPr>
              <w:pStyle w:val="Headingb"/>
              <w:rPr>
                <w:lang w:val="es-ES"/>
              </w:rPr>
            </w:pPr>
            <w:r w:rsidRPr="00F8275B">
              <w:rPr>
                <w:lang w:val="es-ES"/>
              </w:rPr>
              <w:t>Análisis por ultrasonido mejorado por la IA</w:t>
            </w:r>
          </w:p>
          <w:p w14:paraId="742CBD7A" w14:textId="5E940327" w:rsidR="00AD2E70" w:rsidRPr="00F8275B" w:rsidRDefault="00396F88" w:rsidP="00765A16">
            <w:pPr>
              <w:rPr>
                <w:lang w:val="es-ES"/>
              </w:rPr>
            </w:pPr>
            <w:r w:rsidRPr="00F8275B">
              <w:rPr>
                <w:lang w:val="es-ES"/>
              </w:rPr>
              <w:t>La solución de ultrasonido mejorada por la IA, ganadora de la Fábrica de Innovación, ha ofrecido una plataforma pionera para analizar a las pacientes embarazadas y reducir la prematuridad.</w:t>
            </w:r>
            <w:r w:rsidR="00AD2E70" w:rsidRPr="00F8275B">
              <w:rPr>
                <w:lang w:val="es-ES"/>
              </w:rPr>
              <w:t xml:space="preserve"> </w:t>
            </w:r>
            <w:r w:rsidRPr="00F8275B">
              <w:rPr>
                <w:lang w:val="es-ES"/>
              </w:rPr>
              <w:t>La solución de la</w:t>
            </w:r>
            <w:r w:rsidR="00A55B05" w:rsidRPr="00F8275B">
              <w:rPr>
                <w:lang w:val="es-ES"/>
              </w:rPr>
              <w:t xml:space="preserve"> </w:t>
            </w:r>
            <w:r w:rsidRPr="00F8275B">
              <w:rPr>
                <w:lang w:val="es-ES"/>
              </w:rPr>
              <w:t xml:space="preserve">nueva empresa dirigida por mujeres destaca la manera en que la inteligencia artificial (IA) puede mejorar la salud humana. </w:t>
            </w:r>
            <w:r w:rsidR="00765A16" w:rsidRPr="00F8275B">
              <w:rPr>
                <w:lang w:val="es-ES"/>
              </w:rPr>
              <w:t>"</w:t>
            </w:r>
            <w:r w:rsidRPr="00F8275B">
              <w:rPr>
                <w:lang w:val="es-ES"/>
              </w:rPr>
              <w:t>Las mujeres y los bebés merecen recibir atención sanitaria de calidad, y eso es lo que estamos procurando hacer</w:t>
            </w:r>
            <w:r w:rsidR="00765A16" w:rsidRPr="00F8275B">
              <w:rPr>
                <w:lang w:val="es-ES"/>
              </w:rPr>
              <w:t>"</w:t>
            </w:r>
            <w:r w:rsidRPr="00F8275B">
              <w:rPr>
                <w:lang w:val="es-ES"/>
              </w:rPr>
              <w:t xml:space="preserve">, dijo </w:t>
            </w:r>
            <w:r w:rsidR="00AD2E70" w:rsidRPr="00F8275B">
              <w:rPr>
                <w:lang w:val="es-ES"/>
              </w:rPr>
              <w:t xml:space="preserve">Marissa Fayer </w:t>
            </w:r>
            <w:r w:rsidRPr="00F8275B">
              <w:rPr>
                <w:lang w:val="es-ES"/>
              </w:rPr>
              <w:t>de la solución de ultrasonido mejorada por la IA, en su presentación de la innovación ganadora en el escenario de Robótica para el bien de la Cumbre Mundial AI for Good dirigida por la UIT</w:t>
            </w:r>
            <w:r w:rsidR="00AD2E70" w:rsidRPr="00F8275B">
              <w:rPr>
                <w:lang w:val="es-ES"/>
              </w:rPr>
              <w:t>.</w:t>
            </w:r>
          </w:p>
          <w:p w14:paraId="597BCE95" w14:textId="1FF380DD" w:rsidR="00AD2E70" w:rsidRPr="00F8275B" w:rsidRDefault="00534F60" w:rsidP="00173444">
            <w:pPr>
              <w:spacing w:after="120"/>
              <w:rPr>
                <w:lang w:val="es-ES"/>
              </w:rPr>
            </w:pPr>
            <w:hyperlink r:id="rId21" w:history="1">
              <w:r w:rsidR="008E064D" w:rsidRPr="00F8275B">
                <w:rPr>
                  <w:rStyle w:val="Hyperlink"/>
                  <w:lang w:val="es-ES"/>
                </w:rPr>
                <w:t>Más información sobre la Fábrica de Innovación y sus finalistas de 2023</w:t>
              </w:r>
            </w:hyperlink>
          </w:p>
        </w:tc>
      </w:tr>
    </w:tbl>
    <w:p w14:paraId="2BA6573E" w14:textId="77777777" w:rsidR="00CE6D77" w:rsidRPr="00F8275B" w:rsidRDefault="00CE6D77" w:rsidP="008E064D">
      <w:pPr>
        <w:pStyle w:val="Headingb"/>
        <w:rPr>
          <w:b w:val="0"/>
          <w:bCs/>
          <w:color w:val="4F81BD"/>
          <w:lang w:val="es-ES"/>
        </w:rPr>
      </w:pPr>
      <w:r w:rsidRPr="00F8275B">
        <w:rPr>
          <w:b w:val="0"/>
          <w:bCs/>
          <w:color w:val="4F81BD"/>
          <w:lang w:val="es-ES"/>
        </w:rPr>
        <w:t>Normas tecnológicas para todos</w:t>
      </w:r>
    </w:p>
    <w:p w14:paraId="276DAC7B" w14:textId="2B8B9B93" w:rsidR="00CE6D77" w:rsidRPr="00F8275B" w:rsidRDefault="00CE6D77" w:rsidP="00CE6D77">
      <w:pPr>
        <w:rPr>
          <w:lang w:val="es-ES"/>
        </w:rPr>
      </w:pPr>
      <w:r w:rsidRPr="00F8275B">
        <w:rPr>
          <w:lang w:val="es-ES"/>
        </w:rPr>
        <w:t xml:space="preserve">La UIT es conocida por su labor de definición de normas internacionales ampliamente reconocidas, que siguió avanzando considerablemente a lo largo del año pasado. El Sector de Normalización </w:t>
      </w:r>
      <w:r w:rsidR="00147AC3" w:rsidRPr="00F8275B">
        <w:rPr>
          <w:lang w:val="es-ES"/>
        </w:rPr>
        <w:t xml:space="preserve">de las Telecomunicaciones </w:t>
      </w:r>
      <w:r w:rsidRPr="00F8275B">
        <w:rPr>
          <w:lang w:val="es-ES"/>
        </w:rPr>
        <w:t>(UIT-T) aprobó 286</w:t>
      </w:r>
      <w:r w:rsidR="00901886" w:rsidRPr="00F8275B">
        <w:rPr>
          <w:lang w:val="es-ES"/>
        </w:rPr>
        <w:t> </w:t>
      </w:r>
      <w:r w:rsidRPr="00F8275B">
        <w:rPr>
          <w:lang w:val="es-ES"/>
        </w:rPr>
        <w:t>Recomendaciones nuevas y revisadas, cuya labor conexa fue respaldada por cinco grupos temáticos activos. El UIT-R aprobó más de 80</w:t>
      </w:r>
      <w:r w:rsidR="00901886" w:rsidRPr="00F8275B">
        <w:rPr>
          <w:lang w:val="es-ES"/>
        </w:rPr>
        <w:t> </w:t>
      </w:r>
      <w:r w:rsidRPr="00F8275B">
        <w:rPr>
          <w:lang w:val="es-ES"/>
        </w:rPr>
        <w:t xml:space="preserve">Recomendaciones nuevas o revisadas, respecto de las cuales se ofrece información exhaustiva </w:t>
      </w:r>
      <w:hyperlink r:id="rId22" w:history="1">
        <w:r w:rsidR="00147AC3" w:rsidRPr="00233F8E">
          <w:rPr>
            <w:rStyle w:val="Hyperlink"/>
            <w:lang w:val="es-ES"/>
          </w:rPr>
          <w:t>aquí</w:t>
        </w:r>
      </w:hyperlink>
      <w:r w:rsidRPr="00F8275B">
        <w:rPr>
          <w:lang w:val="es-ES"/>
        </w:rPr>
        <w:t>.</w:t>
      </w:r>
    </w:p>
    <w:p w14:paraId="357EC50C" w14:textId="77777777" w:rsidR="00CE6D77" w:rsidRPr="00F8275B" w:rsidRDefault="00CE6D77" w:rsidP="00233F8E">
      <w:pPr>
        <w:spacing w:after="240"/>
        <w:rPr>
          <w:lang w:val="es-ES"/>
        </w:rPr>
      </w:pPr>
      <w:r w:rsidRPr="00F8275B">
        <w:rPr>
          <w:lang w:val="es-ES"/>
        </w:rPr>
        <w:t>La UIT recibió el Premio Emmy de Ingeniería, Ciencia y Tecnología por su labor sobre las normas de radiocomunicaciones para la televisión de elevada gama dinámica (TV-EGD). Este reconocimiento pone de manifiesto la función esencial que desempeña la organización para dar forma a las tecnologías actuales y futuras, garantizando la elaboración de normas mundiales para las telecomunicaciones y las radiocomunicaciones.</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396F88" w:rsidRPr="00F8275B" w14:paraId="384884A6" w14:textId="77777777" w:rsidTr="00242F5A">
        <w:trPr>
          <w:cantSplit/>
          <w:jc w:val="center"/>
        </w:trPr>
        <w:tc>
          <w:tcPr>
            <w:tcW w:w="9061" w:type="dxa"/>
          </w:tcPr>
          <w:p w14:paraId="22316AB6" w14:textId="77777777" w:rsidR="00396F88" w:rsidRPr="00F8275B" w:rsidRDefault="00396F88" w:rsidP="00242F5A">
            <w:pPr>
              <w:jc w:val="center"/>
              <w:rPr>
                <w:b/>
                <w:bCs/>
                <w:sz w:val="28"/>
                <w:szCs w:val="28"/>
                <w:lang w:val="es-ES"/>
              </w:rPr>
            </w:pPr>
            <w:r w:rsidRPr="00F8275B">
              <w:rPr>
                <w:b/>
                <w:bCs/>
                <w:sz w:val="28"/>
                <w:szCs w:val="28"/>
                <w:lang w:val="es-ES"/>
              </w:rPr>
              <w:lastRenderedPageBreak/>
              <w:t>Historia de impacto</w:t>
            </w:r>
          </w:p>
          <w:p w14:paraId="35DFE9A3" w14:textId="4D224F90" w:rsidR="00396F88" w:rsidRPr="00F8275B" w:rsidRDefault="00396F88" w:rsidP="00173444">
            <w:pPr>
              <w:pStyle w:val="Headingb"/>
              <w:rPr>
                <w:lang w:val="es-ES"/>
              </w:rPr>
            </w:pPr>
            <w:r w:rsidRPr="00F8275B">
              <w:rPr>
                <w:lang w:val="es-ES"/>
              </w:rPr>
              <w:t>Sincronización resiliente de relojes</w:t>
            </w:r>
          </w:p>
          <w:p w14:paraId="6A12F0C6" w14:textId="5B777DA4" w:rsidR="00396F88" w:rsidRPr="00F8275B" w:rsidRDefault="00526853" w:rsidP="00765A16">
            <w:pPr>
              <w:rPr>
                <w:lang w:val="es-ES"/>
              </w:rPr>
            </w:pPr>
            <w:r w:rsidRPr="00F8275B">
              <w:rPr>
                <w:lang w:val="es-ES"/>
              </w:rPr>
              <w:t>Los errores de los relojes digitales pueden causar perturbaciones en las industrias, las organizaciones y la vida diaria de las personas</w:t>
            </w:r>
            <w:r w:rsidR="00396F88" w:rsidRPr="00F8275B">
              <w:rPr>
                <w:lang w:val="es-ES"/>
              </w:rPr>
              <w:t xml:space="preserve">. </w:t>
            </w:r>
            <w:r w:rsidRPr="00F8275B">
              <w:rPr>
                <w:lang w:val="es-ES"/>
              </w:rPr>
              <w:t>La UIT ha elaborado normas de sincronización de gran precisión para</w:t>
            </w:r>
            <w:r w:rsidR="00A55B05" w:rsidRPr="00F8275B">
              <w:rPr>
                <w:lang w:val="es-ES"/>
              </w:rPr>
              <w:t xml:space="preserve"> </w:t>
            </w:r>
            <w:r w:rsidRPr="00F8275B">
              <w:rPr>
                <w:lang w:val="es-ES"/>
              </w:rPr>
              <w:t>hacer frente a las alteraciones de sincronización del Sistema Mundial de Navegación por Satélite</w:t>
            </w:r>
            <w:r w:rsidR="00396F88" w:rsidRPr="00F8275B">
              <w:rPr>
                <w:lang w:val="es-ES"/>
              </w:rPr>
              <w:t xml:space="preserve"> (GNSS). </w:t>
            </w:r>
            <w:r w:rsidRPr="00F8275B">
              <w:rPr>
                <w:lang w:val="es-ES"/>
              </w:rPr>
              <w:t xml:space="preserve">El reloj de tiempo de referencia primario mejorado definido por la norma </w:t>
            </w:r>
            <w:r w:rsidR="00396F88" w:rsidRPr="00F8275B">
              <w:rPr>
                <w:lang w:val="es-ES"/>
              </w:rPr>
              <w:t xml:space="preserve">G.8272.1 </w:t>
            </w:r>
            <w:r w:rsidRPr="00F8275B">
              <w:rPr>
                <w:lang w:val="es-ES"/>
              </w:rPr>
              <w:t>de la UIT garantiza una precisión superior a 100 nanosegundos durante un máximo de 400 días después de la pérdida de la señal del GNSS</w:t>
            </w:r>
            <w:r w:rsidR="00396F88" w:rsidRPr="00F8275B">
              <w:rPr>
                <w:lang w:val="es-ES"/>
              </w:rPr>
              <w:t xml:space="preserve">. </w:t>
            </w:r>
            <w:r w:rsidRPr="00F8275B">
              <w:rPr>
                <w:lang w:val="es-ES"/>
              </w:rPr>
              <w:t>La nueva norma</w:t>
            </w:r>
            <w:r w:rsidR="00396F88" w:rsidRPr="00F8275B">
              <w:rPr>
                <w:lang w:val="es-ES"/>
              </w:rPr>
              <w:t xml:space="preserve"> G.8272.2 </w:t>
            </w:r>
            <w:r w:rsidRPr="00F8275B">
              <w:rPr>
                <w:lang w:val="es-ES"/>
              </w:rPr>
              <w:t>combina</w:t>
            </w:r>
            <w:r w:rsidR="00396F88" w:rsidRPr="00F8275B">
              <w:rPr>
                <w:lang w:val="es-ES"/>
              </w:rPr>
              <w:t xml:space="preserve"> </w:t>
            </w:r>
            <w:r w:rsidRPr="00F8275B">
              <w:rPr>
                <w:lang w:val="es-ES"/>
              </w:rPr>
              <w:t>las salidas de relojes interconectados con un algoritmo temporal en las redes de telecomunicaciones</w:t>
            </w:r>
            <w:r w:rsidR="00396F88" w:rsidRPr="00F8275B">
              <w:rPr>
                <w:lang w:val="es-ES"/>
              </w:rPr>
              <w:t xml:space="preserve">. </w:t>
            </w:r>
            <w:r w:rsidRPr="00F8275B">
              <w:rPr>
                <w:lang w:val="es-ES"/>
              </w:rPr>
              <w:t>Estas normas accesibles ayudan a mantener el Tiempo Universal Coordinado (UTC) en todo el mundo</w:t>
            </w:r>
            <w:r w:rsidR="00396F88" w:rsidRPr="00F8275B">
              <w:rPr>
                <w:lang w:val="es-ES"/>
              </w:rPr>
              <w:t>.</w:t>
            </w:r>
          </w:p>
          <w:p w14:paraId="1EBC48FB" w14:textId="4ED088D1" w:rsidR="00396F88" w:rsidRPr="00F8275B" w:rsidRDefault="00534F60" w:rsidP="00173444">
            <w:pPr>
              <w:spacing w:after="120"/>
              <w:rPr>
                <w:lang w:val="es-ES"/>
              </w:rPr>
            </w:pPr>
            <w:hyperlink r:id="rId23" w:history="1">
              <w:r w:rsidR="008E064D" w:rsidRPr="00F8275B">
                <w:rPr>
                  <w:rStyle w:val="Hyperlink"/>
                  <w:lang w:val="es-ES"/>
                </w:rPr>
                <w:t>Más información sobre el concepto del nuevo reloj</w:t>
              </w:r>
            </w:hyperlink>
          </w:p>
        </w:tc>
      </w:tr>
    </w:tbl>
    <w:p w14:paraId="5B5A3972" w14:textId="77777777" w:rsidR="00CE6D77" w:rsidRPr="00F8275B" w:rsidRDefault="00CE6D77" w:rsidP="008E064D">
      <w:pPr>
        <w:pStyle w:val="Headingb"/>
        <w:rPr>
          <w:b w:val="0"/>
          <w:bCs/>
          <w:color w:val="4F81BD"/>
          <w:lang w:val="es-ES"/>
        </w:rPr>
      </w:pPr>
      <w:r w:rsidRPr="00F8275B">
        <w:rPr>
          <w:b w:val="0"/>
          <w:bCs/>
          <w:color w:val="4F81BD"/>
          <w:lang w:val="es-ES"/>
        </w:rPr>
        <w:t>Orientaciones sobre políticas y perspectivas sobre las tecnologías</w:t>
      </w:r>
    </w:p>
    <w:p w14:paraId="2F5AAD52" w14:textId="77777777" w:rsidR="00CE6D77" w:rsidRPr="00F8275B" w:rsidRDefault="00CE6D77" w:rsidP="00FE720D">
      <w:pPr>
        <w:keepNext/>
        <w:keepLines/>
        <w:rPr>
          <w:lang w:val="es-ES"/>
        </w:rPr>
      </w:pPr>
      <w:r w:rsidRPr="00F8275B">
        <w:rPr>
          <w:lang w:val="es-ES"/>
        </w:rPr>
        <w:t>La UIT promueve la adopción sostenible de las tecnologías emergentes, en particular la IA, la tecnología de la información cuántica y el metaverso. En la esfera de la tecnología de la información cuántica, la UIT da prioridad a los aspectos relativos a las redes y la seguridad, centrándose en la distribución de claves cuánticas para el cifrado seguro. El Grupo Temático del UIT-T sobre el metaverso está intensificando sus esfuerzos en materia de normalización, abarcando diversos aspectos como la seguridad, la accesibilidad y las consideraciones y marcos éticos.</w:t>
      </w:r>
    </w:p>
    <w:p w14:paraId="44B7F3A3" w14:textId="79BB505F" w:rsidR="00CE6D77" w:rsidRPr="00F8275B" w:rsidRDefault="00CE6D77" w:rsidP="008E064D">
      <w:pPr>
        <w:pStyle w:val="Headingb"/>
        <w:rPr>
          <w:b w:val="0"/>
          <w:bCs/>
          <w:color w:val="4F81BD"/>
          <w:lang w:val="es-ES"/>
        </w:rPr>
      </w:pPr>
      <w:r w:rsidRPr="00F8275B">
        <w:rPr>
          <w:b w:val="0"/>
          <w:bCs/>
          <w:color w:val="4F81BD"/>
          <w:lang w:val="es-ES"/>
        </w:rPr>
        <w:t>Innovación</w:t>
      </w:r>
    </w:p>
    <w:p w14:paraId="600A8DAD" w14:textId="77777777" w:rsidR="00CE6D77" w:rsidRPr="00F8275B" w:rsidRDefault="00CE6D77" w:rsidP="00CE6D77">
      <w:pPr>
        <w:rPr>
          <w:lang w:val="es-ES"/>
        </w:rPr>
      </w:pPr>
      <w:r w:rsidRPr="00F8275B">
        <w:rPr>
          <w:lang w:val="es-ES"/>
        </w:rPr>
        <w:t>El número de países con políticas de innovación aumentó de 66 a 97 en 2023.</w:t>
      </w:r>
    </w:p>
    <w:p w14:paraId="0FEA2168" w14:textId="397C89B2" w:rsidR="00CE6D77" w:rsidRPr="00F8275B" w:rsidRDefault="00CE6D77" w:rsidP="008E064D">
      <w:pPr>
        <w:pStyle w:val="Headingb"/>
        <w:rPr>
          <w:b w:val="0"/>
          <w:bCs/>
          <w:color w:val="4F81BD"/>
          <w:lang w:val="es-ES"/>
        </w:rPr>
      </w:pPr>
      <w:r w:rsidRPr="00F8275B">
        <w:rPr>
          <w:b w:val="0"/>
          <w:bCs/>
          <w:color w:val="4F81BD"/>
          <w:lang w:val="es-ES"/>
        </w:rPr>
        <w:t>Ciberseguridad</w:t>
      </w:r>
    </w:p>
    <w:p w14:paraId="24105A6A" w14:textId="25A6D95C" w:rsidR="00CE6D77" w:rsidRPr="00F8275B" w:rsidRDefault="00CE6D77" w:rsidP="00CE6D77">
      <w:pPr>
        <w:rPr>
          <w:lang w:val="es-ES"/>
        </w:rPr>
      </w:pPr>
      <w:r w:rsidRPr="00F8275B">
        <w:rPr>
          <w:lang w:val="es-ES"/>
        </w:rPr>
        <w:t xml:space="preserve">En torno al </w:t>
      </w:r>
      <w:r w:rsidR="00526853" w:rsidRPr="00F8275B">
        <w:rPr>
          <w:lang w:val="es-ES"/>
        </w:rPr>
        <w:t>6</w:t>
      </w:r>
      <w:r w:rsidRPr="00F8275B">
        <w:rPr>
          <w:lang w:val="es-ES"/>
        </w:rPr>
        <w:t>5% de los países tenían equipos de intervención en caso de incidentes informáticos (EIII) en 2023, lo cual indica una mejora de la preparación en materia de ciberseguridad, mientras que el 83% tenían Planes Nacionales de Telecomunicaciones de Emergencia en 2023. La UIT dirige la Línea de Acción C5 de la CMSI sobre la creación de confianza y seguridad en la utilización de las tecnologías.</w:t>
      </w:r>
    </w:p>
    <w:p w14:paraId="226960DD" w14:textId="77777777" w:rsidR="00CE6D77" w:rsidRPr="00F8275B" w:rsidRDefault="00CE6D77" w:rsidP="008E064D">
      <w:pPr>
        <w:pStyle w:val="Headingb"/>
        <w:rPr>
          <w:b w:val="0"/>
          <w:bCs/>
          <w:color w:val="4F81BD"/>
          <w:lang w:val="es-ES"/>
        </w:rPr>
      </w:pPr>
      <w:r w:rsidRPr="00F8275B">
        <w:rPr>
          <w:b w:val="0"/>
          <w:bCs/>
          <w:color w:val="4F81BD"/>
          <w:lang w:val="es-ES"/>
        </w:rPr>
        <w:t>Hacer frente a las emisiones y los residuos electrónicos</w:t>
      </w:r>
    </w:p>
    <w:p w14:paraId="3FB5B548" w14:textId="14390074" w:rsidR="00CE6D77" w:rsidRPr="00F8275B" w:rsidRDefault="00CE6D77" w:rsidP="00CE6D77">
      <w:pPr>
        <w:rPr>
          <w:lang w:val="es-ES"/>
        </w:rPr>
      </w:pPr>
      <w:r w:rsidRPr="00F8275B">
        <w:rPr>
          <w:lang w:val="es-ES"/>
        </w:rPr>
        <w:t>La UIT lidera los esfuerzos en materia de sostenibilidad ambiental, centrándose en las economías circulares para los residuos electrónicos y luchando contra el cambio climático mediante las soluciones digitales</w:t>
      </w:r>
      <w:r w:rsidR="00526853" w:rsidRPr="00F8275B">
        <w:rPr>
          <w:lang w:val="es-ES"/>
        </w:rPr>
        <w:t xml:space="preserve"> y la reducción de la huella de carbono</w:t>
      </w:r>
      <w:r w:rsidRPr="00F8275B">
        <w:rPr>
          <w:lang w:val="es-ES"/>
        </w:rPr>
        <w:t xml:space="preserve">. Las normas de la UIT relacionadas con el clima hacen hincapié en la medición, la eficiencia energética y la promoción de una economía circular, ayudando a supervisar los avances hacia el cero neto en emisiones. </w:t>
      </w:r>
      <w:r w:rsidR="00526853" w:rsidRPr="00F8275B">
        <w:rPr>
          <w:lang w:val="es-ES"/>
        </w:rPr>
        <w:t xml:space="preserve">Se aprobó una norma clave </w:t>
      </w:r>
      <w:r w:rsidR="00147AC3" w:rsidRPr="00F8275B">
        <w:rPr>
          <w:lang w:val="es-ES"/>
        </w:rPr>
        <w:t xml:space="preserve">el </w:t>
      </w:r>
      <w:r w:rsidR="00A91A7D" w:rsidRPr="00F8275B">
        <w:rPr>
          <w:lang w:val="es-ES"/>
        </w:rPr>
        <w:t>pasaporte digital mundial de productos sostenibles</w:t>
      </w:r>
      <w:r w:rsidR="00147AC3" w:rsidRPr="00F8275B">
        <w:rPr>
          <w:lang w:val="es-ES"/>
        </w:rPr>
        <w:t>, que ofrece oportunidades</w:t>
      </w:r>
      <w:r w:rsidR="00A91A7D" w:rsidRPr="00F8275B">
        <w:rPr>
          <w:lang w:val="es-ES"/>
        </w:rPr>
        <w:t xml:space="preserve"> para lograr una economía circular y se están realizando trabajos </w:t>
      </w:r>
      <w:r w:rsidR="00147AC3" w:rsidRPr="00F8275B">
        <w:rPr>
          <w:lang w:val="es-ES"/>
        </w:rPr>
        <w:t>al respecto</w:t>
      </w:r>
      <w:r w:rsidR="00A91A7D" w:rsidRPr="00F8275B">
        <w:rPr>
          <w:lang w:val="es-ES"/>
        </w:rPr>
        <w:t>.</w:t>
      </w:r>
    </w:p>
    <w:p w14:paraId="7E650C9E" w14:textId="45AF5451" w:rsidR="00A55B05" w:rsidRPr="00F8275B" w:rsidRDefault="00CE6D77" w:rsidP="007560BC">
      <w:pPr>
        <w:keepNext/>
        <w:keepLines/>
        <w:rPr>
          <w:lang w:val="es-ES"/>
        </w:rPr>
      </w:pPr>
      <w:r w:rsidRPr="00F8275B">
        <w:rPr>
          <w:lang w:val="es-ES"/>
        </w:rPr>
        <w:lastRenderedPageBreak/>
        <w:t xml:space="preserve">La UIT está </w:t>
      </w:r>
      <w:r w:rsidR="00A91A7D" w:rsidRPr="00F8275B">
        <w:rPr>
          <w:lang w:val="es-ES"/>
        </w:rPr>
        <w:t xml:space="preserve">supervisando y </w:t>
      </w:r>
      <w:r w:rsidRPr="00F8275B">
        <w:rPr>
          <w:lang w:val="es-ES"/>
        </w:rPr>
        <w:t>mostrando a las empresas digitales la manera de reducir sus emisiones de gases de efecto invernadero y convertir al sector en un líder en la lucha contra el cambio climático. El tema de la Acción Digital Verde en la Conferencia de las Naciones Unidas sobre el C</w:t>
      </w:r>
      <w:r w:rsidR="00A91A7D" w:rsidRPr="00F8275B">
        <w:rPr>
          <w:lang w:val="es-ES"/>
        </w:rPr>
        <w:t>ambio Climático (COP28), impulsó</w:t>
      </w:r>
      <w:r w:rsidRPr="00F8275B">
        <w:rPr>
          <w:lang w:val="es-ES"/>
        </w:rPr>
        <w:t xml:space="preserve"> </w:t>
      </w:r>
      <w:r w:rsidR="00147AC3" w:rsidRPr="00F8275B">
        <w:rPr>
          <w:lang w:val="es-ES"/>
        </w:rPr>
        <w:t>los compromisos de la industria con</w:t>
      </w:r>
      <w:r w:rsidRPr="00F8275B">
        <w:rPr>
          <w:lang w:val="es-ES"/>
        </w:rPr>
        <w:t xml:space="preserve"> la reducción de las emisiones y la reglamentaci</w:t>
      </w:r>
      <w:r w:rsidR="00A91A7D" w:rsidRPr="00F8275B">
        <w:rPr>
          <w:lang w:val="es-ES"/>
        </w:rPr>
        <w:t xml:space="preserve">ón de los residuos electrónicos, </w:t>
      </w:r>
      <w:r w:rsidR="00147AC3" w:rsidRPr="00F8275B">
        <w:rPr>
          <w:lang w:val="es-ES"/>
        </w:rPr>
        <w:t>y subrayó</w:t>
      </w:r>
      <w:r w:rsidR="00A91A7D" w:rsidRPr="00F8275B">
        <w:rPr>
          <w:lang w:val="es-ES"/>
        </w:rPr>
        <w:t xml:space="preserve"> la importancia de las normas internacionales para esta transición y el compromiso</w:t>
      </w:r>
      <w:r w:rsidR="00147AC3" w:rsidRPr="00F8275B">
        <w:rPr>
          <w:lang w:val="es-ES"/>
        </w:rPr>
        <w:t xml:space="preserve"> generativo</w:t>
      </w:r>
      <w:r w:rsidR="00A91A7D" w:rsidRPr="00F8275B">
        <w:rPr>
          <w:lang w:val="es-ES"/>
        </w:rPr>
        <w:t xml:space="preserve"> de la Cooperación </w:t>
      </w:r>
      <w:r w:rsidR="00DC03E9" w:rsidRPr="00F8275B">
        <w:rPr>
          <w:lang w:val="es-ES"/>
        </w:rPr>
        <w:t xml:space="preserve">Mundial sobre Normas </w:t>
      </w:r>
      <w:r w:rsidR="001F6DDB" w:rsidRPr="00F8275B">
        <w:rPr>
          <w:lang w:val="es-ES"/>
        </w:rPr>
        <w:t xml:space="preserve">(que reúne a la ISO, la CEI y la UIT) </w:t>
      </w:r>
      <w:r w:rsidR="00DC03E9" w:rsidRPr="00F8275B">
        <w:rPr>
          <w:lang w:val="es-ES"/>
        </w:rPr>
        <w:t>con los principios de la sostenibilidad desde el diseño en el proceso de normalización.</w:t>
      </w:r>
    </w:p>
    <w:p w14:paraId="2E2486D8" w14:textId="5F888C22" w:rsidR="00CE6D77" w:rsidRPr="00F8275B" w:rsidRDefault="00CE6D77" w:rsidP="00CE6D77">
      <w:pPr>
        <w:rPr>
          <w:lang w:val="es-ES"/>
        </w:rPr>
      </w:pPr>
      <w:r w:rsidRPr="00F8275B">
        <w:rPr>
          <w:lang w:val="es-ES"/>
        </w:rPr>
        <w:t xml:space="preserve">La tasa de reciclaje de residuos electrónicos a escala mundial alcanzó el 22,3% en </w:t>
      </w:r>
      <w:r w:rsidR="00DC03E9" w:rsidRPr="00F8275B">
        <w:rPr>
          <w:lang w:val="es-ES"/>
        </w:rPr>
        <w:t>2022</w:t>
      </w:r>
      <w:r w:rsidRPr="00F8275B">
        <w:rPr>
          <w:lang w:val="es-ES"/>
        </w:rPr>
        <w:t xml:space="preserve">, por debajo de la meta del 30%. </w:t>
      </w:r>
      <w:r w:rsidR="00DC03E9" w:rsidRPr="00F8275B">
        <w:rPr>
          <w:lang w:val="es-ES"/>
        </w:rPr>
        <w:t xml:space="preserve">Según el cuarto </w:t>
      </w:r>
      <w:hyperlink r:id="rId24" w:history="1">
        <w:r w:rsidR="00DC03E9" w:rsidRPr="00F8275B">
          <w:rPr>
            <w:rStyle w:val="Hyperlink"/>
            <w:lang w:val="es-ES"/>
          </w:rPr>
          <w:t>Global E-waste Monitor</w:t>
        </w:r>
      </w:hyperlink>
      <w:r w:rsidR="00DC03E9" w:rsidRPr="00F8275B">
        <w:rPr>
          <w:lang w:val="es-ES"/>
        </w:rPr>
        <w:t xml:space="preserve"> (GEM) de las Naciones Unidas, se prevé una reducción de la tasa documentada de recogida y reciclaje del 22,3% en</w:t>
      </w:r>
      <w:r w:rsidR="00F01333" w:rsidRPr="00F8275B">
        <w:rPr>
          <w:lang w:val="es-ES"/>
        </w:rPr>
        <w:t> </w:t>
      </w:r>
      <w:r w:rsidR="00DC03E9" w:rsidRPr="00F8275B">
        <w:rPr>
          <w:lang w:val="es-ES"/>
        </w:rPr>
        <w:t xml:space="preserve">2022 al 20% para 2030 debido a la diferencia cada vez mayor entre las medidas de reciclaje y el crecimiento continuo de la generación de residuos electrónicos en todo el mundo. </w:t>
      </w:r>
      <w:r w:rsidRPr="00F8275B">
        <w:rPr>
          <w:lang w:val="es-ES"/>
        </w:rPr>
        <w:t>En total, 81</w:t>
      </w:r>
      <w:r w:rsidR="00901886" w:rsidRPr="00F8275B">
        <w:rPr>
          <w:lang w:val="es-ES"/>
        </w:rPr>
        <w:t> </w:t>
      </w:r>
      <w:r w:rsidRPr="00F8275B">
        <w:rPr>
          <w:lang w:val="es-ES"/>
        </w:rPr>
        <w:t>países tenían políticas en materia de residuos electrónicos, una cifra cercana al objetivo de 97</w:t>
      </w:r>
      <w:r w:rsidR="00901886" w:rsidRPr="00F8275B">
        <w:rPr>
          <w:lang w:val="es-ES"/>
        </w:rPr>
        <w:t> </w:t>
      </w:r>
      <w:r w:rsidRPr="00F8275B">
        <w:rPr>
          <w:lang w:val="es-ES"/>
        </w:rPr>
        <w:t xml:space="preserve">países. </w:t>
      </w:r>
      <w:r w:rsidR="00DC03E9" w:rsidRPr="00F8275B">
        <w:rPr>
          <w:lang w:val="es-ES"/>
        </w:rPr>
        <w:t>Por otro lado, respecto de la meta relativa a la reducción de las emisiones de GEI, l</w:t>
      </w:r>
      <w:r w:rsidRPr="00F8275B">
        <w:rPr>
          <w:lang w:val="es-ES"/>
        </w:rPr>
        <w:t>as emisiones de las telecomunicaciones permanecieron en un nivel estable, cifrándose en 133</w:t>
      </w:r>
      <w:r w:rsidR="00BC3BB0" w:rsidRPr="00F8275B">
        <w:rPr>
          <w:lang w:val="es-ES"/>
        </w:rPr>
        <w:t> </w:t>
      </w:r>
      <w:r w:rsidRPr="00F8275B">
        <w:rPr>
          <w:lang w:val="es-ES"/>
        </w:rPr>
        <w:t>millones de toneladas de CO</w:t>
      </w:r>
      <w:r w:rsidRPr="00F8275B">
        <w:rPr>
          <w:vertAlign w:val="subscript"/>
          <w:lang w:val="es-ES"/>
        </w:rPr>
        <w:t>2</w:t>
      </w:r>
      <w:r w:rsidRPr="00F8275B">
        <w:rPr>
          <w:lang w:val="es-ES"/>
        </w:rPr>
        <w:t>.</w:t>
      </w:r>
    </w:p>
    <w:p w14:paraId="5C1E1B8C" w14:textId="77777777" w:rsidR="00CE6D77" w:rsidRPr="00F8275B" w:rsidRDefault="00CE6D77" w:rsidP="008E064D">
      <w:pPr>
        <w:pStyle w:val="Headingb"/>
        <w:rPr>
          <w:b w:val="0"/>
          <w:bCs/>
          <w:color w:val="4F81BD"/>
          <w:lang w:val="es-ES"/>
        </w:rPr>
      </w:pPr>
      <w:r w:rsidRPr="00F8275B">
        <w:rPr>
          <w:b w:val="0"/>
          <w:bCs/>
          <w:color w:val="4F81BD"/>
          <w:lang w:val="es-ES"/>
        </w:rPr>
        <w:t>Implicación y repercusiones a nivel mundial</w:t>
      </w:r>
    </w:p>
    <w:p w14:paraId="0A13AECB" w14:textId="77777777" w:rsidR="00CE6D77" w:rsidRPr="00F8275B" w:rsidRDefault="00CE6D77" w:rsidP="00CE6D77">
      <w:pPr>
        <w:rPr>
          <w:lang w:val="es-ES"/>
        </w:rPr>
      </w:pPr>
      <w:r w:rsidRPr="00F8275B">
        <w:rPr>
          <w:lang w:val="es-ES"/>
        </w:rPr>
        <w:t>Las asociaciones estratégicas de la UIT impulsan los avances hacia la consecución de los Objetivos de Desarrollo Sostenible (ODS). La UIT dirige la iniciativa AI for Good, que amplía las soluciones de IA para el logro de dichos objetivos.</w:t>
      </w:r>
    </w:p>
    <w:p w14:paraId="3025488F" w14:textId="63D10B7F" w:rsidR="00CE6D77" w:rsidRPr="00F8275B" w:rsidRDefault="00CE6D77" w:rsidP="00CE6D77">
      <w:pPr>
        <w:rPr>
          <w:lang w:val="es-ES"/>
        </w:rPr>
      </w:pPr>
      <w:r w:rsidRPr="00F8275B">
        <w:rPr>
          <w:lang w:val="es-ES"/>
        </w:rPr>
        <w:t>La UIT ha aprovechado sus normas para la Internet de las cosas (IoT), los gemelos digitales y la IA, a fin de facilitar el desarrollo digital sostenible, en particular en vista del crecimiento de las ciudades inteligentes y sostenibles en todo el mundo. Más de 150</w:t>
      </w:r>
      <w:r w:rsidR="00901886" w:rsidRPr="00F8275B">
        <w:rPr>
          <w:lang w:val="es-ES"/>
        </w:rPr>
        <w:t> </w:t>
      </w:r>
      <w:r w:rsidRPr="00F8275B">
        <w:rPr>
          <w:lang w:val="es-ES"/>
        </w:rPr>
        <w:t>ciudades han adoptado los indicadores clave del desempeño de la iniciativa "Unidos por las ciudades inteligentes y sostenibles" (U4SSC), reflejando los resultados mediante informes y estudios de caso y fomentando la urbanización sostenible.</w:t>
      </w:r>
    </w:p>
    <w:p w14:paraId="215D733D" w14:textId="2D2999E9" w:rsidR="00CE6D77" w:rsidRPr="00F8275B" w:rsidRDefault="00CE6D77" w:rsidP="00CE6D77">
      <w:pPr>
        <w:rPr>
          <w:lang w:val="es-ES"/>
        </w:rPr>
      </w:pPr>
      <w:r w:rsidRPr="00F8275B">
        <w:rPr>
          <w:lang w:val="es-ES"/>
        </w:rPr>
        <w:t>La Comisión sobre la Banda Ancha para el Desarrollo Sostenible, constituida y mantenida por la UIT y la Organización de las Naciones Unidas para la Educación, la Ciencia y la Cultura (UNESCO), contó con la participación de más de 100</w:t>
      </w:r>
      <w:r w:rsidR="00901886" w:rsidRPr="00F8275B">
        <w:rPr>
          <w:lang w:val="es-ES"/>
        </w:rPr>
        <w:t> </w:t>
      </w:r>
      <w:r w:rsidRPr="00F8275B">
        <w:rPr>
          <w:lang w:val="es-ES"/>
        </w:rPr>
        <w:t>asociados, y ha elaborado publicaciones clave y celebrado eventos de promoción.</w:t>
      </w:r>
    </w:p>
    <w:p w14:paraId="191AA41C" w14:textId="0D2B6C6B" w:rsidR="00CE6D77" w:rsidRPr="00F8275B" w:rsidRDefault="00CE6D77" w:rsidP="00FE720D">
      <w:pPr>
        <w:rPr>
          <w:lang w:val="es-ES"/>
        </w:rPr>
      </w:pPr>
      <w:r w:rsidRPr="00F8275B">
        <w:rPr>
          <w:lang w:val="es-ES"/>
        </w:rPr>
        <w:t>La UIT participa activamente en asociaciones con diversos organismos de las Naciones Unidas, como la Organización Meteorológica Mundial (OMM), el Programa de las Naciones Unidas para el Medio</w:t>
      </w:r>
      <w:r w:rsidR="00A24614" w:rsidRPr="00F8275B">
        <w:rPr>
          <w:lang w:val="es-ES"/>
        </w:rPr>
        <w:t>a</w:t>
      </w:r>
      <w:r w:rsidRPr="00F8275B">
        <w:rPr>
          <w:lang w:val="es-ES"/>
        </w:rPr>
        <w:t>mbiente (PNUMA), la Organización de las Naciones Unidas para la Alimentación y la Agricultura (FAO) y la Organización Mundial de la Salud (OMS), sobre iniciativas como la IA para la gestión de catástrofes naturales y la agricultura digital</w:t>
      </w:r>
      <w:r w:rsidR="00DC03E9" w:rsidRPr="00F8275B">
        <w:rPr>
          <w:lang w:val="es-ES"/>
        </w:rPr>
        <w:t xml:space="preserve">, así como la </w:t>
      </w:r>
      <w:r w:rsidR="001F6DDB" w:rsidRPr="00F8275B">
        <w:rPr>
          <w:lang w:val="es-ES"/>
        </w:rPr>
        <w:t xml:space="preserve">digitalización </w:t>
      </w:r>
      <w:r w:rsidR="00DC03E9" w:rsidRPr="00F8275B">
        <w:rPr>
          <w:lang w:val="es-ES"/>
        </w:rPr>
        <w:t xml:space="preserve">para </w:t>
      </w:r>
      <w:r w:rsidR="001F6DDB" w:rsidRPr="00F8275B">
        <w:rPr>
          <w:lang w:val="es-ES"/>
        </w:rPr>
        <w:t>el desarrollo económico circular</w:t>
      </w:r>
      <w:r w:rsidRPr="00F8275B">
        <w:rPr>
          <w:lang w:val="es-ES"/>
        </w:rPr>
        <w:t>. También cabe destacar las herramientas de la UIT para la resiliencia en materia de ciberseguridad, adoptadas por las organizaciones de telecomunicaciones de África oriental y África austral.</w:t>
      </w:r>
    </w:p>
    <w:p w14:paraId="2E167B73" w14:textId="35DAE45C" w:rsidR="00CE6D77" w:rsidRPr="00F8275B" w:rsidRDefault="00CE6D77" w:rsidP="007560BC">
      <w:pPr>
        <w:keepNext/>
        <w:keepLines/>
        <w:rPr>
          <w:lang w:val="es-ES"/>
        </w:rPr>
      </w:pPr>
      <w:r w:rsidRPr="00F8275B">
        <w:rPr>
          <w:lang w:val="es-ES"/>
        </w:rPr>
        <w:lastRenderedPageBreak/>
        <w:t>Las diversas participaciones de la UIT reflejan su compromiso con la conectividad mundial, la sostenibilidad y la transformación digital. En reuniones de alto perfil como el Foro de la CMSI (que cuentan con una experiencia de 20</w:t>
      </w:r>
      <w:r w:rsidR="00901886" w:rsidRPr="00F8275B">
        <w:rPr>
          <w:lang w:val="es-ES"/>
        </w:rPr>
        <w:t> </w:t>
      </w:r>
      <w:r w:rsidRPr="00F8275B">
        <w:rPr>
          <w:lang w:val="es-ES"/>
        </w:rPr>
        <w:t xml:space="preserve">años de líneas de acción de la Cumbre Mundial sobre la Sociedad de la Información) y </w:t>
      </w:r>
      <w:r w:rsidR="001F6DDB" w:rsidRPr="00F8275B">
        <w:rPr>
          <w:lang w:val="es-ES"/>
        </w:rPr>
        <w:t>una amplia gama de</w:t>
      </w:r>
      <w:r w:rsidRPr="00F8275B">
        <w:rPr>
          <w:lang w:val="es-ES"/>
        </w:rPr>
        <w:t xml:space="preserve"> seminarios exhaustivos dirigidos por la UIT se </w:t>
      </w:r>
      <w:r w:rsidR="001F6DDB" w:rsidRPr="00F8275B">
        <w:rPr>
          <w:lang w:val="es-ES"/>
        </w:rPr>
        <w:t>ha seguido fomentando</w:t>
      </w:r>
      <w:r w:rsidRPr="00F8275B">
        <w:rPr>
          <w:lang w:val="es-ES"/>
        </w:rPr>
        <w:t xml:space="preserve"> la colaboración y </w:t>
      </w:r>
      <w:r w:rsidR="001F6DDB" w:rsidRPr="00F8275B">
        <w:rPr>
          <w:lang w:val="es-ES"/>
        </w:rPr>
        <w:t>abordando</w:t>
      </w:r>
      <w:r w:rsidRPr="00F8275B">
        <w:rPr>
          <w:lang w:val="es-ES"/>
        </w:rPr>
        <w:t xml:space="preserve"> las tendencias emergentes.</w:t>
      </w:r>
    </w:p>
    <w:p w14:paraId="2F8AA3E0" w14:textId="41DEA3B1" w:rsidR="00CE6D77" w:rsidRPr="00F8275B" w:rsidRDefault="00CE6D77" w:rsidP="00CE6D77">
      <w:pPr>
        <w:rPr>
          <w:lang w:val="es-ES"/>
        </w:rPr>
      </w:pPr>
      <w:r w:rsidRPr="00F8275B">
        <w:rPr>
          <w:lang w:val="es-ES"/>
        </w:rPr>
        <w:t>La Cooperación Mundial sobre Normas, en cuyo marco se reúne la UIT con otros organismos de normalización clave,</w:t>
      </w:r>
      <w:r w:rsidR="001F6DDB" w:rsidRPr="00F8275B">
        <w:rPr>
          <w:lang w:val="es-ES"/>
        </w:rPr>
        <w:t xml:space="preserve"> en particular la ISO y la CEI, ha trabajado activamente para impulsar</w:t>
      </w:r>
      <w:r w:rsidRPr="00F8275B">
        <w:rPr>
          <w:lang w:val="es-ES"/>
        </w:rPr>
        <w:t xml:space="preserve"> la creación de normas internacionales sostenibles. </w:t>
      </w:r>
      <w:r w:rsidR="001F6DDB" w:rsidRPr="00F8275B">
        <w:rPr>
          <w:lang w:val="es-ES"/>
        </w:rPr>
        <w:t>L</w:t>
      </w:r>
      <w:r w:rsidRPr="00F8275B">
        <w:rPr>
          <w:lang w:val="es-ES"/>
        </w:rPr>
        <w:t xml:space="preserve">a Gaceta de la UIT sobre Tecnologías Futuras y en Evolución </w:t>
      </w:r>
      <w:r w:rsidR="001F6DDB" w:rsidRPr="00F8275B">
        <w:rPr>
          <w:lang w:val="es-ES"/>
        </w:rPr>
        <w:t>ha seguido analizando</w:t>
      </w:r>
      <w:r w:rsidRPr="00F8275B">
        <w:rPr>
          <w:lang w:val="es-ES"/>
        </w:rPr>
        <w:t xml:space="preserve"> las innovaciones en</w:t>
      </w:r>
      <w:r w:rsidR="001F6DDB" w:rsidRPr="00F8275B">
        <w:rPr>
          <w:lang w:val="es-ES"/>
        </w:rPr>
        <w:t xml:space="preserve"> materia de tecnologías y redes mediante nuevas investigaciones que apoyan ampliamente la labor de normalización técnica de la UIT.</w:t>
      </w:r>
    </w:p>
    <w:p w14:paraId="74BD8B95" w14:textId="77777777" w:rsidR="00CE6D77" w:rsidRPr="00F8275B" w:rsidRDefault="00CE6D77" w:rsidP="008E064D">
      <w:pPr>
        <w:pStyle w:val="Headingb"/>
        <w:rPr>
          <w:b w:val="0"/>
          <w:bCs/>
          <w:color w:val="4F81BD"/>
          <w:lang w:val="es-ES"/>
        </w:rPr>
      </w:pPr>
      <w:r w:rsidRPr="00F8275B">
        <w:rPr>
          <w:b w:val="0"/>
          <w:bCs/>
          <w:color w:val="4F81BD"/>
          <w:lang w:val="es-ES"/>
        </w:rPr>
        <w:t>Conferencia Mundial de Radiocomunicaciones</w:t>
      </w:r>
    </w:p>
    <w:p w14:paraId="26A0D0B6" w14:textId="1C3199D2" w:rsidR="00CE6D77" w:rsidRPr="00F8275B" w:rsidRDefault="00CE6D77" w:rsidP="00CE6D77">
      <w:pPr>
        <w:rPr>
          <w:lang w:val="es-ES"/>
        </w:rPr>
      </w:pPr>
      <w:r w:rsidRPr="00F8275B">
        <w:rPr>
          <w:lang w:val="es-ES"/>
        </w:rPr>
        <w:t>La Conferencia Mundial de Radiocomunicaciones (CMR-23) consiguió resultados importantes. Algunos de ellos son la atribución de espectro adicional a las comunicaciones de banda ancha, la modernización del Sistema Mundial de Socorro y Seguridad Marítimos, la elaboración de disposiciones para la digitalización de las frecuencias aeronáuticas, la creación de normas para los servicios por satélite, el apoyo a los servicios científicos y la adopción de una resolución para apoyar la utilización del espectro por Palestina. En la</w:t>
      </w:r>
      <w:r w:rsidR="00901886" w:rsidRPr="00F8275B">
        <w:rPr>
          <w:lang w:val="es-ES"/>
        </w:rPr>
        <w:t> </w:t>
      </w:r>
      <w:r w:rsidRPr="00F8275B">
        <w:rPr>
          <w:lang w:val="es-ES"/>
        </w:rPr>
        <w:t>CMR</w:t>
      </w:r>
      <w:r w:rsidR="00901886" w:rsidRPr="00F8275B">
        <w:rPr>
          <w:lang w:val="es-ES"/>
        </w:rPr>
        <w:noBreakHyphen/>
      </w:r>
      <w:r w:rsidRPr="00F8275B">
        <w:rPr>
          <w:lang w:val="es-ES"/>
        </w:rPr>
        <w:t>23 participaron 3</w:t>
      </w:r>
      <w:r w:rsidR="00901886" w:rsidRPr="00F8275B">
        <w:rPr>
          <w:lang w:val="es-ES"/>
        </w:rPr>
        <w:t> </w:t>
      </w:r>
      <w:r w:rsidR="00DC03E9" w:rsidRPr="00F8275B">
        <w:rPr>
          <w:lang w:val="es-ES"/>
        </w:rPr>
        <w:t>982</w:t>
      </w:r>
      <w:r w:rsidR="00901886" w:rsidRPr="00F8275B">
        <w:rPr>
          <w:lang w:val="es-ES"/>
        </w:rPr>
        <w:t> </w:t>
      </w:r>
      <w:r w:rsidRPr="00F8275B">
        <w:rPr>
          <w:lang w:val="es-ES"/>
        </w:rPr>
        <w:t>personas de 163</w:t>
      </w:r>
      <w:r w:rsidR="00901886" w:rsidRPr="00F8275B">
        <w:rPr>
          <w:lang w:val="es-ES"/>
        </w:rPr>
        <w:t> </w:t>
      </w:r>
      <w:r w:rsidRPr="00F8275B">
        <w:rPr>
          <w:lang w:val="es-ES"/>
        </w:rPr>
        <w:t>Estados Miembros y 151</w:t>
      </w:r>
      <w:r w:rsidR="00901886" w:rsidRPr="00F8275B">
        <w:rPr>
          <w:lang w:val="es-ES"/>
        </w:rPr>
        <w:t> </w:t>
      </w:r>
      <w:r w:rsidRPr="00F8275B">
        <w:rPr>
          <w:lang w:val="es-ES"/>
        </w:rPr>
        <w:t>organizaciones observadoras.</w:t>
      </w:r>
    </w:p>
    <w:p w14:paraId="02739A15" w14:textId="77777777" w:rsidR="00CE6D77" w:rsidRPr="00F8275B" w:rsidRDefault="00CE6D77" w:rsidP="00C15C5F">
      <w:pPr>
        <w:spacing w:after="120"/>
        <w:rPr>
          <w:lang w:val="es-ES"/>
        </w:rPr>
      </w:pPr>
      <w:r w:rsidRPr="00F8275B">
        <w:rPr>
          <w:lang w:val="es-ES"/>
        </w:rPr>
        <w:t>La AR-23 anterior definió los futuros programas de trabajo del UIT-R, revisó Resoluciones, aprobó Recomendaciones y promovió la igualdad de género y la utilización sostenible del espectro.</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DC03E9" w:rsidRPr="00F8275B" w14:paraId="3C1E06A3" w14:textId="77777777" w:rsidTr="00173444">
        <w:trPr>
          <w:jc w:val="center"/>
        </w:trPr>
        <w:tc>
          <w:tcPr>
            <w:tcW w:w="9061" w:type="dxa"/>
          </w:tcPr>
          <w:p w14:paraId="525BEA7A" w14:textId="6F1A1A9D" w:rsidR="00DC03E9" w:rsidRPr="00F8275B" w:rsidRDefault="00DC03E9" w:rsidP="00233F8E">
            <w:pPr>
              <w:keepNext/>
              <w:keepLines/>
              <w:jc w:val="center"/>
              <w:rPr>
                <w:b/>
                <w:bCs/>
                <w:sz w:val="28"/>
                <w:szCs w:val="28"/>
                <w:lang w:val="es-ES"/>
              </w:rPr>
            </w:pPr>
            <w:r w:rsidRPr="00F8275B">
              <w:rPr>
                <w:b/>
                <w:bCs/>
                <w:sz w:val="28"/>
                <w:szCs w:val="28"/>
                <w:lang w:val="es-ES"/>
              </w:rPr>
              <w:t>Historia de impacto</w:t>
            </w:r>
          </w:p>
          <w:p w14:paraId="2B3F310C" w14:textId="03C162A8" w:rsidR="00DC03E9" w:rsidRPr="00F8275B" w:rsidRDefault="00DC03E9" w:rsidP="00173444">
            <w:pPr>
              <w:pStyle w:val="Headingb"/>
              <w:rPr>
                <w:lang w:val="es-ES"/>
              </w:rPr>
            </w:pPr>
            <w:r w:rsidRPr="00F8275B">
              <w:rPr>
                <w:lang w:val="es-ES"/>
              </w:rPr>
              <w:t>Premio Emmy por la TV-EGD</w:t>
            </w:r>
          </w:p>
          <w:p w14:paraId="35BB9AA8" w14:textId="79C22D34" w:rsidR="00A55B05" w:rsidRPr="00F8275B" w:rsidRDefault="00DC03E9" w:rsidP="00173444">
            <w:pPr>
              <w:rPr>
                <w:rFonts w:ascii="Arial" w:hAnsi="Arial" w:cs="Arial"/>
                <w:sz w:val="18"/>
                <w:szCs w:val="18"/>
                <w:shd w:val="clear" w:color="auto" w:fill="FFFFFF"/>
                <w:lang w:val="es-ES"/>
              </w:rPr>
            </w:pPr>
            <w:r w:rsidRPr="00F8275B">
              <w:rPr>
                <w:lang w:val="es-ES"/>
              </w:rPr>
              <w:t>La televisión de elevada gama dinámica (TV-EGD) ha revolucionado la producción y radiodifusión de la televisión, afectando a toda la cadena de procesamiento de imágenes, desde la manera en que se capturan las imágenes, hasta la postproducción y la corrección del color, y la manera en que se muestran en televisores aptos para la EGD. La recomendación de la UIT en materia de radiocomunicaciones en que se destacan estas innovaciones (</w:t>
            </w:r>
            <w:hyperlink r:id="rId25" w:history="1">
              <w:r w:rsidRPr="00F8275B">
                <w:rPr>
                  <w:rStyle w:val="Hyperlink"/>
                  <w:rFonts w:cstheme="minorHAnsi"/>
                  <w:lang w:val="es-ES"/>
                </w:rPr>
                <w:t>UIT</w:t>
              </w:r>
              <w:r w:rsidRPr="00F8275B">
                <w:rPr>
                  <w:rStyle w:val="Hyperlink"/>
                  <w:rFonts w:cstheme="minorHAnsi"/>
                  <w:lang w:val="es-ES"/>
                </w:rPr>
                <w:noBreakHyphen/>
                <w:t>R BT.2100</w:t>
              </w:r>
            </w:hyperlink>
            <w:r w:rsidRPr="00F8275B">
              <w:rPr>
                <w:color w:val="2F2F2F"/>
                <w:lang w:val="es-ES"/>
              </w:rPr>
              <w:t>)</w:t>
            </w:r>
            <w:r w:rsidRPr="00F8275B">
              <w:rPr>
                <w:lang w:val="es-ES"/>
              </w:rPr>
              <w:t>, publicada por primera vez en 2016, ganó un premio Emmy en 2023. El Premio Emmy de Ingeniería, Ciencia y Tecnología de 2023 a la recomendación relativa a la TV-EGD</w:t>
            </w:r>
            <w:r w:rsidR="000C3A46" w:rsidRPr="00F8275B">
              <w:rPr>
                <w:lang w:val="es-ES"/>
              </w:rPr>
              <w:t xml:space="preserve"> aumenta hasta seis el número total de premios Emmy recibidos por la</w:t>
            </w:r>
            <w:r w:rsidR="00C15C5F" w:rsidRPr="00F8275B">
              <w:rPr>
                <w:lang w:val="es-ES"/>
              </w:rPr>
              <w:t> </w:t>
            </w:r>
            <w:r w:rsidR="000C3A46" w:rsidRPr="00F8275B">
              <w:rPr>
                <w:lang w:val="es-ES"/>
              </w:rPr>
              <w:t>UIT.</w:t>
            </w:r>
          </w:p>
          <w:p w14:paraId="73B9DB46" w14:textId="00A4A9C5" w:rsidR="00DC03E9" w:rsidRPr="00F8275B" w:rsidRDefault="00534F60" w:rsidP="00173444">
            <w:pPr>
              <w:spacing w:after="120"/>
              <w:rPr>
                <w:lang w:val="es-ES" w:eastAsia="zh-CN"/>
              </w:rPr>
            </w:pPr>
            <w:hyperlink r:id="rId26" w:history="1">
              <w:r w:rsidR="008E064D" w:rsidRPr="00F8275B">
                <w:rPr>
                  <w:rStyle w:val="Hyperlink"/>
                  <w:lang w:val="es-ES" w:eastAsia="zh-CN"/>
                </w:rPr>
                <w:t>Más información sobre el proceso de estudio del UIT-R en relación con la TV-EGD</w:t>
              </w:r>
            </w:hyperlink>
          </w:p>
        </w:tc>
      </w:tr>
    </w:tbl>
    <w:p w14:paraId="27EAC171" w14:textId="77777777" w:rsidR="00CE6D77" w:rsidRPr="00F8275B" w:rsidRDefault="00CE6D77" w:rsidP="008E064D">
      <w:pPr>
        <w:pStyle w:val="Headingb"/>
        <w:rPr>
          <w:b w:val="0"/>
          <w:bCs/>
          <w:color w:val="4F81BD"/>
          <w:lang w:val="es-ES"/>
        </w:rPr>
      </w:pPr>
      <w:r w:rsidRPr="00F8275B">
        <w:rPr>
          <w:b w:val="0"/>
          <w:bCs/>
          <w:color w:val="4F81BD"/>
          <w:lang w:val="es-ES"/>
        </w:rPr>
        <w:t>Excelencia institucional</w:t>
      </w:r>
    </w:p>
    <w:p w14:paraId="740BCD2A" w14:textId="153AA47B" w:rsidR="00CE6D77" w:rsidRPr="00F8275B" w:rsidRDefault="00CE6D77" w:rsidP="00CE6D77">
      <w:pPr>
        <w:rPr>
          <w:lang w:val="es-ES"/>
        </w:rPr>
      </w:pPr>
      <w:r w:rsidRPr="00F8275B">
        <w:rPr>
          <w:lang w:val="es-ES"/>
        </w:rPr>
        <w:t>La UIT está siendo objeto de una importante transformación para mejorar la eficiencia, la innovación y la inclusividad en sus operaciones. En una exhaustiva hoja de ruta para la transformación, aprobada por el Consejo de la UIT, se incluye la creación de un Equipo para la Transformación.</w:t>
      </w:r>
    </w:p>
    <w:p w14:paraId="03CAAF2F" w14:textId="412AD6AE" w:rsidR="00CE6D77" w:rsidRPr="00F8275B" w:rsidRDefault="00CE6D77" w:rsidP="00CE6D77">
      <w:pPr>
        <w:rPr>
          <w:lang w:val="es-ES"/>
        </w:rPr>
      </w:pPr>
      <w:r w:rsidRPr="00F8275B">
        <w:rPr>
          <w:lang w:val="es-ES"/>
        </w:rPr>
        <w:lastRenderedPageBreak/>
        <w:t>La organización promueve el cambio de la cultura interna, y goza de ocho miembros de su personal formados en calidad de agentes del cambio. Los laboratorios de aprendizaje ofrecen experiencias prácticas al personal con las tecnologías emergentes, como la</w:t>
      </w:r>
      <w:r w:rsidR="001F6DDB" w:rsidRPr="00F8275B">
        <w:rPr>
          <w:lang w:val="es-ES"/>
        </w:rPr>
        <w:t>s tecnologías cuánticas y la IA</w:t>
      </w:r>
      <w:r w:rsidRPr="00F8275B">
        <w:rPr>
          <w:lang w:val="es-ES"/>
        </w:rPr>
        <w:t>. En reuniones generales periódicas se fomenta la participación y la comunicación abierta con la dirección. La creación de la Junta de Jóvenes Asesores de la UIT tiene por objeto buscar nuevas perspectivas sobre la conectividad mundial.</w:t>
      </w:r>
    </w:p>
    <w:p w14:paraId="11AF5958" w14:textId="35F6220F" w:rsidR="00CE6D77" w:rsidRPr="00F8275B" w:rsidRDefault="00CE6D77" w:rsidP="00CE6D77">
      <w:pPr>
        <w:rPr>
          <w:lang w:val="es-ES"/>
        </w:rPr>
      </w:pPr>
      <w:r w:rsidRPr="00F8275B">
        <w:rPr>
          <w:lang w:val="es-ES"/>
        </w:rPr>
        <w:t xml:space="preserve">Las reuniones del Consejo se centran en el liderazgo durante la transformación, mientras que las reuniones de información mantienen informados a los diplomáticos acerca de las iniciativas de la UIT. </w:t>
      </w:r>
      <w:r w:rsidR="001F6DDB" w:rsidRPr="00F8275B">
        <w:rPr>
          <w:lang w:val="es-ES"/>
        </w:rPr>
        <w:t xml:space="preserve">La serie </w:t>
      </w:r>
      <w:r w:rsidR="00FE720D">
        <w:rPr>
          <w:lang w:val="es-ES"/>
        </w:rPr>
        <w:t>"</w:t>
      </w:r>
      <w:r w:rsidR="001F6DDB" w:rsidRPr="00F8275B">
        <w:rPr>
          <w:lang w:val="es-ES"/>
        </w:rPr>
        <w:t>Desmitificación de la tecnología digital</w:t>
      </w:r>
      <w:r w:rsidR="00FE720D">
        <w:rPr>
          <w:lang w:val="es-ES"/>
        </w:rPr>
        <w:t>"</w:t>
      </w:r>
      <w:r w:rsidR="001F6DDB" w:rsidRPr="00F8275B">
        <w:rPr>
          <w:lang w:val="es-ES"/>
        </w:rPr>
        <w:t xml:space="preserve"> tiene por objeto explicar las tecnologías fundamentales y los procesos de cooperación técnica a un público que por lo general no es técnico. Esta reúne al personal y expertos de la UIT</w:t>
      </w:r>
      <w:r w:rsidR="0017456F">
        <w:rPr>
          <w:lang w:val="es-ES"/>
        </w:rPr>
        <w:t xml:space="preserve"> </w:t>
      </w:r>
      <w:r w:rsidR="001F6DDB" w:rsidRPr="00F8275B">
        <w:rPr>
          <w:lang w:val="es-ES"/>
        </w:rPr>
        <w:t xml:space="preserve">junto con miembros de la comunidad diplomática, lo que facilita una mejor comprensión de las tendencias emergentes e impulsa el debate sobre sus posibles efectos. </w:t>
      </w:r>
      <w:r w:rsidRPr="00F8275B">
        <w:rPr>
          <w:lang w:val="es-ES"/>
        </w:rPr>
        <w:t>Además, se ha creado un conjunto de herramientas que ayuda a los diplomáticos de nueva incorporación a familiarizarse con los asuntos de la UIT.</w:t>
      </w:r>
    </w:p>
    <w:p w14:paraId="2ABA6C68" w14:textId="4CDDA4CD" w:rsidR="001F6DDB" w:rsidRPr="00F8275B" w:rsidRDefault="001F6DDB" w:rsidP="00CE6D77">
      <w:pPr>
        <w:rPr>
          <w:lang w:val="es-ES"/>
        </w:rPr>
      </w:pPr>
      <w:r w:rsidRPr="00F8275B">
        <w:rPr>
          <w:lang w:val="es-ES"/>
        </w:rPr>
        <w:t>Una nueva estrategia de movilización de recursos tiene el objetivo de mejorar la financiación mediante las alianzas.</w:t>
      </w:r>
    </w:p>
    <w:p w14:paraId="0F035273" w14:textId="161926AA" w:rsidR="00CE6D77" w:rsidRPr="00F8275B" w:rsidRDefault="00CE6D77" w:rsidP="00CE6D77">
      <w:pPr>
        <w:rPr>
          <w:lang w:val="es-ES"/>
        </w:rPr>
      </w:pPr>
      <w:r w:rsidRPr="00F8275B">
        <w:rPr>
          <w:lang w:val="es-ES"/>
        </w:rPr>
        <w:t>La UIT sigue desarrollando y aplicando un Sistema de Gestión Ambiental que tiene por objeto la mejora continua de la huella de sus operaciones en el medioambiente. Según el Informe Greening the Blue Report 2023, las emisiones de CO</w:t>
      </w:r>
      <w:r w:rsidRPr="00F8275B">
        <w:rPr>
          <w:vertAlign w:val="subscript"/>
          <w:lang w:val="es-ES"/>
        </w:rPr>
        <w:t>2</w:t>
      </w:r>
      <w:r w:rsidRPr="00F8275B">
        <w:rPr>
          <w:lang w:val="es-ES"/>
        </w:rPr>
        <w:t xml:space="preserve"> de la UIT pasaron de 1</w:t>
      </w:r>
      <w:r w:rsidR="00901886" w:rsidRPr="00F8275B">
        <w:rPr>
          <w:lang w:val="es-ES"/>
        </w:rPr>
        <w:t> </w:t>
      </w:r>
      <w:r w:rsidRPr="00F8275B">
        <w:rPr>
          <w:lang w:val="es-ES"/>
        </w:rPr>
        <w:t>674</w:t>
      </w:r>
      <w:r w:rsidR="00901886" w:rsidRPr="00F8275B">
        <w:rPr>
          <w:lang w:val="es-ES"/>
        </w:rPr>
        <w:t> </w:t>
      </w:r>
      <w:r w:rsidRPr="00F8275B">
        <w:rPr>
          <w:lang w:val="es-ES"/>
        </w:rPr>
        <w:t>toneladas en 2021 a 1</w:t>
      </w:r>
      <w:r w:rsidR="00A84AA8" w:rsidRPr="00F8275B">
        <w:rPr>
          <w:lang w:val="es-ES"/>
        </w:rPr>
        <w:t> </w:t>
      </w:r>
      <w:r w:rsidRPr="00F8275B">
        <w:rPr>
          <w:lang w:val="es-ES"/>
        </w:rPr>
        <w:t>969</w:t>
      </w:r>
      <w:r w:rsidR="00A84AA8" w:rsidRPr="00F8275B">
        <w:rPr>
          <w:lang w:val="es-ES"/>
        </w:rPr>
        <w:t> </w:t>
      </w:r>
      <w:r w:rsidRPr="00F8275B">
        <w:rPr>
          <w:lang w:val="es-ES"/>
        </w:rPr>
        <w:t>toneladas en 2022. Esto se debió principalmente al aumento de los viajes oficiales tras el final de la pandemia de COVID</w:t>
      </w:r>
      <w:r w:rsidR="00BC3BB0" w:rsidRPr="00F8275B">
        <w:rPr>
          <w:lang w:val="es-ES"/>
        </w:rPr>
        <w:noBreakHyphen/>
      </w:r>
      <w:r w:rsidRPr="00F8275B">
        <w:rPr>
          <w:lang w:val="es-ES"/>
        </w:rPr>
        <w:t>19.</w:t>
      </w:r>
    </w:p>
    <w:p w14:paraId="0D7EB237" w14:textId="77777777" w:rsidR="00CE6D77" w:rsidRPr="00F8275B" w:rsidRDefault="00CE6D77" w:rsidP="00CE6D77">
      <w:pPr>
        <w:rPr>
          <w:lang w:val="es-ES"/>
        </w:rPr>
      </w:pPr>
      <w:r w:rsidRPr="00F8275B">
        <w:rPr>
          <w:lang w:val="es-ES"/>
        </w:rPr>
        <w:t>Los planes de renovación de la sede en Ginebra reflejan la evolución institucional continua de la UIT, su preparación para el futuro, y su compromiso incesante con la transformación digital sostenible.</w:t>
      </w:r>
    </w:p>
    <w:p w14:paraId="50879071" w14:textId="77777777" w:rsidR="00CE6D77" w:rsidRPr="00F8275B" w:rsidRDefault="00CE6D77" w:rsidP="00CE6D77">
      <w:pPr>
        <w:pStyle w:val="Headingb"/>
        <w:rPr>
          <w:b w:val="0"/>
          <w:bCs/>
          <w:color w:val="4F81BD"/>
          <w:lang w:val="es-ES"/>
        </w:rPr>
      </w:pPr>
      <w:r w:rsidRPr="00F8275B">
        <w:rPr>
          <w:b w:val="0"/>
          <w:bCs/>
          <w:color w:val="4F81BD"/>
          <w:lang w:val="es-ES"/>
        </w:rPr>
        <w:t>¿Se suma?</w:t>
      </w:r>
    </w:p>
    <w:p w14:paraId="7BBD1C2F" w14:textId="2BA13D11" w:rsidR="00CE6D77" w:rsidRPr="00F8275B" w:rsidRDefault="00CE6D77" w:rsidP="00CE6D77">
      <w:pPr>
        <w:rPr>
          <w:lang w:val="es-ES"/>
        </w:rPr>
      </w:pPr>
      <w:r w:rsidRPr="00F8275B">
        <w:rPr>
          <w:lang w:val="es-ES"/>
        </w:rPr>
        <w:t>La UIT está adentrándose en un periodo excitante, desempeñando un papel esencial en decisiones mundiales que serán decisivas para el futuro de la humanidad y nuestro planeta. La próxima Cumbre del Futuro de las Naciones Unidas, que se celebrará en septiembre de</w:t>
      </w:r>
      <w:r w:rsidR="00A84AA8" w:rsidRPr="00F8275B">
        <w:rPr>
          <w:lang w:val="es-ES"/>
        </w:rPr>
        <w:t> </w:t>
      </w:r>
      <w:r w:rsidRPr="00F8275B">
        <w:rPr>
          <w:lang w:val="es-ES"/>
        </w:rPr>
        <w:t>2024, incluye un componente digital importante, ya que abarca debates centrados en garantizar el primer Pacto Digital Mundial. Las diversas actividades de la UIT y su claro enfoque estratégico la convierten en un contribuidor clave en estos procesos.</w:t>
      </w:r>
    </w:p>
    <w:p w14:paraId="20EF2ED0" w14:textId="7F4165F2" w:rsidR="00CE6D77" w:rsidRPr="00F8275B" w:rsidRDefault="00CE6D77" w:rsidP="00CE6D77">
      <w:pPr>
        <w:rPr>
          <w:lang w:val="es-ES"/>
        </w:rPr>
      </w:pPr>
      <w:r w:rsidRPr="00F8275B">
        <w:rPr>
          <w:lang w:val="es-ES"/>
        </w:rPr>
        <w:t>Se ha previsto que la próxima conferencia estatutaria de la UIT, la Asamblea Mundial de Normalización de las Telecomunicaciones (AMNT-24) tenga lugar del 15 al 24 de octubre de</w:t>
      </w:r>
      <w:r w:rsidR="001A500C" w:rsidRPr="00F8275B">
        <w:rPr>
          <w:lang w:val="es-ES"/>
        </w:rPr>
        <w:t> </w:t>
      </w:r>
      <w:r w:rsidRPr="00F8275B">
        <w:rPr>
          <w:lang w:val="es-ES"/>
        </w:rPr>
        <w:t>2024 en Nueva Delhi (India). Constituirá un momento clave para fomentar normas inclusivas en consonancia con el desarrollo sostenible y la acción por el clima. La versatilidad y credibilidad de las normas de la UIT también son fundamentales porque el tema de la Acción Digital Verde sigue incluido en la COP29.</w:t>
      </w:r>
    </w:p>
    <w:p w14:paraId="12E39F3B" w14:textId="45AAAB68" w:rsidR="00CE6D77" w:rsidRPr="00F8275B" w:rsidRDefault="00CE6D77" w:rsidP="00CE6D77">
      <w:pPr>
        <w:rPr>
          <w:lang w:val="es-ES"/>
        </w:rPr>
      </w:pPr>
      <w:r w:rsidRPr="00F8275B">
        <w:rPr>
          <w:lang w:val="es-ES"/>
        </w:rPr>
        <w:t xml:space="preserve">La comunidad mundial de la UIT sigue buscando nuevos miembros y asociados comprometidos con conectar el mundo </w:t>
      </w:r>
      <w:r w:rsidR="00901886" w:rsidRPr="00F8275B">
        <w:rPr>
          <w:lang w:val="es-ES"/>
        </w:rPr>
        <w:t>–</w:t>
      </w:r>
      <w:r w:rsidRPr="00F8275B">
        <w:rPr>
          <w:lang w:val="es-ES"/>
        </w:rPr>
        <w:t xml:space="preserve"> y más allá.</w:t>
      </w:r>
    </w:p>
    <w:p w14:paraId="416060B7" w14:textId="77777777" w:rsidR="00CE6D77" w:rsidRPr="00F8275B" w:rsidRDefault="00CE6D77" w:rsidP="007560BC">
      <w:pPr>
        <w:keepNext/>
        <w:keepLines/>
        <w:rPr>
          <w:lang w:val="es-ES"/>
        </w:rPr>
      </w:pPr>
      <w:r w:rsidRPr="00F8275B">
        <w:rPr>
          <w:lang w:val="es-ES"/>
        </w:rPr>
        <w:lastRenderedPageBreak/>
        <w:t>Con toda seguridad, los próximos cuatro años aportarán nuevos desafíos, muchos de los cuales no son previsibles por ahora. No obstante, la UIT, en su condición de organismo de las Naciones Unidas para las tecnologías digitales, seguirá dedicándose a conectar a toda la humanidad y conformar un futuro mejor para todos.</w:t>
      </w:r>
    </w:p>
    <w:p w14:paraId="10D79060" w14:textId="71E45859" w:rsidR="00CE6D77" w:rsidRPr="00F8275B" w:rsidRDefault="00CE6D77" w:rsidP="00CE6D77">
      <w:pPr>
        <w:pStyle w:val="Heading1"/>
        <w:rPr>
          <w:lang w:val="es-ES"/>
        </w:rPr>
      </w:pPr>
      <w:bookmarkStart w:id="15" w:name="_Toc164862519"/>
      <w:bookmarkStart w:id="16" w:name="_Toc165024933"/>
      <w:bookmarkStart w:id="17" w:name="_Toc166580874"/>
      <w:r w:rsidRPr="00F8275B">
        <w:rPr>
          <w:lang w:val="es-ES"/>
        </w:rPr>
        <w:t>2</w:t>
      </w:r>
      <w:r w:rsidRPr="00F8275B">
        <w:rPr>
          <w:lang w:val="es-ES"/>
        </w:rPr>
        <w:tab/>
      </w:r>
      <w:bookmarkEnd w:id="8"/>
      <w:bookmarkEnd w:id="15"/>
      <w:bookmarkEnd w:id="16"/>
      <w:r w:rsidR="000C3A46" w:rsidRPr="00F8275B">
        <w:rPr>
          <w:lang w:val="es-ES"/>
        </w:rPr>
        <w:t>Conferencias mundiales estatutarias en 2023</w:t>
      </w:r>
      <w:bookmarkEnd w:id="17"/>
    </w:p>
    <w:p w14:paraId="38CA6C0C" w14:textId="77777777" w:rsidR="00CE6D77" w:rsidRPr="00F8275B" w:rsidRDefault="00CE6D77" w:rsidP="00CE6D77">
      <w:pPr>
        <w:pStyle w:val="Heading2"/>
        <w:rPr>
          <w:lang w:val="es-ES"/>
        </w:rPr>
      </w:pPr>
      <w:bookmarkStart w:id="18" w:name="_Toc164862520"/>
      <w:bookmarkStart w:id="19" w:name="_Toc165024934"/>
      <w:bookmarkStart w:id="20" w:name="_Toc166580875"/>
      <w:r w:rsidRPr="00F8275B">
        <w:rPr>
          <w:lang w:val="es-ES"/>
        </w:rPr>
        <w:t>2.1</w:t>
      </w:r>
      <w:r w:rsidRPr="00F8275B">
        <w:rPr>
          <w:lang w:val="es-ES"/>
        </w:rPr>
        <w:tab/>
        <w:t>CMR-23</w:t>
      </w:r>
      <w:bookmarkEnd w:id="18"/>
      <w:bookmarkEnd w:id="19"/>
      <w:bookmarkEnd w:id="20"/>
    </w:p>
    <w:p w14:paraId="489FD28A" w14:textId="77777777" w:rsidR="00CE6D77" w:rsidRPr="00F8275B" w:rsidRDefault="00CE6D77" w:rsidP="00CE6D77">
      <w:pPr>
        <w:rPr>
          <w:lang w:val="es-ES"/>
        </w:rPr>
      </w:pPr>
      <w:r w:rsidRPr="00F8275B">
        <w:rPr>
          <w:lang w:val="es-ES"/>
        </w:rPr>
        <w:t>La Conferencia Mundial de Radiocomunicaciones (CMR-23), dio lugar a importantes logros en materia de reglamentación del espectro para la prestación de servicios de radiocomunicaciones espaciales, científicos y terrenales, basados en la intensa labor en curso de la UIT para propiciar la conectividad universal y una transformación digital sostenible.</w:t>
      </w:r>
    </w:p>
    <w:p w14:paraId="365CCB3B" w14:textId="77777777" w:rsidR="00CE6D77" w:rsidRPr="00F8275B" w:rsidRDefault="00CE6D77" w:rsidP="00CE6D77">
      <w:pPr>
        <w:rPr>
          <w:lang w:val="es-ES"/>
        </w:rPr>
      </w:pPr>
      <w:r w:rsidRPr="00F8275B">
        <w:rPr>
          <w:lang w:val="es-ES"/>
        </w:rPr>
        <w:t>Los Estados Miembros de la UIT acordaron actualizar el Reglamento de Radiocomunicaciones e identificar nuevos recursos de espectro para fomentar la innovación tecnológica, facilitar la conectividad a escala mundial, mejorar la utilización de los recursos radioeléctricos espaciales y el acceso a los mismos de forma equitativa, y aumentar la seguridad marítima, aérea y terrestre. La Conferencia se celebró en Dubái (Emiratos Árabes Unidos), del 20 de noviembre al 15 de diciembre de 2023. La CMR-23, junto con la anterior Asamblea de Radiocomunicaciones (AR-23), ha ayudado a encaminar al mundo hacia el logro de un futuro digital más conectado, sostenible, equitativo e inclusivo para todos.</w:t>
      </w:r>
    </w:p>
    <w:p w14:paraId="20ED5AC5" w14:textId="7F8D0AF6" w:rsidR="00CE6D77" w:rsidRPr="00F8275B" w:rsidRDefault="00CE6D77" w:rsidP="00CE6D77">
      <w:pPr>
        <w:rPr>
          <w:lang w:val="es-ES"/>
        </w:rPr>
      </w:pPr>
      <w:r w:rsidRPr="00F8275B">
        <w:rPr>
          <w:lang w:val="es-ES"/>
        </w:rPr>
        <w:t>En total, en la CMR</w:t>
      </w:r>
      <w:r w:rsidR="00A440E1" w:rsidRPr="00F8275B">
        <w:rPr>
          <w:lang w:val="es-ES"/>
        </w:rPr>
        <w:noBreakHyphen/>
      </w:r>
      <w:r w:rsidRPr="00F8275B">
        <w:rPr>
          <w:lang w:val="es-ES"/>
        </w:rPr>
        <w:t>23 participaron 3</w:t>
      </w:r>
      <w:r w:rsidR="00901886" w:rsidRPr="00F8275B">
        <w:rPr>
          <w:lang w:val="es-ES"/>
        </w:rPr>
        <w:t> </w:t>
      </w:r>
      <w:r w:rsidRPr="00F8275B">
        <w:rPr>
          <w:lang w:val="es-ES"/>
        </w:rPr>
        <w:t>982</w:t>
      </w:r>
      <w:r w:rsidR="00901886" w:rsidRPr="00F8275B">
        <w:rPr>
          <w:lang w:val="es-ES"/>
        </w:rPr>
        <w:t> </w:t>
      </w:r>
      <w:r w:rsidRPr="00F8275B">
        <w:rPr>
          <w:lang w:val="es-ES"/>
        </w:rPr>
        <w:t>personas que representaban a 163</w:t>
      </w:r>
      <w:r w:rsidR="00901886" w:rsidRPr="00F8275B">
        <w:rPr>
          <w:lang w:val="es-ES"/>
        </w:rPr>
        <w:t> </w:t>
      </w:r>
      <w:r w:rsidRPr="00F8275B">
        <w:rPr>
          <w:lang w:val="es-ES"/>
        </w:rPr>
        <w:t>Estados Miembros de la UIT, entre ellas 88</w:t>
      </w:r>
      <w:r w:rsidR="00901886" w:rsidRPr="00F8275B">
        <w:rPr>
          <w:lang w:val="es-ES"/>
        </w:rPr>
        <w:t> </w:t>
      </w:r>
      <w:r w:rsidRPr="00F8275B">
        <w:rPr>
          <w:lang w:val="es-ES"/>
        </w:rPr>
        <w:t>participantes de nivel ministerial y 151</w:t>
      </w:r>
      <w:r w:rsidR="00901886" w:rsidRPr="00F8275B">
        <w:rPr>
          <w:lang w:val="es-ES"/>
        </w:rPr>
        <w:t> </w:t>
      </w:r>
      <w:r w:rsidRPr="00F8275B">
        <w:rPr>
          <w:lang w:val="es-ES"/>
        </w:rPr>
        <w:t>organizaciones observadoras. Las mujeres representaron el 22% de todos los delegados de la CMR-23, lo que constituye un aumento del 18% con respecto a la CMR-19, que tuvo lugar en 2019.</w:t>
      </w:r>
    </w:p>
    <w:p w14:paraId="4CC00438" w14:textId="77777777" w:rsidR="00CE6D77" w:rsidRPr="00F8275B" w:rsidRDefault="00CE6D77" w:rsidP="00CE6D77">
      <w:pPr>
        <w:pStyle w:val="Headingb"/>
        <w:rPr>
          <w:lang w:val="es-ES"/>
        </w:rPr>
      </w:pPr>
      <w:r w:rsidRPr="00F8275B">
        <w:rPr>
          <w:lang w:val="es-ES"/>
        </w:rPr>
        <w:t>Principales resultados de la CMR-23</w:t>
      </w:r>
    </w:p>
    <w:p w14:paraId="7D6EAB36" w14:textId="205AA822" w:rsidR="00CE6D77" w:rsidRPr="00F8275B" w:rsidRDefault="00CE6D77" w:rsidP="00CE6D77">
      <w:pPr>
        <w:rPr>
          <w:lang w:val="es-ES"/>
        </w:rPr>
      </w:pPr>
      <w:r w:rsidRPr="00F8275B">
        <w:rPr>
          <w:lang w:val="es-ES"/>
        </w:rPr>
        <w:t>La CMR-23 abordó más de 30</w:t>
      </w:r>
      <w:r w:rsidR="00A440E1" w:rsidRPr="00F8275B">
        <w:rPr>
          <w:lang w:val="es-ES"/>
        </w:rPr>
        <w:t> </w:t>
      </w:r>
      <w:r w:rsidRPr="00F8275B">
        <w:rPr>
          <w:lang w:val="es-ES"/>
        </w:rPr>
        <w:t>temas relacionados con la atribución y la compartición de frecuencias para la utilización eficaz del espectro y los recursos orbitales. A continuación, se exponen los resultados principales:</w:t>
      </w:r>
    </w:p>
    <w:p w14:paraId="19AB32C7" w14:textId="77777777" w:rsidR="00CE6D77" w:rsidRPr="00F8275B" w:rsidRDefault="00CE6D77" w:rsidP="00CE6D77">
      <w:pPr>
        <w:pStyle w:val="Headingb"/>
        <w:rPr>
          <w:lang w:val="es-ES"/>
        </w:rPr>
      </w:pPr>
      <w:r w:rsidRPr="00F8275B">
        <w:rPr>
          <w:lang w:val="es-ES"/>
        </w:rPr>
        <w:t>Comunicaciones móviles y fijas de banda ancha</w:t>
      </w:r>
    </w:p>
    <w:p w14:paraId="57C7AF05" w14:textId="0AB14604" w:rsidR="00CE6D77" w:rsidRPr="00F8275B" w:rsidRDefault="00CE6D77" w:rsidP="00CE6D77">
      <w:pPr>
        <w:rPr>
          <w:lang w:val="es-ES"/>
        </w:rPr>
      </w:pPr>
      <w:r w:rsidRPr="00F8275B">
        <w:rPr>
          <w:lang w:val="es-ES"/>
        </w:rPr>
        <w:t>Con miras a satisfacer la demanda mundial de espectro de IMT en bandas medias, la CMR</w:t>
      </w:r>
      <w:r w:rsidR="00B919E1" w:rsidRPr="00F8275B">
        <w:rPr>
          <w:lang w:val="es-ES"/>
        </w:rPr>
        <w:noBreakHyphen/>
      </w:r>
      <w:r w:rsidRPr="00F8275B">
        <w:rPr>
          <w:lang w:val="es-ES"/>
        </w:rPr>
        <w:t>23 identificó un total de 1 300</w:t>
      </w:r>
      <w:r w:rsidR="00B919E1" w:rsidRPr="00F8275B">
        <w:rPr>
          <w:lang w:val="es-ES"/>
        </w:rPr>
        <w:t> </w:t>
      </w:r>
      <w:r w:rsidRPr="00F8275B">
        <w:rPr>
          <w:lang w:val="es-ES"/>
        </w:rPr>
        <w:t xml:space="preserve">MHz adicionales para las </w:t>
      </w:r>
      <w:r w:rsidR="00647775" w:rsidRPr="00647775">
        <w:rPr>
          <w:lang w:val="es-ES"/>
        </w:rPr>
        <w:t xml:space="preserve">telecomunicaciones móviles internacionales </w:t>
      </w:r>
      <w:r w:rsidR="00647775">
        <w:rPr>
          <w:lang w:val="es-ES"/>
        </w:rPr>
        <w:t>(</w:t>
      </w:r>
      <w:r w:rsidRPr="00F8275B">
        <w:rPr>
          <w:lang w:val="es-ES"/>
        </w:rPr>
        <w:t>IMT</w:t>
      </w:r>
      <w:r w:rsidR="00647775">
        <w:rPr>
          <w:lang w:val="es-ES"/>
        </w:rPr>
        <w:t>)</w:t>
      </w:r>
      <w:r w:rsidRPr="00F8275B">
        <w:rPr>
          <w:lang w:val="es-ES"/>
        </w:rPr>
        <w:t xml:space="preserve"> y la extensión de la identificación de las </w:t>
      </w:r>
      <w:r w:rsidR="00903932" w:rsidRPr="00F8275B">
        <w:rPr>
          <w:lang w:val="es-ES"/>
        </w:rPr>
        <w:t>IMT</w:t>
      </w:r>
      <w:r w:rsidRPr="00F8275B">
        <w:rPr>
          <w:lang w:val="es-ES"/>
        </w:rPr>
        <w:t xml:space="preserve"> en las gamas de frecuencias entre 3 300</w:t>
      </w:r>
      <w:r w:rsidR="00B919E1" w:rsidRPr="00F8275B">
        <w:rPr>
          <w:lang w:val="es-ES"/>
        </w:rPr>
        <w:t> </w:t>
      </w:r>
      <w:r w:rsidRPr="00F8275B">
        <w:rPr>
          <w:lang w:val="es-ES"/>
        </w:rPr>
        <w:t>MHz y 10,5</w:t>
      </w:r>
      <w:r w:rsidR="00B919E1" w:rsidRPr="00F8275B">
        <w:rPr>
          <w:lang w:val="es-ES"/>
        </w:rPr>
        <w:t> </w:t>
      </w:r>
      <w:r w:rsidRPr="00F8275B">
        <w:rPr>
          <w:lang w:val="es-ES"/>
        </w:rPr>
        <w:t>GHz. Las bandas de frecuencias 3 300-3 400</w:t>
      </w:r>
      <w:r w:rsidR="00A440E1" w:rsidRPr="00F8275B">
        <w:rPr>
          <w:lang w:val="es-ES"/>
        </w:rPr>
        <w:t> </w:t>
      </w:r>
      <w:r w:rsidRPr="00F8275B">
        <w:rPr>
          <w:lang w:val="es-ES"/>
        </w:rPr>
        <w:t>MHz, 3 600</w:t>
      </w:r>
      <w:r w:rsidR="00647775">
        <w:rPr>
          <w:lang w:val="es-ES"/>
        </w:rPr>
        <w:noBreakHyphen/>
      </w:r>
      <w:r w:rsidRPr="00F8275B">
        <w:rPr>
          <w:lang w:val="es-ES"/>
        </w:rPr>
        <w:t>3 800</w:t>
      </w:r>
      <w:r w:rsidR="00A440E1" w:rsidRPr="00F8275B">
        <w:rPr>
          <w:lang w:val="es-ES"/>
        </w:rPr>
        <w:t> </w:t>
      </w:r>
      <w:r w:rsidRPr="00F8275B">
        <w:rPr>
          <w:lang w:val="es-ES"/>
        </w:rPr>
        <w:t>MHz, 6 425</w:t>
      </w:r>
      <w:r w:rsidR="00EF1E33">
        <w:rPr>
          <w:lang w:val="es-ES"/>
        </w:rPr>
        <w:noBreakHyphen/>
      </w:r>
      <w:r w:rsidRPr="00F8275B">
        <w:rPr>
          <w:lang w:val="es-ES"/>
        </w:rPr>
        <w:t>7 125</w:t>
      </w:r>
      <w:r w:rsidR="00B919E1" w:rsidRPr="00F8275B">
        <w:rPr>
          <w:lang w:val="es-ES"/>
        </w:rPr>
        <w:t> </w:t>
      </w:r>
      <w:r w:rsidRPr="00F8275B">
        <w:rPr>
          <w:lang w:val="es-ES"/>
        </w:rPr>
        <w:t>MHz y 10</w:t>
      </w:r>
      <w:r w:rsidR="00B919E1" w:rsidRPr="00F8275B">
        <w:rPr>
          <w:lang w:val="es-ES"/>
        </w:rPr>
        <w:noBreakHyphen/>
      </w:r>
      <w:r w:rsidRPr="00F8275B">
        <w:rPr>
          <w:lang w:val="es-ES"/>
        </w:rPr>
        <w:t>10,5</w:t>
      </w:r>
      <w:r w:rsidR="00B919E1" w:rsidRPr="00F8275B">
        <w:rPr>
          <w:lang w:val="es-ES"/>
        </w:rPr>
        <w:t> </w:t>
      </w:r>
      <w:r w:rsidRPr="00F8275B">
        <w:rPr>
          <w:lang w:val="es-ES"/>
        </w:rPr>
        <w:t>GHz o partes de ellas están identificadas para las IMT en el plano nacional o regional, con condiciones de protección de los servicios existentes como el servicio de radiolocalización o el servicio fijo por satélite. Se mantuvo cierta flexibilidad de las decisiones nacionales y regionales sobre la designación de la banda de 6</w:t>
      </w:r>
      <w:r w:rsidR="00B919E1" w:rsidRPr="00F8275B">
        <w:rPr>
          <w:lang w:val="es-ES"/>
        </w:rPr>
        <w:t> </w:t>
      </w:r>
      <w:r w:rsidRPr="00F8275B">
        <w:rPr>
          <w:lang w:val="es-ES"/>
        </w:rPr>
        <w:t>GHz para las</w:t>
      </w:r>
      <w:r w:rsidR="0017456F">
        <w:rPr>
          <w:lang w:val="es-ES"/>
        </w:rPr>
        <w:t xml:space="preserve"> </w:t>
      </w:r>
      <w:r w:rsidR="00903932" w:rsidRPr="00F8275B">
        <w:rPr>
          <w:lang w:val="es-ES"/>
        </w:rPr>
        <w:t xml:space="preserve">redes de área local radioeléctricas (RLAN) </w:t>
      </w:r>
      <w:r w:rsidRPr="00F8275B">
        <w:rPr>
          <w:lang w:val="es-ES"/>
        </w:rPr>
        <w:t>o las IMT.</w:t>
      </w:r>
    </w:p>
    <w:p w14:paraId="22922B89" w14:textId="42E76DC5" w:rsidR="00CE6D77" w:rsidRPr="00F8275B" w:rsidRDefault="00CE6D77" w:rsidP="00CE6D77">
      <w:pPr>
        <w:rPr>
          <w:lang w:val="es-ES"/>
        </w:rPr>
      </w:pPr>
      <w:r w:rsidRPr="00F8275B">
        <w:rPr>
          <w:lang w:val="es-ES"/>
        </w:rPr>
        <w:t>Además, la CMR-23 atribuyó la banda de 470</w:t>
      </w:r>
      <w:r w:rsidR="00B919E1" w:rsidRPr="00F8275B">
        <w:rPr>
          <w:lang w:val="es-ES"/>
        </w:rPr>
        <w:noBreakHyphen/>
      </w:r>
      <w:r w:rsidRPr="00F8275B">
        <w:rPr>
          <w:lang w:val="es-ES"/>
        </w:rPr>
        <w:t>694</w:t>
      </w:r>
      <w:r w:rsidR="00B919E1" w:rsidRPr="00F8275B">
        <w:rPr>
          <w:lang w:val="es-ES"/>
        </w:rPr>
        <w:t> </w:t>
      </w:r>
      <w:r w:rsidRPr="00F8275B">
        <w:rPr>
          <w:lang w:val="es-ES"/>
        </w:rPr>
        <w:t>MHz a los servicios móviles en la Región</w:t>
      </w:r>
      <w:r w:rsidR="00B919E1" w:rsidRPr="00F8275B">
        <w:rPr>
          <w:lang w:val="es-ES"/>
        </w:rPr>
        <w:t> </w:t>
      </w:r>
      <w:r w:rsidRPr="00F8275B">
        <w:rPr>
          <w:lang w:val="es-ES"/>
        </w:rPr>
        <w:t>1, lo que mejoró la conectividad rural y urbana con salvaguardias para la radiodifusión. La banda 614</w:t>
      </w:r>
      <w:r w:rsidR="00B919E1" w:rsidRPr="00F8275B">
        <w:rPr>
          <w:lang w:val="es-ES"/>
        </w:rPr>
        <w:noBreakHyphen/>
      </w:r>
      <w:r w:rsidRPr="00F8275B">
        <w:rPr>
          <w:lang w:val="es-ES"/>
        </w:rPr>
        <w:t>694</w:t>
      </w:r>
      <w:r w:rsidR="00B919E1" w:rsidRPr="00F8275B">
        <w:rPr>
          <w:lang w:val="es-ES"/>
        </w:rPr>
        <w:t> </w:t>
      </w:r>
      <w:r w:rsidRPr="00F8275B">
        <w:rPr>
          <w:lang w:val="es-ES"/>
        </w:rPr>
        <w:t>MHz está identificada para las IMT en algunos países de la Región</w:t>
      </w:r>
      <w:r w:rsidR="00B919E1" w:rsidRPr="00F8275B">
        <w:rPr>
          <w:lang w:val="es-ES"/>
        </w:rPr>
        <w:t> </w:t>
      </w:r>
      <w:r w:rsidRPr="00F8275B">
        <w:rPr>
          <w:lang w:val="es-ES"/>
        </w:rPr>
        <w:t>1.</w:t>
      </w:r>
    </w:p>
    <w:p w14:paraId="5C9CDCA4" w14:textId="15464D46" w:rsidR="00CE6D77" w:rsidRPr="00F8275B" w:rsidRDefault="00CE6D77" w:rsidP="00EF1E33">
      <w:pPr>
        <w:rPr>
          <w:lang w:val="es-ES"/>
        </w:rPr>
      </w:pPr>
      <w:r w:rsidRPr="00F8275B">
        <w:rPr>
          <w:lang w:val="es-ES"/>
        </w:rPr>
        <w:lastRenderedPageBreak/>
        <w:t>Asimismo, la CMR-23 atribuyó bandas como las de 1</w:t>
      </w:r>
      <w:r w:rsidR="00B919E1" w:rsidRPr="00F8275B">
        <w:rPr>
          <w:lang w:val="es-ES"/>
        </w:rPr>
        <w:t> </w:t>
      </w:r>
      <w:r w:rsidRPr="00F8275B">
        <w:rPr>
          <w:lang w:val="es-ES"/>
        </w:rPr>
        <w:t>710-1</w:t>
      </w:r>
      <w:r w:rsidR="00B919E1" w:rsidRPr="00F8275B">
        <w:rPr>
          <w:lang w:val="es-ES"/>
        </w:rPr>
        <w:t> </w:t>
      </w:r>
      <w:r w:rsidRPr="00F8275B">
        <w:rPr>
          <w:lang w:val="es-ES"/>
        </w:rPr>
        <w:t>980</w:t>
      </w:r>
      <w:r w:rsidR="00B919E1" w:rsidRPr="00F8275B">
        <w:rPr>
          <w:lang w:val="es-ES"/>
        </w:rPr>
        <w:t> </w:t>
      </w:r>
      <w:r w:rsidRPr="00F8275B">
        <w:rPr>
          <w:lang w:val="es-ES"/>
        </w:rPr>
        <w:t>MHz y 2</w:t>
      </w:r>
      <w:r w:rsidR="00B919E1" w:rsidRPr="00F8275B">
        <w:rPr>
          <w:lang w:val="es-ES"/>
        </w:rPr>
        <w:t> </w:t>
      </w:r>
      <w:r w:rsidRPr="00F8275B">
        <w:rPr>
          <w:lang w:val="es-ES"/>
        </w:rPr>
        <w:t>110</w:t>
      </w:r>
      <w:r w:rsidR="00B919E1" w:rsidRPr="00F8275B">
        <w:rPr>
          <w:lang w:val="es-ES"/>
        </w:rPr>
        <w:noBreakHyphen/>
      </w:r>
      <w:r w:rsidRPr="00F8275B">
        <w:rPr>
          <w:lang w:val="es-ES"/>
        </w:rPr>
        <w:t>2</w:t>
      </w:r>
      <w:r w:rsidR="00B919E1" w:rsidRPr="00F8275B">
        <w:rPr>
          <w:lang w:val="es-ES"/>
        </w:rPr>
        <w:t> </w:t>
      </w:r>
      <w:r w:rsidRPr="00F8275B">
        <w:rPr>
          <w:lang w:val="es-ES"/>
        </w:rPr>
        <w:t>160</w:t>
      </w:r>
      <w:r w:rsidR="00B919E1" w:rsidRPr="00F8275B">
        <w:rPr>
          <w:lang w:val="es-ES"/>
        </w:rPr>
        <w:t> </w:t>
      </w:r>
      <w:r w:rsidRPr="00F8275B">
        <w:rPr>
          <w:lang w:val="es-ES"/>
        </w:rPr>
        <w:t>MHz a nivel mundial para las estaciones en plataforma a gran altitud (HIBS) como estaciones de base IMT, junto con otras bandas a nivel regional, que sumaron en total 801</w:t>
      </w:r>
      <w:r w:rsidR="00B919E1" w:rsidRPr="00F8275B">
        <w:rPr>
          <w:lang w:val="es-ES"/>
        </w:rPr>
        <w:t> </w:t>
      </w:r>
      <w:r w:rsidRPr="00F8275B">
        <w:rPr>
          <w:lang w:val="es-ES"/>
        </w:rPr>
        <w:t>MHz. Esto apoya el desarrollo de las HIBS para la banda ancha móvil ampliada y las telecomunicaciones en comunidades insuficientemente atendidas, en particular las comunicaciones de recuperación en caso de catástrofe.</w:t>
      </w:r>
    </w:p>
    <w:p w14:paraId="08C9706C" w14:textId="77777777" w:rsidR="00CE6D77" w:rsidRPr="00F8275B" w:rsidRDefault="00CE6D77" w:rsidP="00CE6D77">
      <w:pPr>
        <w:pStyle w:val="Headingb"/>
        <w:rPr>
          <w:lang w:val="es-ES"/>
        </w:rPr>
      </w:pPr>
      <w:r w:rsidRPr="00F8275B">
        <w:rPr>
          <w:lang w:val="es-ES"/>
        </w:rPr>
        <w:t>Modernización del SMSSM y proveedor de satélites adicional en el SMSSM</w:t>
      </w:r>
    </w:p>
    <w:p w14:paraId="32EAA7D7" w14:textId="7387944F" w:rsidR="00CE6D77" w:rsidRPr="00F8275B" w:rsidRDefault="00CE6D77" w:rsidP="00CE6D77">
      <w:pPr>
        <w:rPr>
          <w:lang w:val="es-ES"/>
        </w:rPr>
      </w:pPr>
      <w:r w:rsidRPr="00F8275B">
        <w:rPr>
          <w:lang w:val="es-ES"/>
        </w:rPr>
        <w:t>La CMR-23 presentó los resultados de la modernización del Sistema Mundial de Socorro y Seguridad Marítimos (SMSSM) en el Reglamento de Radiocomunicaciones. Esto armoniza el</w:t>
      </w:r>
      <w:r w:rsidR="001A500C" w:rsidRPr="00F8275B">
        <w:rPr>
          <w:lang w:val="es-ES"/>
        </w:rPr>
        <w:t> </w:t>
      </w:r>
      <w:r w:rsidR="00903932" w:rsidRPr="00F8275B">
        <w:rPr>
          <w:lang w:val="es-ES"/>
        </w:rPr>
        <w:t xml:space="preserve">Reglamento de Radiocomunicaciones </w:t>
      </w:r>
      <w:r w:rsidRPr="00F8275B">
        <w:rPr>
          <w:lang w:val="es-ES"/>
        </w:rPr>
        <w:t xml:space="preserve">con las últimas decisiones de la </w:t>
      </w:r>
      <w:r w:rsidR="00903932" w:rsidRPr="00F8275B">
        <w:rPr>
          <w:lang w:val="es-ES"/>
        </w:rPr>
        <w:t>Organización Marítima Internacional (</w:t>
      </w:r>
      <w:r w:rsidRPr="00F8275B">
        <w:rPr>
          <w:lang w:val="es-ES"/>
        </w:rPr>
        <w:t>OMI</w:t>
      </w:r>
      <w:r w:rsidR="00903932" w:rsidRPr="00F8275B">
        <w:rPr>
          <w:lang w:val="es-ES"/>
        </w:rPr>
        <w:t>)</w:t>
      </w:r>
      <w:r w:rsidRPr="00F8275B">
        <w:rPr>
          <w:lang w:val="es-ES"/>
        </w:rPr>
        <w:t xml:space="preserve"> e incluye varias tecnologías emergentes. El nuevo sistema de conexión automática (ACS) garantizará el acceso fiable de los navegantes a los enlaces radioeléctricos pertinentes. La introducción del sistema digital de datos de navegación (NAVDAT) permitirá emitir alertas meteorológicas y de navegación actualizadas para los barcos. El uso de transmisores de búsqueda y salvamento del sistema de identificación automática (AIS-SART) facilitará la localización de embarcaciones en peligro para su rescate.</w:t>
      </w:r>
    </w:p>
    <w:p w14:paraId="6F35BD51" w14:textId="77777777" w:rsidR="00CE6D77" w:rsidRPr="00F8275B" w:rsidRDefault="00CE6D77" w:rsidP="00CE6D77">
      <w:pPr>
        <w:rPr>
          <w:lang w:val="es-ES"/>
        </w:rPr>
      </w:pPr>
      <w:r w:rsidRPr="00F8275B">
        <w:rPr>
          <w:lang w:val="es-ES"/>
        </w:rPr>
        <w:t>Además, la Conferencia reconoció provisionalmente el uso del Sistema de Servicio de Mensajes BeiDou (BDMSS) para el SMSSM, siempre y cuando se haya completado previamente con éxito la coordinación con las redes existentes y se hayan eliminado las interferencias.</w:t>
      </w:r>
    </w:p>
    <w:p w14:paraId="7BACC0F0" w14:textId="77777777" w:rsidR="00CE6D77" w:rsidRPr="00F8275B" w:rsidRDefault="00CE6D77" w:rsidP="00CE6D77">
      <w:pPr>
        <w:pStyle w:val="Headingb"/>
        <w:rPr>
          <w:lang w:val="es-ES"/>
        </w:rPr>
      </w:pPr>
      <w:r w:rsidRPr="00F8275B">
        <w:rPr>
          <w:lang w:val="es-ES"/>
        </w:rPr>
        <w:t>Digitalización de las frecuencias aeronáuticas de ondas decamétricas</w:t>
      </w:r>
    </w:p>
    <w:p w14:paraId="2D72A269" w14:textId="5DAD5648" w:rsidR="00CE6D77" w:rsidRPr="00F8275B" w:rsidRDefault="00CE6D77" w:rsidP="00CE6D77">
      <w:pPr>
        <w:rPr>
          <w:lang w:val="es-ES"/>
        </w:rPr>
      </w:pPr>
      <w:r w:rsidRPr="00F8275B">
        <w:rPr>
          <w:lang w:val="es-ES"/>
        </w:rPr>
        <w:t>La CMR-23 añadió una serie de disposiciones al plan de frecuencias aeronáuticas del servicio móvil aeronáutico (en rutas) en las bandas de ondas decamétricas, incluidas en el Apéndice</w:t>
      </w:r>
      <w:r w:rsidR="00B919E1" w:rsidRPr="00F8275B">
        <w:rPr>
          <w:lang w:val="es-ES"/>
        </w:rPr>
        <w:t> </w:t>
      </w:r>
      <w:r w:rsidRPr="00F8275B">
        <w:rPr>
          <w:lang w:val="es-ES"/>
        </w:rPr>
        <w:t xml:space="preserve">27 del </w:t>
      </w:r>
      <w:r w:rsidR="00903932" w:rsidRPr="00F8275B">
        <w:rPr>
          <w:lang w:val="es-ES"/>
        </w:rPr>
        <w:t>Reglamento de Radiocomunicaciones</w:t>
      </w:r>
      <w:r w:rsidRPr="00F8275B">
        <w:rPr>
          <w:lang w:val="es-ES"/>
        </w:rPr>
        <w:t>, que permiten la introducción de nuevos sistemas digitales de ondas decamétricas de banda ancha.</w:t>
      </w:r>
    </w:p>
    <w:p w14:paraId="21CD6D4A" w14:textId="77777777" w:rsidR="00CE6D77" w:rsidRPr="00F8275B" w:rsidRDefault="00CE6D77" w:rsidP="00CE6D77">
      <w:pPr>
        <w:pStyle w:val="Headingb"/>
        <w:rPr>
          <w:lang w:val="es-ES"/>
        </w:rPr>
      </w:pPr>
      <w:r w:rsidRPr="00F8275B">
        <w:rPr>
          <w:lang w:val="es-ES"/>
        </w:rPr>
        <w:t>Espectro para las aplicaciones aeronáuticas no relacionadas con la seguridad</w:t>
      </w:r>
    </w:p>
    <w:p w14:paraId="60E66CDF" w14:textId="25524474" w:rsidR="00CE6D77" w:rsidRPr="00F8275B" w:rsidRDefault="00CE6D77" w:rsidP="00CE6D77">
      <w:pPr>
        <w:rPr>
          <w:lang w:val="es-ES"/>
        </w:rPr>
      </w:pPr>
      <w:r w:rsidRPr="00F8275B">
        <w:rPr>
          <w:lang w:val="es-ES"/>
        </w:rPr>
        <w:t>La CMR-23 efectuó una atribución al servicio móvil aeronáutico (OR) en la banda de frecuencias 15,41</w:t>
      </w:r>
      <w:r w:rsidR="00B919E1" w:rsidRPr="00F8275B">
        <w:rPr>
          <w:lang w:val="es-ES"/>
        </w:rPr>
        <w:noBreakHyphen/>
      </w:r>
      <w:r w:rsidRPr="00F8275B">
        <w:rPr>
          <w:lang w:val="es-ES"/>
        </w:rPr>
        <w:t>15,7</w:t>
      </w:r>
      <w:r w:rsidR="00B919E1" w:rsidRPr="00F8275B">
        <w:rPr>
          <w:lang w:val="es-ES"/>
        </w:rPr>
        <w:t> </w:t>
      </w:r>
      <w:r w:rsidRPr="00F8275B">
        <w:rPr>
          <w:lang w:val="es-ES"/>
        </w:rPr>
        <w:t>GHz a título secundario y en la banda de frecuencias 22</w:t>
      </w:r>
      <w:r w:rsidR="00B919E1" w:rsidRPr="00F8275B">
        <w:rPr>
          <w:lang w:val="es-ES"/>
        </w:rPr>
        <w:noBreakHyphen/>
      </w:r>
      <w:r w:rsidRPr="00F8275B">
        <w:rPr>
          <w:lang w:val="es-ES"/>
        </w:rPr>
        <w:t>22,2</w:t>
      </w:r>
      <w:r w:rsidR="00B919E1" w:rsidRPr="00F8275B">
        <w:rPr>
          <w:lang w:val="es-ES"/>
        </w:rPr>
        <w:t> </w:t>
      </w:r>
      <w:r w:rsidRPr="00F8275B">
        <w:rPr>
          <w:lang w:val="es-ES"/>
        </w:rPr>
        <w:t>GHz a título primario en la Región</w:t>
      </w:r>
      <w:r w:rsidR="00B919E1" w:rsidRPr="00F8275B">
        <w:rPr>
          <w:lang w:val="es-ES"/>
        </w:rPr>
        <w:t> </w:t>
      </w:r>
      <w:r w:rsidRPr="00F8275B">
        <w:rPr>
          <w:lang w:val="es-ES"/>
        </w:rPr>
        <w:t>1 y en algunos países de la Región</w:t>
      </w:r>
      <w:r w:rsidR="00B919E1" w:rsidRPr="00F8275B">
        <w:rPr>
          <w:lang w:val="es-ES"/>
        </w:rPr>
        <w:t> </w:t>
      </w:r>
      <w:r w:rsidRPr="00F8275B">
        <w:rPr>
          <w:lang w:val="es-ES"/>
        </w:rPr>
        <w:t>3 a condición de que no causen interferencia a los servicios existentes.</w:t>
      </w:r>
    </w:p>
    <w:p w14:paraId="02EBA1AC" w14:textId="77777777" w:rsidR="00CE6D77" w:rsidRPr="00F8275B" w:rsidRDefault="00CE6D77" w:rsidP="00CE6D77">
      <w:pPr>
        <w:pStyle w:val="Headingb"/>
        <w:rPr>
          <w:lang w:val="es-ES"/>
        </w:rPr>
      </w:pPr>
      <w:r w:rsidRPr="00F8275B">
        <w:rPr>
          <w:lang w:val="es-ES"/>
        </w:rPr>
        <w:t>Servicios por satélite</w:t>
      </w:r>
    </w:p>
    <w:p w14:paraId="24A60439" w14:textId="32F878B1" w:rsidR="00CE6D77" w:rsidRPr="00F8275B" w:rsidRDefault="00CE6D77" w:rsidP="00CE6D77">
      <w:pPr>
        <w:rPr>
          <w:lang w:val="es-ES"/>
        </w:rPr>
      </w:pPr>
      <w:r w:rsidRPr="00F8275B">
        <w:rPr>
          <w:lang w:val="es-ES"/>
        </w:rPr>
        <w:t>La CMR-23 adoptó las condiciones reglamentarias, operacionales y técnicas para que las estaciones terrenas en movimiento (ETEM) se comuniquen con estaciones espaciales en órbita geoestacionaria (OSG) del servicio fijo por satélite en la banda de frecuencias 12,75</w:t>
      </w:r>
      <w:r w:rsidR="00B919E1" w:rsidRPr="00F8275B">
        <w:rPr>
          <w:lang w:val="es-ES"/>
        </w:rPr>
        <w:noBreakHyphen/>
      </w:r>
      <w:r w:rsidRPr="00F8275B">
        <w:rPr>
          <w:lang w:val="es-ES"/>
        </w:rPr>
        <w:t>13,25 GHz o con sistemas de satélites en órbita no geoestacionaria (no OSG) en la gama de frecuencias 30/20 GHz. Esta decisión proporcionará más ancho de banda para la conectividad en barcos o aeronaves.</w:t>
      </w:r>
    </w:p>
    <w:p w14:paraId="0FFCD627" w14:textId="79675CBD" w:rsidR="00CE6D77" w:rsidRPr="00F8275B" w:rsidRDefault="00CE6D77" w:rsidP="00CE6D77">
      <w:pPr>
        <w:rPr>
          <w:lang w:val="es-ES"/>
        </w:rPr>
      </w:pPr>
      <w:r w:rsidRPr="00F8275B">
        <w:rPr>
          <w:lang w:val="es-ES"/>
        </w:rPr>
        <w:t xml:space="preserve">La CMR-23 también ideó un mecanismo nuevo que permite utilizar los enlaces entre satélites en la gama de frecuencias </w:t>
      </w:r>
      <w:r w:rsidR="00903932" w:rsidRPr="00F8275B">
        <w:rPr>
          <w:lang w:val="es-ES"/>
        </w:rPr>
        <w:t>20</w:t>
      </w:r>
      <w:r w:rsidRPr="00F8275B">
        <w:rPr>
          <w:lang w:val="es-ES"/>
        </w:rPr>
        <w:t>/</w:t>
      </w:r>
      <w:r w:rsidR="00903932" w:rsidRPr="00F8275B">
        <w:rPr>
          <w:lang w:val="es-ES"/>
        </w:rPr>
        <w:t>30</w:t>
      </w:r>
      <w:r w:rsidR="00B919E1" w:rsidRPr="00F8275B">
        <w:rPr>
          <w:lang w:val="es-ES"/>
        </w:rPr>
        <w:t> </w:t>
      </w:r>
      <w:r w:rsidRPr="00F8275B">
        <w:rPr>
          <w:lang w:val="es-ES"/>
        </w:rPr>
        <w:t>GHz, de manera que se podrán transferir a tierra con más rapidez los datos recabados por sensores científicos o experimentales.</w:t>
      </w:r>
    </w:p>
    <w:p w14:paraId="71B05FAB" w14:textId="34A933DF" w:rsidR="00CE6D77" w:rsidRPr="00F8275B" w:rsidRDefault="00CE6D77" w:rsidP="007560BC">
      <w:pPr>
        <w:keepNext/>
        <w:keepLines/>
        <w:rPr>
          <w:lang w:val="es-ES"/>
        </w:rPr>
      </w:pPr>
      <w:r w:rsidRPr="00F8275B">
        <w:rPr>
          <w:lang w:val="es-ES"/>
        </w:rPr>
        <w:lastRenderedPageBreak/>
        <w:t>La CMR-23 perfeccionó el marco normativo para la puesta en servicio y un método por etapas para el despliegue de constelaciones de satélites no OSG en bandas de frecuencias y servicios específicos. En concreto, la CMR-23 adoptó un conjunto de tolerancias orbitales próximas a los valores notificados y acordó un mecanismo posterior a cada objetivo intermedio. Con este enfoque se podrá valorar de forma más adecuada la precisión del Registro Internacional de Frecuencias respecto del despliegue real de sistemas de satélites no OSG. Al tomar estas decisiones, la CMR-23 reforzó el equilibrio establecido por la CMR</w:t>
      </w:r>
      <w:r w:rsidR="00B919E1" w:rsidRPr="00F8275B">
        <w:rPr>
          <w:lang w:val="es-ES"/>
        </w:rPr>
        <w:noBreakHyphen/>
      </w:r>
      <w:r w:rsidRPr="00F8275B">
        <w:rPr>
          <w:lang w:val="es-ES"/>
        </w:rPr>
        <w:t>19 entre la prevención del acaparamiento de espectro, el adecuado funcionamiento de los mecanismos de coordinación, notificación e inscripción y los requisitos operativos relacionados con el despliegue de sistemas no</w:t>
      </w:r>
      <w:r w:rsidR="00B919E1" w:rsidRPr="00F8275B">
        <w:rPr>
          <w:lang w:val="es-ES"/>
        </w:rPr>
        <w:t> </w:t>
      </w:r>
      <w:r w:rsidRPr="00F8275B">
        <w:rPr>
          <w:lang w:val="es-ES"/>
        </w:rPr>
        <w:t>OSG.</w:t>
      </w:r>
    </w:p>
    <w:p w14:paraId="16532A98" w14:textId="215B6EB3" w:rsidR="00CE6D77" w:rsidRPr="00F8275B" w:rsidRDefault="00CE6D77" w:rsidP="00CE6D77">
      <w:pPr>
        <w:rPr>
          <w:lang w:val="es-ES"/>
        </w:rPr>
      </w:pPr>
      <w:r w:rsidRPr="00F8275B">
        <w:rPr>
          <w:lang w:val="es-ES"/>
        </w:rPr>
        <w:t xml:space="preserve">Además, la CMR-23 adoptó medidas para reforzar el acceso equitativo a los recursos de órbita/espectro </w:t>
      </w:r>
      <w:r w:rsidR="00DE602A" w:rsidRPr="00F8275B">
        <w:rPr>
          <w:lang w:val="es-ES"/>
        </w:rPr>
        <w:t>garantizando</w:t>
      </w:r>
      <w:r w:rsidRPr="00F8275B">
        <w:rPr>
          <w:lang w:val="es-ES"/>
        </w:rPr>
        <w:t xml:space="preserve"> la protección a largo plazo de los </w:t>
      </w:r>
      <w:r w:rsidR="00DE602A" w:rsidRPr="00F8275B">
        <w:rPr>
          <w:lang w:val="es-ES"/>
        </w:rPr>
        <w:t>usos</w:t>
      </w:r>
      <w:r w:rsidRPr="00F8275B">
        <w:rPr>
          <w:lang w:val="es-ES"/>
        </w:rPr>
        <w:t xml:space="preserve"> nacionales previstos </w:t>
      </w:r>
      <w:r w:rsidR="00DE602A" w:rsidRPr="00F8275B">
        <w:rPr>
          <w:lang w:val="es-ES"/>
        </w:rPr>
        <w:t xml:space="preserve">del servicio de radiodifusión por satélite (SRS), los enlaces de conexión del SRS y los servicios fijos por satélite (SFS), y facilitando las consultas de los </w:t>
      </w:r>
      <w:r w:rsidRPr="00F8275B">
        <w:rPr>
          <w:lang w:val="es-ES"/>
        </w:rPr>
        <w:t>Apéndices</w:t>
      </w:r>
      <w:r w:rsidR="00B919E1" w:rsidRPr="00F8275B">
        <w:rPr>
          <w:lang w:val="es-ES"/>
        </w:rPr>
        <w:t> </w:t>
      </w:r>
      <w:r w:rsidRPr="00F8275B">
        <w:rPr>
          <w:lang w:val="es-ES"/>
        </w:rPr>
        <w:t xml:space="preserve">30, 30A y 30B </w:t>
      </w:r>
      <w:r w:rsidR="00DE602A" w:rsidRPr="00F8275B">
        <w:rPr>
          <w:lang w:val="es-ES"/>
        </w:rPr>
        <w:t>por los</w:t>
      </w:r>
      <w:r w:rsidRPr="00F8275B">
        <w:rPr>
          <w:lang w:val="es-ES"/>
        </w:rPr>
        <w:t xml:space="preserve"> nuevos países o </w:t>
      </w:r>
      <w:r w:rsidR="00DE602A" w:rsidRPr="00F8275B">
        <w:rPr>
          <w:lang w:val="es-ES"/>
        </w:rPr>
        <w:t>los</w:t>
      </w:r>
      <w:r w:rsidRPr="00F8275B">
        <w:rPr>
          <w:lang w:val="es-ES"/>
        </w:rPr>
        <w:t xml:space="preserve"> países que todavía no utilizan las Listas</w:t>
      </w:r>
      <w:r w:rsidR="00DE602A" w:rsidRPr="00F8275B">
        <w:rPr>
          <w:lang w:val="es-ES"/>
        </w:rPr>
        <w:t xml:space="preserve"> oficiales del UIT-R</w:t>
      </w:r>
      <w:r w:rsidRPr="00F8275B">
        <w:rPr>
          <w:lang w:val="es-ES"/>
        </w:rPr>
        <w:t>. En esa misma línea, la CMR-23 decidió sustituir los recursos del</w:t>
      </w:r>
      <w:r w:rsidR="00A440E1" w:rsidRPr="00F8275B">
        <w:rPr>
          <w:lang w:val="es-ES"/>
        </w:rPr>
        <w:t> </w:t>
      </w:r>
      <w:r w:rsidRPr="00F8275B">
        <w:rPr>
          <w:lang w:val="es-ES"/>
        </w:rPr>
        <w:t>SRS previstos para 41</w:t>
      </w:r>
      <w:r w:rsidR="00B919E1" w:rsidRPr="00F8275B">
        <w:rPr>
          <w:lang w:val="es-ES"/>
        </w:rPr>
        <w:t> </w:t>
      </w:r>
      <w:r w:rsidRPr="00F8275B">
        <w:rPr>
          <w:lang w:val="es-ES"/>
        </w:rPr>
        <w:t>países que habían degradado previamente recursos en los Planes del</w:t>
      </w:r>
      <w:r w:rsidR="00A440E1" w:rsidRPr="00F8275B">
        <w:rPr>
          <w:lang w:val="es-ES"/>
        </w:rPr>
        <w:t> </w:t>
      </w:r>
      <w:r w:rsidRPr="00F8275B">
        <w:rPr>
          <w:lang w:val="es-ES"/>
        </w:rPr>
        <w:t>SRS y de los enlaces de conexión SRS, y acordó incluir adjudicaciones nacionales nuevas en los Planes del SFS para nueve países.</w:t>
      </w:r>
    </w:p>
    <w:p w14:paraId="0F95CC48" w14:textId="77777777" w:rsidR="00CE6D77" w:rsidRPr="00F8275B" w:rsidRDefault="00CE6D77" w:rsidP="00CE6D77">
      <w:pPr>
        <w:pStyle w:val="Headingb"/>
        <w:rPr>
          <w:lang w:val="es-ES"/>
        </w:rPr>
      </w:pPr>
      <w:r w:rsidRPr="00F8275B">
        <w:rPr>
          <w:lang w:val="es-ES"/>
        </w:rPr>
        <w:t>Apoyo a servicios científicos</w:t>
      </w:r>
    </w:p>
    <w:p w14:paraId="00CAAF71" w14:textId="22D34941" w:rsidR="00CE6D77" w:rsidRPr="00F8275B" w:rsidRDefault="00CE6D77" w:rsidP="00B919E1">
      <w:pPr>
        <w:rPr>
          <w:lang w:val="es-ES"/>
        </w:rPr>
      </w:pPr>
      <w:r w:rsidRPr="00F8275B">
        <w:rPr>
          <w:lang w:val="es-ES"/>
        </w:rPr>
        <w:t>La CMR-23 atribuyó la banda de frecuencias 40</w:t>
      </w:r>
      <w:r w:rsidR="00B919E1" w:rsidRPr="00F8275B">
        <w:rPr>
          <w:lang w:val="es-ES"/>
        </w:rPr>
        <w:noBreakHyphen/>
      </w:r>
      <w:r w:rsidRPr="00F8275B">
        <w:rPr>
          <w:lang w:val="es-ES"/>
        </w:rPr>
        <w:t>50</w:t>
      </w:r>
      <w:r w:rsidR="00B919E1" w:rsidRPr="00F8275B">
        <w:rPr>
          <w:lang w:val="es-ES"/>
        </w:rPr>
        <w:t> </w:t>
      </w:r>
      <w:r w:rsidRPr="00F8275B">
        <w:rPr>
          <w:lang w:val="es-ES"/>
        </w:rPr>
        <w:t xml:space="preserve">MHz a los sensores del </w:t>
      </w:r>
      <w:r w:rsidR="00DE602A" w:rsidRPr="00F8275B">
        <w:rPr>
          <w:lang w:val="es-ES"/>
        </w:rPr>
        <w:t>Servicio de Exploración de la Tierra por Satélite (</w:t>
      </w:r>
      <w:r w:rsidRPr="00F8275B">
        <w:rPr>
          <w:lang w:val="es-ES"/>
        </w:rPr>
        <w:t>SETS</w:t>
      </w:r>
      <w:r w:rsidR="00DE602A" w:rsidRPr="00F8275B">
        <w:rPr>
          <w:lang w:val="es-ES"/>
        </w:rPr>
        <w:t>)</w:t>
      </w:r>
      <w:r w:rsidRPr="00F8275B">
        <w:rPr>
          <w:lang w:val="es-ES"/>
        </w:rPr>
        <w:t xml:space="preserve"> (activo), a fin de mejorar las observaciones del grosor del hielo en las zonas polares.</w:t>
      </w:r>
    </w:p>
    <w:p w14:paraId="7AB927E3" w14:textId="5CDDFCCC" w:rsidR="00CE6D77" w:rsidRPr="00F8275B" w:rsidRDefault="00CE6D77" w:rsidP="00CE6D77">
      <w:pPr>
        <w:rPr>
          <w:lang w:val="es-ES"/>
        </w:rPr>
      </w:pPr>
      <w:r w:rsidRPr="00F8275B">
        <w:rPr>
          <w:lang w:val="es-ES"/>
        </w:rPr>
        <w:t>La CMR-23 elevó a título primario la atribución al servicio de investigación espacial en la banda de frecuencias 14,8</w:t>
      </w:r>
      <w:r w:rsidR="00B919E1" w:rsidRPr="00F8275B">
        <w:rPr>
          <w:lang w:val="es-ES"/>
        </w:rPr>
        <w:noBreakHyphen/>
      </w:r>
      <w:r w:rsidRPr="00F8275B">
        <w:rPr>
          <w:lang w:val="es-ES"/>
        </w:rPr>
        <w:t>15,35</w:t>
      </w:r>
      <w:r w:rsidR="00B919E1" w:rsidRPr="00F8275B">
        <w:rPr>
          <w:lang w:val="es-ES"/>
        </w:rPr>
        <w:t> </w:t>
      </w:r>
      <w:r w:rsidRPr="00F8275B">
        <w:rPr>
          <w:lang w:val="es-ES"/>
        </w:rPr>
        <w:t>GHz con miras a optimizar la condición reglamentaria de los sistemas de satélites de retransmisión de datos que utilizan esta banda de frecuencias.</w:t>
      </w:r>
    </w:p>
    <w:p w14:paraId="2C3C2541" w14:textId="7177E5AF" w:rsidR="00CE6D77" w:rsidRPr="00F8275B" w:rsidRDefault="00CE6D77" w:rsidP="00B76C0F">
      <w:pPr>
        <w:rPr>
          <w:lang w:val="es-ES"/>
        </w:rPr>
      </w:pPr>
      <w:r w:rsidRPr="00F8275B">
        <w:rPr>
          <w:lang w:val="es-ES"/>
        </w:rPr>
        <w:t>La CMR-23 reorganizó las atribuciones al SETS (pasivo) en la gama de frecuencias 231,5</w:t>
      </w:r>
      <w:r w:rsidR="00B919E1" w:rsidRPr="00F8275B">
        <w:rPr>
          <w:lang w:val="es-ES"/>
        </w:rPr>
        <w:noBreakHyphen/>
      </w:r>
      <w:r w:rsidRPr="00F8275B">
        <w:rPr>
          <w:lang w:val="es-ES"/>
        </w:rPr>
        <w:t>252</w:t>
      </w:r>
      <w:r w:rsidR="00B919E1" w:rsidRPr="00F8275B">
        <w:rPr>
          <w:lang w:val="es-ES"/>
        </w:rPr>
        <w:t> </w:t>
      </w:r>
      <w:r w:rsidRPr="00F8275B">
        <w:rPr>
          <w:lang w:val="es-ES"/>
        </w:rPr>
        <w:t>GHz para garantizar la alineación con los requisitos de observación por teledetección más actualizados. Esta reorganización requirió que se modificaran las atribuciones a los servicios fijo y móvil.</w:t>
      </w:r>
    </w:p>
    <w:p w14:paraId="1A6E0250" w14:textId="502C84D9" w:rsidR="00CE6D77" w:rsidRPr="00F8275B" w:rsidRDefault="00CE6D77" w:rsidP="00CE6D77">
      <w:pPr>
        <w:rPr>
          <w:lang w:val="es-ES"/>
        </w:rPr>
      </w:pPr>
      <w:r w:rsidRPr="00F8275B">
        <w:rPr>
          <w:lang w:val="es-ES"/>
        </w:rPr>
        <w:t>En lo que respecta a la meteorología espacial, la CMR</w:t>
      </w:r>
      <w:r w:rsidR="00B919E1" w:rsidRPr="00F8275B">
        <w:rPr>
          <w:lang w:val="es-ES"/>
        </w:rPr>
        <w:noBreakHyphen/>
      </w:r>
      <w:r w:rsidRPr="00F8275B">
        <w:rPr>
          <w:lang w:val="es-ES"/>
        </w:rPr>
        <w:t>23 concluyó que los sensores de meteorología espacial pueden operar en el marco del servicio de ayudas meteorológicas, específicamente, en un subconjunto de atribuciones denominado "MetAids (meteorología espacial)". Se continuarán realizando estudios hasta la CMR</w:t>
      </w:r>
      <w:r w:rsidR="00B919E1" w:rsidRPr="00F8275B">
        <w:rPr>
          <w:lang w:val="es-ES"/>
        </w:rPr>
        <w:noBreakHyphen/>
      </w:r>
      <w:r w:rsidRPr="00F8275B">
        <w:rPr>
          <w:lang w:val="es-ES"/>
        </w:rPr>
        <w:t>27 para identificar las bandas de frecuencias adecuadas para estas atribuciones.</w:t>
      </w:r>
    </w:p>
    <w:p w14:paraId="095B666C" w14:textId="5C824EEA" w:rsidR="00CE6D77" w:rsidRPr="00F8275B" w:rsidRDefault="00CE6D77" w:rsidP="00CE6D77">
      <w:pPr>
        <w:rPr>
          <w:lang w:val="es-ES"/>
        </w:rPr>
      </w:pPr>
      <w:r w:rsidRPr="00F8275B">
        <w:rPr>
          <w:lang w:val="es-ES"/>
        </w:rPr>
        <w:t>Por último, la CMR</w:t>
      </w:r>
      <w:r w:rsidR="00B919E1" w:rsidRPr="00F8275B">
        <w:rPr>
          <w:lang w:val="es-ES"/>
        </w:rPr>
        <w:noBreakHyphen/>
      </w:r>
      <w:r w:rsidRPr="00F8275B">
        <w:rPr>
          <w:lang w:val="es-ES"/>
        </w:rPr>
        <w:t>23 adoptó un límite de densidad de p.i.r.e. por estación espacial no</w:t>
      </w:r>
      <w:r w:rsidR="001A500C" w:rsidRPr="00F8275B">
        <w:rPr>
          <w:lang w:val="es-ES"/>
        </w:rPr>
        <w:t> </w:t>
      </w:r>
      <w:r w:rsidRPr="00F8275B">
        <w:rPr>
          <w:lang w:val="es-ES"/>
        </w:rPr>
        <w:t>OSG a fin de proteger los sensores del SETS (pasivo) en la banda de frecuencias 36</w:t>
      </w:r>
      <w:r w:rsidR="001A500C" w:rsidRPr="00F8275B">
        <w:rPr>
          <w:lang w:val="es-ES"/>
        </w:rPr>
        <w:noBreakHyphen/>
      </w:r>
      <w:r w:rsidRPr="00F8275B">
        <w:rPr>
          <w:lang w:val="es-ES"/>
        </w:rPr>
        <w:t>37</w:t>
      </w:r>
      <w:r w:rsidR="001A500C" w:rsidRPr="00F8275B">
        <w:rPr>
          <w:lang w:val="es-ES"/>
        </w:rPr>
        <w:t> </w:t>
      </w:r>
      <w:r w:rsidRPr="00F8275B">
        <w:rPr>
          <w:lang w:val="es-ES"/>
        </w:rPr>
        <w:t>GHz frente a los sistemas del SFS no OSG que operan en la banda 37,5</w:t>
      </w:r>
      <w:r w:rsidR="001A500C" w:rsidRPr="00F8275B">
        <w:rPr>
          <w:lang w:val="es-ES"/>
        </w:rPr>
        <w:noBreakHyphen/>
      </w:r>
      <w:r w:rsidRPr="00F8275B">
        <w:rPr>
          <w:lang w:val="es-ES"/>
        </w:rPr>
        <w:t>38</w:t>
      </w:r>
      <w:r w:rsidR="001A500C" w:rsidRPr="00F8275B">
        <w:rPr>
          <w:lang w:val="es-ES"/>
        </w:rPr>
        <w:t> </w:t>
      </w:r>
      <w:r w:rsidRPr="00F8275B">
        <w:rPr>
          <w:lang w:val="es-ES"/>
        </w:rPr>
        <w:t>GHz.</w:t>
      </w:r>
    </w:p>
    <w:p w14:paraId="1274E8EC" w14:textId="77777777" w:rsidR="00CE6D77" w:rsidRPr="00F8275B" w:rsidRDefault="00CE6D77" w:rsidP="00CE6D77">
      <w:pPr>
        <w:pStyle w:val="Headingb"/>
        <w:rPr>
          <w:lang w:val="es-ES"/>
        </w:rPr>
      </w:pPr>
      <w:r w:rsidRPr="00F8275B">
        <w:rPr>
          <w:lang w:val="es-ES"/>
        </w:rPr>
        <w:lastRenderedPageBreak/>
        <w:t>Palestina</w:t>
      </w:r>
    </w:p>
    <w:p w14:paraId="2A18553E" w14:textId="68C85F3E" w:rsidR="00CE6D77" w:rsidRPr="00F8275B" w:rsidRDefault="00CE6D77" w:rsidP="00B76C0F">
      <w:pPr>
        <w:keepNext/>
        <w:keepLines/>
        <w:rPr>
          <w:lang w:val="es-ES"/>
        </w:rPr>
      </w:pPr>
      <w:r w:rsidRPr="00F8275B">
        <w:rPr>
          <w:lang w:val="es-ES"/>
        </w:rPr>
        <w:t>La CMR-23 adoptó la Resolución</w:t>
      </w:r>
      <w:r w:rsidR="00B919E1" w:rsidRPr="00F8275B">
        <w:rPr>
          <w:lang w:val="es-ES"/>
        </w:rPr>
        <w:t> </w:t>
      </w:r>
      <w:r w:rsidRPr="00F8275B">
        <w:rPr>
          <w:lang w:val="es-ES"/>
        </w:rPr>
        <w:t>12 (Rev.CMR-23) con medidas para garantizar que se ofrecen asistencia y apoyo continuados a Palestina para gestionar y explotar su espectro radioeléctrico; modernizar sus redes de telecomunicaciones, entre otras cosas mediante el establecimiento y la explotación de redes 4G y 5G; obtener y gestionar las frecuencias necesarias para los enlaces de microondas, que se consideran esenciales para el funcionamiento de los servicios 4G y 5G; extender, instalar, poseer, gestionar y explotar redes de telecomunicaciones de banda ancha de fibra óptica (y enlaces de fibra óptica) entre las gobernaciones y las principales ciudades, para garantizar una transformación digital más sólida; obtener frecuencias de bandas de ondas métricas y decamétricas para los servicios de telecomunicaciones fijo y móvil; y frecuencias FM para el servicio de radiodifusión.</w:t>
      </w:r>
    </w:p>
    <w:p w14:paraId="028AE526" w14:textId="374293C4" w:rsidR="00CE6D77" w:rsidRPr="00F8275B" w:rsidRDefault="00CE6D77" w:rsidP="00CE6D77">
      <w:pPr>
        <w:rPr>
          <w:lang w:val="es-ES"/>
        </w:rPr>
      </w:pPr>
      <w:r w:rsidRPr="00F8275B">
        <w:rPr>
          <w:lang w:val="es-ES"/>
        </w:rPr>
        <w:t>En la Resolución revisada también se insta a las partes implicadas a facilitar la importación y el despliegue de equipos con miras a la aplicación del acuerdo firmado el 27 de diciembre de</w:t>
      </w:r>
      <w:r w:rsidR="00B919E1" w:rsidRPr="00F8275B">
        <w:rPr>
          <w:lang w:val="es-ES"/>
        </w:rPr>
        <w:t> </w:t>
      </w:r>
      <w:r w:rsidRPr="00F8275B">
        <w:rPr>
          <w:lang w:val="es-ES"/>
        </w:rPr>
        <w:t>2022 con respecto al funcionamiento de los servicios 4G y 5G, y a permitir que Palestina establezca sus propias redes de acceso internacional, lo que incluye estaciones terrenas de satélites, cables submarinos, sistemas de fibra óptica y sistemas de microondas, de conformidad con el Acuerdo Provisional</w:t>
      </w:r>
      <w:r w:rsidR="00A440E1" w:rsidRPr="00F8275B">
        <w:rPr>
          <w:lang w:val="es-ES"/>
        </w:rPr>
        <w:t>.</w:t>
      </w:r>
    </w:p>
    <w:p w14:paraId="25858A12" w14:textId="77777777" w:rsidR="00CE6D77" w:rsidRPr="00F8275B" w:rsidRDefault="00CE6D77" w:rsidP="00CE6D77">
      <w:pPr>
        <w:pStyle w:val="Heading2"/>
        <w:rPr>
          <w:lang w:val="es-ES"/>
        </w:rPr>
      </w:pPr>
      <w:bookmarkStart w:id="21" w:name="_Toc164862521"/>
      <w:bookmarkStart w:id="22" w:name="_Toc165024935"/>
      <w:bookmarkStart w:id="23" w:name="_Toc166580876"/>
      <w:r w:rsidRPr="00F8275B">
        <w:rPr>
          <w:lang w:val="es-ES"/>
        </w:rPr>
        <w:t>2.2</w:t>
      </w:r>
      <w:r w:rsidRPr="00F8275B">
        <w:rPr>
          <w:lang w:val="es-ES"/>
        </w:rPr>
        <w:tab/>
        <w:t>AR-23</w:t>
      </w:r>
      <w:bookmarkEnd w:id="21"/>
      <w:bookmarkEnd w:id="22"/>
      <w:bookmarkEnd w:id="23"/>
    </w:p>
    <w:p w14:paraId="0F0E8EEA" w14:textId="548ED23A" w:rsidR="00CE6D77" w:rsidRPr="00F8275B" w:rsidRDefault="00CE6D77" w:rsidP="00CE6D77">
      <w:pPr>
        <w:rPr>
          <w:lang w:val="es-ES"/>
        </w:rPr>
      </w:pPr>
      <w:r w:rsidRPr="00F8275B">
        <w:rPr>
          <w:lang w:val="es-ES"/>
        </w:rPr>
        <w:t>La AR-23 contó con 566</w:t>
      </w:r>
      <w:r w:rsidR="00B919E1" w:rsidRPr="00F8275B">
        <w:rPr>
          <w:lang w:val="es-ES"/>
        </w:rPr>
        <w:t> </w:t>
      </w:r>
      <w:r w:rsidRPr="00F8275B">
        <w:rPr>
          <w:lang w:val="es-ES"/>
        </w:rPr>
        <w:t>participantes en representación de 95</w:t>
      </w:r>
      <w:r w:rsidR="00A440E1" w:rsidRPr="00F8275B">
        <w:rPr>
          <w:lang w:val="es-ES"/>
        </w:rPr>
        <w:t> </w:t>
      </w:r>
      <w:r w:rsidRPr="00F8275B">
        <w:rPr>
          <w:lang w:val="es-ES"/>
        </w:rPr>
        <w:t>Administraciones y 41</w:t>
      </w:r>
      <w:r w:rsidR="00B919E1" w:rsidRPr="00F8275B">
        <w:rPr>
          <w:lang w:val="es-ES"/>
        </w:rPr>
        <w:t> </w:t>
      </w:r>
      <w:r w:rsidRPr="00F8275B">
        <w:rPr>
          <w:lang w:val="es-ES"/>
        </w:rPr>
        <w:t xml:space="preserve">Miembros de Sector, </w:t>
      </w:r>
      <w:r w:rsidR="008E1F00" w:rsidRPr="00F8275B">
        <w:rPr>
          <w:lang w:val="es-ES"/>
        </w:rPr>
        <w:t>una</w:t>
      </w:r>
      <w:r w:rsidRPr="00F8275B">
        <w:rPr>
          <w:lang w:val="es-ES"/>
        </w:rPr>
        <w:t xml:space="preserve"> Institución Académica y </w:t>
      </w:r>
      <w:r w:rsidR="008E1F00" w:rsidRPr="00F8275B">
        <w:rPr>
          <w:lang w:val="es-ES"/>
        </w:rPr>
        <w:t>dos</w:t>
      </w:r>
      <w:r w:rsidRPr="00F8275B">
        <w:rPr>
          <w:lang w:val="es-ES"/>
        </w:rPr>
        <w:t xml:space="preserve"> organismos especializados de las Naciones Unidas. Al definir el futuro de los sistemas de radiocomunicaciones y las tecnologías de la información y la comunicación, la AR</w:t>
      </w:r>
      <w:r w:rsidR="00A440E1" w:rsidRPr="00F8275B">
        <w:rPr>
          <w:lang w:val="es-ES"/>
        </w:rPr>
        <w:noBreakHyphen/>
      </w:r>
      <w:r w:rsidRPr="00F8275B">
        <w:rPr>
          <w:lang w:val="es-ES"/>
        </w:rPr>
        <w:t>23 estableció los futuros programas de trabajo del UIT-R y aprobó una serie de Recomendaciones y Resoluciones del UIT-R que tendrán repercusiones mundiales en las futuras tecnologías de radiocomunicación.</w:t>
      </w:r>
    </w:p>
    <w:p w14:paraId="3C8D5E3B" w14:textId="77777777" w:rsidR="00CE6D77" w:rsidRPr="00F8275B" w:rsidRDefault="00CE6D77" w:rsidP="00CE6D77">
      <w:pPr>
        <w:pStyle w:val="Headingb"/>
        <w:rPr>
          <w:lang w:val="es-ES"/>
        </w:rPr>
      </w:pPr>
      <w:r w:rsidRPr="00F8275B">
        <w:rPr>
          <w:lang w:val="es-ES"/>
        </w:rPr>
        <w:t>Principales resultados de la AR-23</w:t>
      </w:r>
      <w:bookmarkStart w:id="24" w:name="_Hlk160024134"/>
    </w:p>
    <w:p w14:paraId="1664D241" w14:textId="21B172A9" w:rsidR="00CE6D77" w:rsidRPr="00F8275B" w:rsidRDefault="00CE6D77" w:rsidP="00CE6D77">
      <w:pPr>
        <w:rPr>
          <w:lang w:val="es-ES"/>
        </w:rPr>
      </w:pPr>
      <w:r w:rsidRPr="00F8275B">
        <w:rPr>
          <w:lang w:val="es-ES"/>
        </w:rPr>
        <w:t>En total, la AR-23 revisó 26</w:t>
      </w:r>
      <w:r w:rsidR="00A440E1" w:rsidRPr="00F8275B">
        <w:rPr>
          <w:lang w:val="es-ES"/>
        </w:rPr>
        <w:t> </w:t>
      </w:r>
      <w:r w:rsidRPr="00F8275B">
        <w:rPr>
          <w:lang w:val="es-ES"/>
        </w:rPr>
        <w:t>Resoluciones UIT</w:t>
      </w:r>
      <w:r w:rsidR="00A440E1" w:rsidRPr="00F8275B">
        <w:rPr>
          <w:lang w:val="es-ES"/>
        </w:rPr>
        <w:noBreakHyphen/>
      </w:r>
      <w:r w:rsidRPr="00F8275B">
        <w:rPr>
          <w:lang w:val="es-ES"/>
        </w:rPr>
        <w:t>R, en particular:</w:t>
      </w:r>
    </w:p>
    <w:p w14:paraId="34E2D2C4" w14:textId="67AA8DF8" w:rsidR="00CE6D77" w:rsidRPr="00F8275B" w:rsidRDefault="00CE6D77" w:rsidP="00CE6D77">
      <w:pPr>
        <w:pStyle w:val="enumlev1"/>
        <w:rPr>
          <w:lang w:val="es-ES"/>
        </w:rPr>
      </w:pPr>
      <w:r w:rsidRPr="00F8275B">
        <w:rPr>
          <w:lang w:val="es-ES"/>
        </w:rPr>
        <w:t>•</w:t>
      </w:r>
      <w:r w:rsidRPr="00F8275B">
        <w:rPr>
          <w:lang w:val="es-ES"/>
        </w:rPr>
        <w:tab/>
        <w:t>Se revisó la</w:t>
      </w:r>
      <w:r w:rsidRPr="00F8275B">
        <w:rPr>
          <w:b/>
          <w:bCs/>
          <w:lang w:val="es-ES"/>
        </w:rPr>
        <w:t xml:space="preserve"> 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27" w:history="1">
        <w:r w:rsidRPr="00F8275B">
          <w:rPr>
            <w:rStyle w:val="Hyperlink"/>
            <w:b/>
            <w:bCs/>
            <w:lang w:val="es-ES"/>
          </w:rPr>
          <w:t>1</w:t>
        </w:r>
      </w:hyperlink>
      <w:r w:rsidRPr="00F8275B">
        <w:rPr>
          <w:lang w:val="es-ES"/>
        </w:rPr>
        <w:t xml:space="preserve"> "Métodos de trabajo de la Asamblea de Radiocomunicaciones, de las Comisiones de Estudio de Radiocomunicaciones, del Grupo Asesor de Radiocomunicaciones y de otros grupos del Sector de Radiocomunicaciones".</w:t>
      </w:r>
    </w:p>
    <w:p w14:paraId="7CBC8A28" w14:textId="02275AF6" w:rsidR="00CE6D77" w:rsidRPr="00F8275B" w:rsidRDefault="00CE6D77" w:rsidP="00CE6D77">
      <w:pPr>
        <w:pStyle w:val="enumlev1"/>
        <w:rPr>
          <w:u w:val="single"/>
          <w:lang w:val="es-ES"/>
        </w:rPr>
      </w:pPr>
      <w:r w:rsidRPr="00F8275B">
        <w:rPr>
          <w:lang w:val="es-ES"/>
        </w:rPr>
        <w:t>•</w:t>
      </w:r>
      <w:r w:rsidRPr="00F8275B">
        <w:rPr>
          <w:lang w:val="es-ES"/>
        </w:rPr>
        <w:tab/>
        <w:t>Se ha mantenido la estructura de las Comisiones de Estudio del UIT</w:t>
      </w:r>
      <w:r w:rsidR="00A440E1" w:rsidRPr="00F8275B">
        <w:rPr>
          <w:lang w:val="es-ES"/>
        </w:rPr>
        <w:noBreakHyphen/>
      </w:r>
      <w:r w:rsidRPr="00F8275B">
        <w:rPr>
          <w:lang w:val="es-ES"/>
        </w:rPr>
        <w:t>R.</w:t>
      </w:r>
    </w:p>
    <w:p w14:paraId="680D2261" w14:textId="171FC8CD" w:rsidR="00CE6D77" w:rsidRPr="00F8275B" w:rsidRDefault="00CE6D77" w:rsidP="00CE6D77">
      <w:pPr>
        <w:pStyle w:val="enumlev1"/>
        <w:rPr>
          <w:lang w:val="es-ES"/>
        </w:rPr>
      </w:pPr>
      <w:r w:rsidRPr="00F8275B">
        <w:rPr>
          <w:lang w:val="es-ES"/>
        </w:rPr>
        <w:t>•</w:t>
      </w:r>
      <w:r w:rsidRPr="00F8275B">
        <w:rPr>
          <w:lang w:val="es-ES"/>
        </w:rPr>
        <w:tab/>
        <w:t xml:space="preserve">La AR-23 aprobó el programa de trabajo y las Cuestiones de las Comisiones de Estudio de Radiocomunicaciones (véase 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28" w:history="1">
        <w:r w:rsidRPr="00F8275B">
          <w:rPr>
            <w:rStyle w:val="Hyperlink"/>
            <w:b/>
            <w:bCs/>
            <w:lang w:val="es-ES"/>
          </w:rPr>
          <w:t>5</w:t>
        </w:r>
      </w:hyperlink>
      <w:r w:rsidRPr="00F8275B">
        <w:rPr>
          <w:lang w:val="es-ES"/>
        </w:rPr>
        <w:t>), así como cuatro Recomendaciones UIT-R.</w:t>
      </w:r>
    </w:p>
    <w:p w14:paraId="5AECDB32" w14:textId="27838221" w:rsidR="00CE6D77" w:rsidRPr="00F8275B" w:rsidRDefault="00CE6D77" w:rsidP="00CE6D77">
      <w:pPr>
        <w:pStyle w:val="enumlev1"/>
        <w:rPr>
          <w:lang w:val="es-ES"/>
        </w:rPr>
      </w:pPr>
      <w:r w:rsidRPr="00F8275B">
        <w:rPr>
          <w:lang w:val="es-ES"/>
        </w:rPr>
        <w:t>•</w:t>
      </w:r>
      <w:r w:rsidRPr="00F8275B">
        <w:rPr>
          <w:lang w:val="es-ES"/>
        </w:rPr>
        <w:tab/>
        <w:t xml:space="preserve">También se realizó una revisión profunda de 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29" w:history="1">
        <w:r w:rsidRPr="00F8275B">
          <w:rPr>
            <w:rStyle w:val="Hyperlink"/>
            <w:b/>
            <w:bCs/>
            <w:lang w:val="es-ES"/>
          </w:rPr>
          <w:t>56</w:t>
        </w:r>
      </w:hyperlink>
      <w:r w:rsidRPr="00F8275B">
        <w:rPr>
          <w:lang w:val="es-ES"/>
        </w:rPr>
        <w:t xml:space="preserve"> sobre la "Denominación de las telecomunicaciones móviles internacionales", para incluir el término "IMT</w:t>
      </w:r>
      <w:r w:rsidR="00A440E1" w:rsidRPr="00F8275B">
        <w:rPr>
          <w:lang w:val="es-ES"/>
        </w:rPr>
        <w:noBreakHyphen/>
      </w:r>
      <w:r w:rsidRPr="00F8275B">
        <w:rPr>
          <w:lang w:val="es-ES"/>
        </w:rPr>
        <w:t>2030" y una referencia a la Recomendación UIT-R M.2160 en la que se describe el marco y los objetivos generales para el desarrollo futuro de las "IMT para</w:t>
      </w:r>
      <w:r w:rsidR="008E1F00" w:rsidRPr="00F8275B">
        <w:rPr>
          <w:lang w:val="es-ES"/>
        </w:rPr>
        <w:t> </w:t>
      </w:r>
      <w:r w:rsidRPr="00F8275B">
        <w:rPr>
          <w:lang w:val="es-ES"/>
        </w:rPr>
        <w:t>2030 y sistemas posteriores".</w:t>
      </w:r>
    </w:p>
    <w:p w14:paraId="4BA205F3" w14:textId="09641288" w:rsidR="00CE6D77" w:rsidRPr="00F8275B" w:rsidRDefault="00CE6D77" w:rsidP="00CE6D77">
      <w:pPr>
        <w:pStyle w:val="enumlev1"/>
        <w:rPr>
          <w:lang w:val="es-ES"/>
        </w:rPr>
      </w:pPr>
      <w:r w:rsidRPr="00F8275B">
        <w:rPr>
          <w:lang w:val="es-ES"/>
        </w:rPr>
        <w:t>•</w:t>
      </w:r>
      <w:r w:rsidRPr="00F8275B">
        <w:rPr>
          <w:lang w:val="es-ES"/>
        </w:rPr>
        <w:tab/>
        <w:t xml:space="preserve">También se revisó la </w:t>
      </w:r>
      <w:r w:rsidRPr="00F8275B">
        <w:rPr>
          <w:b/>
          <w:bCs/>
          <w:lang w:val="es-ES"/>
        </w:rPr>
        <w:t>Resolución</w:t>
      </w:r>
      <w:r w:rsidR="00A440E1" w:rsidRPr="00F8275B">
        <w:rPr>
          <w:b/>
          <w:bCs/>
          <w:lang w:val="es-ES"/>
        </w:rPr>
        <w:t> </w:t>
      </w:r>
      <w:r w:rsidRPr="00F8275B">
        <w:rPr>
          <w:b/>
          <w:bCs/>
          <w:lang w:val="es-ES"/>
        </w:rPr>
        <w:t>UIT-R</w:t>
      </w:r>
      <w:r w:rsidR="00A440E1" w:rsidRPr="00F8275B">
        <w:rPr>
          <w:b/>
          <w:bCs/>
          <w:lang w:val="es-ES"/>
        </w:rPr>
        <w:t> </w:t>
      </w:r>
      <w:hyperlink r:id="rId30" w:history="1">
        <w:r w:rsidRPr="00F8275B">
          <w:rPr>
            <w:rStyle w:val="Hyperlink"/>
            <w:b/>
            <w:bCs/>
            <w:lang w:val="es-ES"/>
          </w:rPr>
          <w:t>65</w:t>
        </w:r>
      </w:hyperlink>
      <w:r w:rsidRPr="00F8275B">
        <w:rPr>
          <w:lang w:val="es-ES"/>
        </w:rPr>
        <w:t xml:space="preserve"> sobre los "Principios para el futuro desarrollo de las IMT-2020 y las IMT</w:t>
      </w:r>
      <w:r w:rsidR="00A440E1" w:rsidRPr="00F8275B">
        <w:rPr>
          <w:lang w:val="es-ES"/>
        </w:rPr>
        <w:noBreakHyphen/>
      </w:r>
      <w:r w:rsidRPr="00F8275B">
        <w:rPr>
          <w:lang w:val="es-ES"/>
        </w:rPr>
        <w:t xml:space="preserve">2030" a fin de incorporar los mismos conceptos de la </w:t>
      </w:r>
      <w:r w:rsidR="00A440E1" w:rsidRPr="00F8275B">
        <w:rPr>
          <w:lang w:val="es-ES"/>
        </w:rPr>
        <w:t>Resolución</w:t>
      </w:r>
      <w:r w:rsidR="00B919E1" w:rsidRPr="00F8275B">
        <w:rPr>
          <w:lang w:val="es-ES"/>
        </w:rPr>
        <w:t> </w:t>
      </w:r>
      <w:r w:rsidRPr="00F8275B">
        <w:rPr>
          <w:lang w:val="es-ES"/>
        </w:rPr>
        <w:t>UIT</w:t>
      </w:r>
      <w:r w:rsidR="00A440E1" w:rsidRPr="00F8275B">
        <w:rPr>
          <w:lang w:val="es-ES"/>
        </w:rPr>
        <w:noBreakHyphen/>
      </w:r>
      <w:r w:rsidRPr="00F8275B">
        <w:rPr>
          <w:lang w:val="es-ES"/>
        </w:rPr>
        <w:t>R</w:t>
      </w:r>
      <w:r w:rsidR="00A440E1" w:rsidRPr="00F8275B">
        <w:rPr>
          <w:lang w:val="es-ES"/>
        </w:rPr>
        <w:t> </w:t>
      </w:r>
      <w:r w:rsidRPr="00F8275B">
        <w:rPr>
          <w:lang w:val="es-ES"/>
        </w:rPr>
        <w:t>56.</w:t>
      </w:r>
    </w:p>
    <w:p w14:paraId="21CB0DA0" w14:textId="77777777" w:rsidR="00CE6D77" w:rsidRPr="00F8275B" w:rsidRDefault="00CE6D77" w:rsidP="00CE6D77">
      <w:pPr>
        <w:rPr>
          <w:lang w:val="es-ES"/>
        </w:rPr>
      </w:pPr>
      <w:r w:rsidRPr="00F8275B">
        <w:rPr>
          <w:lang w:val="es-ES"/>
        </w:rPr>
        <w:lastRenderedPageBreak/>
        <w:t>Además, se aprobaron cuatro Resoluciones UIT-R nuevas:</w:t>
      </w:r>
    </w:p>
    <w:p w14:paraId="05D67E82" w14:textId="6C4CAE46" w:rsidR="00CE6D77" w:rsidRPr="00F8275B" w:rsidRDefault="00CE6D77" w:rsidP="00CE6D77">
      <w:pPr>
        <w:pStyle w:val="enumlev1"/>
        <w:rPr>
          <w:lang w:val="es-ES"/>
        </w:rPr>
      </w:pPr>
      <w:r w:rsidRPr="00F8275B">
        <w:rPr>
          <w:lang w:val="es-ES"/>
        </w:rPr>
        <w:t>•</w:t>
      </w:r>
      <w:r w:rsidRPr="00F8275B">
        <w:rPr>
          <w:lang w:val="es-ES"/>
        </w:rPr>
        <w:tab/>
        <w:t xml:space="preserve">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31" w:history="1">
        <w:r w:rsidRPr="00F8275B">
          <w:rPr>
            <w:rStyle w:val="Hyperlink"/>
            <w:b/>
            <w:bCs/>
            <w:lang w:val="es-ES"/>
          </w:rPr>
          <w:t>72</w:t>
        </w:r>
      </w:hyperlink>
      <w:r w:rsidRPr="00F8275B">
        <w:rPr>
          <w:lang w:val="es-ES"/>
        </w:rPr>
        <w:t xml:space="preserve"> – Promoción de la igualdad y la equidad de género y reducción de la disparidad en materia de contribución y participación de mujeres y hombres en las actividades del UIT-R.</w:t>
      </w:r>
    </w:p>
    <w:p w14:paraId="10BFEA5E" w14:textId="65E05FDB" w:rsidR="00CE6D77" w:rsidRPr="00F8275B" w:rsidRDefault="00CE6D77" w:rsidP="00CE6D77">
      <w:pPr>
        <w:pStyle w:val="enumlev1"/>
        <w:rPr>
          <w:lang w:val="es-ES"/>
        </w:rPr>
      </w:pPr>
      <w:r w:rsidRPr="00F8275B">
        <w:rPr>
          <w:lang w:val="es-ES"/>
        </w:rPr>
        <w:t>•</w:t>
      </w:r>
      <w:r w:rsidRPr="00F8275B">
        <w:rPr>
          <w:lang w:val="es-ES"/>
        </w:rPr>
        <w:tab/>
        <w:t xml:space="preserve">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32" w:history="1">
        <w:r w:rsidRPr="00F8275B">
          <w:rPr>
            <w:rStyle w:val="Hyperlink"/>
            <w:b/>
            <w:bCs/>
            <w:lang w:val="es-ES"/>
          </w:rPr>
          <w:t>73</w:t>
        </w:r>
      </w:hyperlink>
      <w:r w:rsidRPr="00F8275B">
        <w:rPr>
          <w:lang w:val="es-ES"/>
        </w:rPr>
        <w:t xml:space="preserve"> – Utilización de las tecnologías de las telecomunicaciones móviles internacionales para la banda ancha inalámbrica fija en las bandas de frecuencias atribuidas al servicio fijo a título primario.</w:t>
      </w:r>
    </w:p>
    <w:p w14:paraId="2D8EC0E9" w14:textId="18DE05E0" w:rsidR="00CE6D77" w:rsidRPr="00F8275B" w:rsidRDefault="00CE6D77" w:rsidP="00CE6D77">
      <w:pPr>
        <w:pStyle w:val="enumlev1"/>
        <w:rPr>
          <w:lang w:val="es-ES"/>
        </w:rPr>
      </w:pPr>
      <w:r w:rsidRPr="00F8275B">
        <w:rPr>
          <w:lang w:val="es-ES"/>
        </w:rPr>
        <w:t>•</w:t>
      </w:r>
      <w:r w:rsidRPr="00F8275B">
        <w:rPr>
          <w:lang w:val="es-ES"/>
        </w:rPr>
        <w:tab/>
        <w:t xml:space="preserve">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33" w:history="1">
        <w:r w:rsidRPr="00F8275B">
          <w:rPr>
            <w:rStyle w:val="Hyperlink"/>
            <w:b/>
            <w:bCs/>
            <w:lang w:val="es-ES"/>
          </w:rPr>
          <w:t>74</w:t>
        </w:r>
      </w:hyperlink>
      <w:r w:rsidRPr="00F8275B">
        <w:rPr>
          <w:lang w:val="es-ES"/>
        </w:rPr>
        <w:t xml:space="preserve"> – Actividades relacionadas con la utilización sostenible del espectro de frecuencias radioeléctricas y los recursos de órbita de satélite conexos utilizados por los servicios espaciales.</w:t>
      </w:r>
    </w:p>
    <w:p w14:paraId="588B7D4A" w14:textId="5F62FD35" w:rsidR="00CE6D77" w:rsidRPr="00F8275B" w:rsidRDefault="00CE6D77" w:rsidP="00CE6D77">
      <w:pPr>
        <w:pStyle w:val="enumlev1"/>
        <w:rPr>
          <w:lang w:val="es-ES"/>
        </w:rPr>
      </w:pPr>
      <w:r w:rsidRPr="00F8275B">
        <w:rPr>
          <w:lang w:val="es-ES"/>
        </w:rPr>
        <w:t>•</w:t>
      </w:r>
      <w:r w:rsidRPr="00F8275B">
        <w:rPr>
          <w:lang w:val="es-ES"/>
        </w:rPr>
        <w:tab/>
        <w:t xml:space="preserve">La </w:t>
      </w:r>
      <w:r w:rsidRPr="00F8275B">
        <w:rPr>
          <w:b/>
          <w:bCs/>
          <w:lang w:val="es-ES"/>
        </w:rPr>
        <w:t>Resolución</w:t>
      </w:r>
      <w:r w:rsidR="00A440E1" w:rsidRPr="00F8275B">
        <w:rPr>
          <w:b/>
          <w:bCs/>
          <w:lang w:val="es-ES"/>
        </w:rPr>
        <w:t> </w:t>
      </w:r>
      <w:r w:rsidRPr="00F8275B">
        <w:rPr>
          <w:b/>
          <w:bCs/>
          <w:lang w:val="es-ES"/>
        </w:rPr>
        <w:t>UIT</w:t>
      </w:r>
      <w:r w:rsidR="00A440E1" w:rsidRPr="00F8275B">
        <w:rPr>
          <w:b/>
          <w:bCs/>
          <w:lang w:val="es-ES"/>
        </w:rPr>
        <w:noBreakHyphen/>
      </w:r>
      <w:r w:rsidRPr="00F8275B">
        <w:rPr>
          <w:b/>
          <w:bCs/>
          <w:lang w:val="es-ES"/>
        </w:rPr>
        <w:t>R</w:t>
      </w:r>
      <w:r w:rsidR="00A440E1" w:rsidRPr="00F8275B">
        <w:rPr>
          <w:b/>
          <w:bCs/>
          <w:lang w:val="es-ES"/>
        </w:rPr>
        <w:t> </w:t>
      </w:r>
      <w:hyperlink r:id="rId34" w:history="1">
        <w:r w:rsidRPr="00F8275B">
          <w:rPr>
            <w:rStyle w:val="Hyperlink"/>
            <w:b/>
            <w:bCs/>
            <w:lang w:val="es-ES"/>
          </w:rPr>
          <w:t>75</w:t>
        </w:r>
      </w:hyperlink>
      <w:r w:rsidR="00A440E1" w:rsidRPr="00F8275B">
        <w:rPr>
          <w:lang w:val="es-ES"/>
        </w:rPr>
        <w:t xml:space="preserve"> </w:t>
      </w:r>
      <w:r w:rsidRPr="00F8275B">
        <w:rPr>
          <w:lang w:val="es-ES"/>
        </w:rPr>
        <w:t>– Fortalecimiento de la coordinación y la cooperación entre los tres Sectores de la UIT en asuntos de interés mutuo. En esta nueva Resolución se consolidan los textos de las Resoluciones</w:t>
      </w:r>
      <w:r w:rsidR="00B919E1" w:rsidRPr="00F8275B">
        <w:rPr>
          <w:lang w:val="es-ES"/>
        </w:rPr>
        <w:t> </w:t>
      </w:r>
      <w:r w:rsidRPr="00F8275B">
        <w:rPr>
          <w:lang w:val="es-ES"/>
        </w:rPr>
        <w:t>UIT-R</w:t>
      </w:r>
      <w:r w:rsidR="00A440E1" w:rsidRPr="00F8275B">
        <w:rPr>
          <w:lang w:val="es-ES"/>
        </w:rPr>
        <w:t> </w:t>
      </w:r>
      <w:r w:rsidRPr="00F8275B">
        <w:rPr>
          <w:lang w:val="es-ES"/>
        </w:rPr>
        <w:t>6, UIT</w:t>
      </w:r>
      <w:r w:rsidR="00A440E1" w:rsidRPr="00F8275B">
        <w:rPr>
          <w:lang w:val="es-ES"/>
        </w:rPr>
        <w:noBreakHyphen/>
      </w:r>
      <w:r w:rsidRPr="00F8275B">
        <w:rPr>
          <w:lang w:val="es-ES"/>
        </w:rPr>
        <w:t>R</w:t>
      </w:r>
      <w:r w:rsidR="00A440E1" w:rsidRPr="00F8275B">
        <w:rPr>
          <w:lang w:val="es-ES"/>
        </w:rPr>
        <w:t> </w:t>
      </w:r>
      <w:r w:rsidRPr="00F8275B">
        <w:rPr>
          <w:lang w:val="es-ES"/>
        </w:rPr>
        <w:t>7 y UIT</w:t>
      </w:r>
      <w:r w:rsidR="00A440E1" w:rsidRPr="00F8275B">
        <w:rPr>
          <w:lang w:val="es-ES"/>
        </w:rPr>
        <w:noBreakHyphen/>
      </w:r>
      <w:r w:rsidRPr="00F8275B">
        <w:rPr>
          <w:lang w:val="es-ES"/>
        </w:rPr>
        <w:t>R 48, que se eliminaron posteriormente.</w:t>
      </w:r>
    </w:p>
    <w:p w14:paraId="7A526721" w14:textId="5E81CC1B" w:rsidR="00CE6D77" w:rsidRPr="00F8275B" w:rsidRDefault="00CE6D77" w:rsidP="00CE6D77">
      <w:pPr>
        <w:rPr>
          <w:lang w:val="es-ES"/>
        </w:rPr>
      </w:pPr>
      <w:r w:rsidRPr="00F8275B">
        <w:rPr>
          <w:lang w:val="es-ES"/>
        </w:rPr>
        <w:t>Las decisiones de la AR</w:t>
      </w:r>
      <w:r w:rsidR="00A440E1" w:rsidRPr="00F8275B">
        <w:rPr>
          <w:lang w:val="es-ES"/>
        </w:rPr>
        <w:noBreakHyphen/>
      </w:r>
      <w:r w:rsidRPr="00F8275B">
        <w:rPr>
          <w:lang w:val="es-ES"/>
        </w:rPr>
        <w:t>23 que revisten un interés particular para la CMR</w:t>
      </w:r>
      <w:r w:rsidR="00A440E1" w:rsidRPr="00F8275B">
        <w:rPr>
          <w:lang w:val="es-ES"/>
        </w:rPr>
        <w:noBreakHyphen/>
      </w:r>
      <w:r w:rsidRPr="00F8275B">
        <w:rPr>
          <w:lang w:val="es-ES"/>
        </w:rPr>
        <w:t xml:space="preserve">23 se recogieron en el </w:t>
      </w:r>
      <w:r w:rsidR="00082AF5" w:rsidRPr="00F8275B">
        <w:rPr>
          <w:lang w:val="es-ES"/>
        </w:rPr>
        <w:t>Documento</w:t>
      </w:r>
      <w:bookmarkStart w:id="25" w:name="_Toc137211288"/>
      <w:bookmarkStart w:id="26" w:name="_Toc164862522"/>
      <w:bookmarkStart w:id="27" w:name="_Toc2074337837"/>
      <w:bookmarkEnd w:id="24"/>
      <w:r w:rsidR="00082AF5" w:rsidRPr="00F8275B">
        <w:rPr>
          <w:lang w:val="es-ES"/>
        </w:rPr>
        <w:t> </w:t>
      </w:r>
      <w:hyperlink r:id="rId35" w:history="1">
        <w:r w:rsidRPr="00F8275B">
          <w:rPr>
            <w:rStyle w:val="Hyperlink"/>
            <w:lang w:val="es-ES"/>
          </w:rPr>
          <w:t>WRC-23/217</w:t>
        </w:r>
      </w:hyperlink>
      <w:r w:rsidRPr="00F8275B">
        <w:rPr>
          <w:lang w:val="es-ES"/>
        </w:rPr>
        <w:t>.</w:t>
      </w:r>
    </w:p>
    <w:p w14:paraId="464B68BB" w14:textId="1B3E9DB0" w:rsidR="00CE6D77" w:rsidRPr="00F8275B" w:rsidRDefault="00082AF5" w:rsidP="00082AF5">
      <w:pPr>
        <w:pStyle w:val="Heading1"/>
        <w:rPr>
          <w:lang w:val="es-ES"/>
        </w:rPr>
      </w:pPr>
      <w:bookmarkStart w:id="28" w:name="_Toc165024936"/>
      <w:bookmarkStart w:id="29" w:name="_Toc166580877"/>
      <w:r w:rsidRPr="00F8275B">
        <w:rPr>
          <w:lang w:val="es-ES"/>
        </w:rPr>
        <w:t>3</w:t>
      </w:r>
      <w:r w:rsidRPr="00F8275B">
        <w:rPr>
          <w:lang w:val="es-ES"/>
        </w:rPr>
        <w:tab/>
      </w:r>
      <w:r w:rsidR="000C3A46" w:rsidRPr="00F8275B">
        <w:rPr>
          <w:lang w:val="es-ES"/>
        </w:rPr>
        <w:t>R</w:t>
      </w:r>
      <w:r w:rsidR="00CE6D77" w:rsidRPr="00F8275B">
        <w:rPr>
          <w:lang w:val="es-ES"/>
        </w:rPr>
        <w:t>epercusiones de la labor de la UIT</w:t>
      </w:r>
      <w:bookmarkEnd w:id="25"/>
      <w:bookmarkEnd w:id="26"/>
      <w:bookmarkEnd w:id="28"/>
      <w:r w:rsidR="00DE602A" w:rsidRPr="00F8275B">
        <w:rPr>
          <w:lang w:val="es-ES"/>
        </w:rPr>
        <w:t>: A</w:t>
      </w:r>
      <w:r w:rsidR="000C3A46" w:rsidRPr="00F8275B">
        <w:rPr>
          <w:lang w:val="es-ES"/>
        </w:rPr>
        <w:t>vances hacia la implementación de la Agenda Conectar 2030</w:t>
      </w:r>
      <w:bookmarkEnd w:id="29"/>
    </w:p>
    <w:p w14:paraId="55FD9EA1" w14:textId="71A05C37" w:rsidR="00CE6D77" w:rsidRPr="00F8275B" w:rsidRDefault="00DE602A" w:rsidP="00CE6D77">
      <w:pPr>
        <w:rPr>
          <w:lang w:val="es-ES"/>
        </w:rPr>
      </w:pPr>
      <w:r w:rsidRPr="00F8275B">
        <w:rPr>
          <w:lang w:val="es-ES"/>
        </w:rPr>
        <w:t>El nuevo Plan Estratégico</w:t>
      </w:r>
      <w:r w:rsidR="00CE6D77" w:rsidRPr="00F8275B">
        <w:rPr>
          <w:lang w:val="es-ES"/>
        </w:rPr>
        <w:t xml:space="preserve"> 2024</w:t>
      </w:r>
      <w:r w:rsidR="00A440E1" w:rsidRPr="00F8275B">
        <w:rPr>
          <w:lang w:val="es-ES"/>
        </w:rPr>
        <w:noBreakHyphen/>
      </w:r>
      <w:r w:rsidR="00CE6D77" w:rsidRPr="00F8275B">
        <w:rPr>
          <w:lang w:val="es-ES"/>
        </w:rPr>
        <w:t xml:space="preserve">2027 </w:t>
      </w:r>
      <w:r w:rsidRPr="00F8275B">
        <w:rPr>
          <w:lang w:val="es-ES"/>
        </w:rPr>
        <w:t>de la UIT se centra</w:t>
      </w:r>
      <w:r w:rsidR="00CE6D77" w:rsidRPr="00F8275B">
        <w:rPr>
          <w:lang w:val="es-ES"/>
        </w:rPr>
        <w:t xml:space="preserve"> en dos objetivos estratégicos generales: la conectividad universal y la transformación digital sostenible.</w:t>
      </w:r>
    </w:p>
    <w:p w14:paraId="7DBB7860" w14:textId="77788021" w:rsidR="00CE6D77" w:rsidRPr="00F8275B" w:rsidRDefault="00CE6D77" w:rsidP="00CE6D77">
      <w:pPr>
        <w:pStyle w:val="Heading2"/>
        <w:rPr>
          <w:lang w:val="es-ES"/>
        </w:rPr>
      </w:pPr>
      <w:bookmarkStart w:id="30" w:name="_Toc164862523"/>
      <w:bookmarkStart w:id="31" w:name="_Toc165024937"/>
      <w:bookmarkStart w:id="32" w:name="_Toc166580878"/>
      <w:r w:rsidRPr="00F8275B">
        <w:rPr>
          <w:lang w:val="es-ES"/>
        </w:rPr>
        <w:t>3.1</w:t>
      </w:r>
      <w:r w:rsidRPr="00F8275B">
        <w:rPr>
          <w:lang w:val="es-ES"/>
        </w:rPr>
        <w:tab/>
      </w:r>
      <w:r w:rsidR="000C3A46" w:rsidRPr="00F8275B">
        <w:rPr>
          <w:lang w:val="es-ES"/>
        </w:rPr>
        <w:t>Plan Estratégico</w:t>
      </w:r>
      <w:r w:rsidR="00A440E1" w:rsidRPr="00F8275B">
        <w:rPr>
          <w:lang w:val="es-ES"/>
        </w:rPr>
        <w:t> </w:t>
      </w:r>
      <w:r w:rsidRPr="00F8275B">
        <w:rPr>
          <w:lang w:val="es-ES"/>
        </w:rPr>
        <w:t>2020-2023</w:t>
      </w:r>
      <w:bookmarkEnd w:id="30"/>
      <w:bookmarkEnd w:id="31"/>
      <w:r w:rsidR="00DE602A" w:rsidRPr="00F8275B">
        <w:rPr>
          <w:lang w:val="es-ES"/>
        </w:rPr>
        <w:t>: R</w:t>
      </w:r>
      <w:r w:rsidR="000C3A46" w:rsidRPr="00F8275B">
        <w:rPr>
          <w:lang w:val="es-ES"/>
        </w:rPr>
        <w:t>esultados finales</w:t>
      </w:r>
      <w:bookmarkEnd w:id="32"/>
    </w:p>
    <w:p w14:paraId="1C05FEAD" w14:textId="6C6BB8BF" w:rsidR="00CE6D77" w:rsidRPr="00F8275B" w:rsidRDefault="00CE6D77" w:rsidP="00CE6D77">
      <w:pPr>
        <w:rPr>
          <w:lang w:val="es-ES"/>
        </w:rPr>
      </w:pPr>
      <w:r w:rsidRPr="00F8275B">
        <w:rPr>
          <w:lang w:val="es-ES"/>
        </w:rPr>
        <w:t xml:space="preserve">En esta sección se resumen los principales resultados y avances realizados en </w:t>
      </w:r>
      <w:r w:rsidR="00F95593" w:rsidRPr="00F8275B">
        <w:rPr>
          <w:lang w:val="es-ES"/>
        </w:rPr>
        <w:t xml:space="preserve">relación con </w:t>
      </w:r>
      <w:r w:rsidRPr="00F8275B">
        <w:rPr>
          <w:lang w:val="es-ES"/>
        </w:rPr>
        <w:t>la consecución de</w:t>
      </w:r>
      <w:r w:rsidR="00F95593" w:rsidRPr="00F8275B">
        <w:rPr>
          <w:lang w:val="es-ES"/>
        </w:rPr>
        <w:t xml:space="preserve"> los objetivos generales y</w:t>
      </w:r>
      <w:r w:rsidRPr="00F8275B">
        <w:rPr>
          <w:lang w:val="es-ES"/>
        </w:rPr>
        <w:t xml:space="preserve"> las metas </w:t>
      </w:r>
      <w:r w:rsidR="00F95593" w:rsidRPr="00F8275B">
        <w:rPr>
          <w:lang w:val="es-ES"/>
        </w:rPr>
        <w:t>específicas</w:t>
      </w:r>
      <w:r w:rsidRPr="00F8275B">
        <w:rPr>
          <w:lang w:val="es-ES"/>
        </w:rPr>
        <w:t xml:space="preserve"> para 2023 del Plan Estratégico de la Unión para 2020-2023, para con las que los Estados Miembros se comprometieron en la Resolución</w:t>
      </w:r>
      <w:r w:rsidR="00A84AA8" w:rsidRPr="00F8275B">
        <w:rPr>
          <w:lang w:val="es-ES"/>
        </w:rPr>
        <w:t> </w:t>
      </w:r>
      <w:r w:rsidRPr="00F8275B">
        <w:rPr>
          <w:lang w:val="es-ES"/>
        </w:rPr>
        <w:t>200 (Rev.</w:t>
      </w:r>
      <w:r w:rsidR="00A84AA8" w:rsidRPr="00F8275B">
        <w:rPr>
          <w:lang w:val="es-ES"/>
        </w:rPr>
        <w:t> </w:t>
      </w:r>
      <w:r w:rsidRPr="00F8275B">
        <w:rPr>
          <w:lang w:val="es-ES"/>
        </w:rPr>
        <w:t>Bucarest,</w:t>
      </w:r>
      <w:r w:rsidR="00A84AA8" w:rsidRPr="00F8275B">
        <w:rPr>
          <w:lang w:val="es-ES"/>
        </w:rPr>
        <w:t> </w:t>
      </w:r>
      <w:r w:rsidRPr="00F8275B">
        <w:rPr>
          <w:lang w:val="es-ES"/>
        </w:rPr>
        <w:t xml:space="preserve">2022) de la </w:t>
      </w:r>
      <w:r w:rsidR="00F95593" w:rsidRPr="00F8275B">
        <w:rPr>
          <w:lang w:val="es-ES"/>
        </w:rPr>
        <w:t>UIT</w:t>
      </w:r>
      <w:r w:rsidRPr="00F8275B">
        <w:rPr>
          <w:lang w:val="es-ES"/>
        </w:rPr>
        <w:t xml:space="preserve">, </w:t>
      </w:r>
      <w:r w:rsidR="00F95593" w:rsidRPr="00F8275B">
        <w:rPr>
          <w:lang w:val="es-ES"/>
        </w:rPr>
        <w:t xml:space="preserve">que representa la </w:t>
      </w:r>
      <w:r w:rsidR="00F8275B" w:rsidRPr="00F8275B">
        <w:rPr>
          <w:lang w:val="es-ES"/>
        </w:rPr>
        <w:t>iteración</w:t>
      </w:r>
      <w:r w:rsidR="00F95593" w:rsidRPr="00F8275B">
        <w:rPr>
          <w:lang w:val="es-ES"/>
        </w:rPr>
        <w:t xml:space="preserve"> más reciente de </w:t>
      </w:r>
      <w:r w:rsidRPr="00F8275B">
        <w:rPr>
          <w:lang w:val="es-ES"/>
        </w:rPr>
        <w:t xml:space="preserve">la Agenda Conectar 2030. Todos los gráficos pertinentes pueden consultarse en este </w:t>
      </w:r>
      <w:hyperlink r:id="rId36" w:history="1">
        <w:r w:rsidR="008E1F00" w:rsidRPr="00F8275B">
          <w:rPr>
            <w:rStyle w:val="Hyperlink"/>
            <w:lang w:val="es-ES"/>
          </w:rPr>
          <w:t>t</w:t>
        </w:r>
        <w:r w:rsidRPr="00F8275B">
          <w:rPr>
            <w:rStyle w:val="Hyperlink"/>
            <w:lang w:val="es-ES"/>
          </w:rPr>
          <w:t>ablón</w:t>
        </w:r>
      </w:hyperlink>
      <w:r w:rsidRPr="00F8275B">
        <w:rPr>
          <w:lang w:val="es-ES"/>
        </w:rPr>
        <w:t>.</w:t>
      </w:r>
    </w:p>
    <w:p w14:paraId="2D07F9CE" w14:textId="77777777" w:rsidR="00CE6D77" w:rsidRPr="00F8275B" w:rsidRDefault="00CE6D77" w:rsidP="001A500C">
      <w:pPr>
        <w:pStyle w:val="Heading3"/>
        <w:rPr>
          <w:lang w:val="es-ES"/>
        </w:rPr>
      </w:pPr>
      <w:bookmarkStart w:id="33" w:name="_Toc165024938"/>
      <w:r w:rsidRPr="00F8275B">
        <w:rPr>
          <w:lang w:val="es-ES"/>
        </w:rPr>
        <w:t>3.1.1</w:t>
      </w:r>
      <w:r w:rsidRPr="00F8275B">
        <w:rPr>
          <w:lang w:val="es-ES"/>
        </w:rPr>
        <w:tab/>
        <w:t>Crecimiento (accesibilidad y asequibilidad de Internet)</w:t>
      </w:r>
      <w:bookmarkEnd w:id="33"/>
    </w:p>
    <w:p w14:paraId="26072E34" w14:textId="204280A2" w:rsidR="00CE6D77" w:rsidRPr="00F8275B" w:rsidRDefault="00CE6D77" w:rsidP="00CE6D77">
      <w:pPr>
        <w:rPr>
          <w:lang w:val="es-ES"/>
        </w:rPr>
      </w:pPr>
      <w:r w:rsidRPr="00F8275B">
        <w:rPr>
          <w:b/>
          <w:bCs/>
          <w:lang w:val="es-ES"/>
        </w:rPr>
        <w:t>Acceso</w:t>
      </w:r>
      <w:r w:rsidRPr="00F8275B">
        <w:rPr>
          <w:lang w:val="es-ES"/>
        </w:rPr>
        <w:t xml:space="preserve"> – A finales de 2023, en torno al 67% de la población mundial, es decir, 5</w:t>
      </w:r>
      <w:r w:rsidR="00B919E1" w:rsidRPr="00F8275B">
        <w:rPr>
          <w:lang w:val="es-ES"/>
        </w:rPr>
        <w:t> </w:t>
      </w:r>
      <w:r w:rsidRPr="00F8275B">
        <w:rPr>
          <w:lang w:val="es-ES"/>
        </w:rPr>
        <w:t>400</w:t>
      </w:r>
      <w:r w:rsidR="00B919E1" w:rsidRPr="00F8275B">
        <w:rPr>
          <w:lang w:val="es-ES"/>
        </w:rPr>
        <w:t> </w:t>
      </w:r>
      <w:r w:rsidRPr="00F8275B">
        <w:rPr>
          <w:lang w:val="es-ES"/>
        </w:rPr>
        <w:t>millones de personas, tenían conexión a Internet, lo cual marcó un crecimiento del 4,7% desde 2022, respecto del 3,5% registrado entre 2021 y 2022. El número de personas sin conexión a Internet disminuyó hasta unos 2</w:t>
      </w:r>
      <w:r w:rsidR="00B919E1" w:rsidRPr="00F8275B">
        <w:rPr>
          <w:lang w:val="es-ES"/>
        </w:rPr>
        <w:t> </w:t>
      </w:r>
      <w:r w:rsidRPr="00F8275B">
        <w:rPr>
          <w:lang w:val="es-ES"/>
        </w:rPr>
        <w:t>600</w:t>
      </w:r>
      <w:r w:rsidR="00B919E1" w:rsidRPr="00F8275B">
        <w:rPr>
          <w:lang w:val="es-ES"/>
        </w:rPr>
        <w:t> </w:t>
      </w:r>
      <w:r w:rsidRPr="00F8275B">
        <w:rPr>
          <w:lang w:val="es-ES"/>
        </w:rPr>
        <w:t>millones, lo que representa el 33% de la población mundial. La tasa de utilización de Internet en los países de renta alta alcanzó el 93% en 2023. Si bien 167</w:t>
      </w:r>
      <w:r w:rsidR="00A440E1" w:rsidRPr="00F8275B">
        <w:rPr>
          <w:lang w:val="es-ES"/>
        </w:rPr>
        <w:t> </w:t>
      </w:r>
      <w:r w:rsidRPr="00F8275B">
        <w:rPr>
          <w:lang w:val="es-ES"/>
        </w:rPr>
        <w:t xml:space="preserve">países </w:t>
      </w:r>
      <w:r w:rsidR="00E01C94" w:rsidRPr="00F8275B">
        <w:rPr>
          <w:lang w:val="es-ES"/>
        </w:rPr>
        <w:t>habían aprobado</w:t>
      </w:r>
      <w:r w:rsidRPr="00F8275B">
        <w:rPr>
          <w:lang w:val="es-ES"/>
        </w:rPr>
        <w:t xml:space="preserve"> planes de banda ancha o estrategias digitales en 2023, esta cifra se ha estancado desde 2019 y ha disminuido desde 2022 (170). Es necesario adoptar medidas adicionales para animar a los 20 a 30 países restantes a desarrollar y adoptar sus planes nacionales de banda ancha.</w:t>
      </w:r>
    </w:p>
    <w:p w14:paraId="7C84369C" w14:textId="7C7E80FA" w:rsidR="00CE6D77" w:rsidRPr="00F8275B" w:rsidDel="00E946D6" w:rsidRDefault="00CE6D77" w:rsidP="008E1F00">
      <w:pPr>
        <w:keepNext/>
        <w:keepLines/>
        <w:rPr>
          <w:lang w:val="es-ES"/>
        </w:rPr>
      </w:pPr>
      <w:r w:rsidRPr="00F8275B">
        <w:rPr>
          <w:b/>
          <w:bCs/>
          <w:lang w:val="es-ES"/>
        </w:rPr>
        <w:lastRenderedPageBreak/>
        <w:t>Asequibilidad</w:t>
      </w:r>
      <w:r w:rsidRPr="00F8275B">
        <w:rPr>
          <w:lang w:val="es-ES"/>
        </w:rPr>
        <w:t xml:space="preserve"> – La tendencia a la baja de los precios de las TIC siguió vigente en 2023, y la banda ancha móvil de solo datos resultó más asequible en todo el mundo y en los distintos grupos de ingresos. Durante el periodo comprendido entre 2017 (año de referencia) y 2023, hubo una disminución del 36% de los precios medidos en términos de ingreso nacional bruto (ING) per cápita</w:t>
      </w:r>
      <w:r w:rsidRPr="00F8275B">
        <w:rPr>
          <w:i/>
          <w:iCs/>
          <w:lang w:val="es-ES"/>
        </w:rPr>
        <w:t xml:space="preserve"> </w:t>
      </w:r>
      <w:r w:rsidRPr="00F8275B">
        <w:rPr>
          <w:lang w:val="es-ES"/>
        </w:rPr>
        <w:t>para los países con datos disponibles.</w:t>
      </w:r>
    </w:p>
    <w:p w14:paraId="773007F0" w14:textId="751602EA" w:rsidR="00CE6D77" w:rsidRPr="00F8275B" w:rsidRDefault="00CE6D77" w:rsidP="008E1F00">
      <w:pPr>
        <w:rPr>
          <w:lang w:val="es-ES"/>
        </w:rPr>
      </w:pPr>
      <w:r w:rsidRPr="00F8275B">
        <w:rPr>
          <w:lang w:val="es-ES"/>
        </w:rPr>
        <w:t>Respecto del aumento de las suscripciones, la meta</w:t>
      </w:r>
      <w:r w:rsidR="00B919E1" w:rsidRPr="00F8275B">
        <w:rPr>
          <w:lang w:val="es-ES"/>
        </w:rPr>
        <w:t> </w:t>
      </w:r>
      <w:r w:rsidRPr="00F8275B">
        <w:rPr>
          <w:lang w:val="es-ES"/>
        </w:rPr>
        <w:t>1.5</w:t>
      </w:r>
      <w:r w:rsidR="00E01C94" w:rsidRPr="00F8275B">
        <w:rPr>
          <w:lang w:val="es-ES"/>
        </w:rPr>
        <w:t xml:space="preserve"> del Plan Estratégico de la UIT para 2020-2023</w:t>
      </w:r>
      <w:r w:rsidRPr="00F8275B">
        <w:rPr>
          <w:lang w:val="es-ES"/>
        </w:rPr>
        <w:t xml:space="preserve"> tenía por objeto conseguir un aumento del 50% entre 2017 y 2023. Las suscripciones a la banda ancha fija aumentaron un 45,6% durante este periodo. Las tasas de crecimiento variaron en función del nivel de ingresos: fueron del 56,5% en los países de bajos ingresos, del 100,8% en los países de ingresos medianos bajos, del 56,7% en los países de ingresos medianos altos y del 20,4% en los países de altos ingresos. La suscripciones a la banda ancha móvil aumentaron un 48,2%, con tasas de crecimiento diferentes: estas fueron del 130,3% en los países de bajos ingresos, del 99,9% en los país de ingresos medianos bajos, del 31,6% en los países de ingresos medianos altos y del 31,1% en los países de altos ingresos. Aunque no se cumplió el objetivo establecido para este indicador, las suscripciones a la banda ancha aumentaron considerablemente, especialmente en los países de bajos ingresos.</w:t>
      </w:r>
    </w:p>
    <w:p w14:paraId="08AD7967" w14:textId="77777777" w:rsidR="00CE6D77" w:rsidRPr="00F8275B" w:rsidRDefault="00CE6D77" w:rsidP="00CE6D77">
      <w:pPr>
        <w:pStyle w:val="Heading3"/>
        <w:rPr>
          <w:lang w:val="es-ES"/>
        </w:rPr>
      </w:pPr>
      <w:bookmarkStart w:id="34" w:name="_Toc165024939"/>
      <w:r w:rsidRPr="00F8275B">
        <w:rPr>
          <w:lang w:val="es-ES"/>
        </w:rPr>
        <w:t>3.1.2</w:t>
      </w:r>
      <w:r w:rsidRPr="00F8275B">
        <w:rPr>
          <w:lang w:val="es-ES"/>
        </w:rPr>
        <w:tab/>
        <w:t>Inclusividad (cierre de las brechas)</w:t>
      </w:r>
      <w:bookmarkEnd w:id="34"/>
    </w:p>
    <w:p w14:paraId="02171799" w14:textId="03AB847E" w:rsidR="00CE6D77" w:rsidRPr="00F8275B" w:rsidRDefault="00CE6D77" w:rsidP="00B919E1">
      <w:pPr>
        <w:keepNext/>
        <w:keepLines/>
        <w:rPr>
          <w:lang w:val="es-ES"/>
        </w:rPr>
      </w:pPr>
      <w:r w:rsidRPr="00F8275B">
        <w:rPr>
          <w:b/>
          <w:bCs/>
          <w:lang w:val="es-ES"/>
        </w:rPr>
        <w:t>Acceso</w:t>
      </w:r>
      <w:r w:rsidRPr="00F8275B">
        <w:rPr>
          <w:lang w:val="es-ES"/>
        </w:rPr>
        <w:t xml:space="preserve"> – En los países de bajos ingresos, el 27% de la población utiliza Internet, en comparación con la tasa del 24% registrada en 2022. En los países de bajos ingresos, la proporción de usuarios de Internet ha aumentado un 44% desde 2020, y un 14% en el último año. En los países de ingresos medianos y bajos (un conjunto similar de países al anterior </w:t>
      </w:r>
      <w:r w:rsidRPr="00F8275B">
        <w:rPr>
          <w:i/>
          <w:iCs/>
          <w:lang w:val="es-ES"/>
        </w:rPr>
        <w:t>grupo de países en desarrollo</w:t>
      </w:r>
      <w:r w:rsidRPr="00F8275B">
        <w:rPr>
          <w:lang w:val="es-ES"/>
        </w:rPr>
        <w:t xml:space="preserve">), el 63% de la población utilizó Internet en 2023. Sin embargo, sigue habiendo disparidades importantes respecto del uso de Internet entre las regiones. En África, los usuarios de Internet representan el 37% de la población. La conectividad universal también sigue siendo una perspectiva lejana en los países menos adelantados (PMA) y los países en desarrollo sin litoral (PDSL), donde, tan solo el 35% y el 39% de la población, respectivamente, </w:t>
      </w:r>
      <w:r w:rsidR="00F8275B" w:rsidRPr="00F8275B">
        <w:rPr>
          <w:lang w:val="es-ES"/>
        </w:rPr>
        <w:t>están</w:t>
      </w:r>
      <w:r w:rsidRPr="00F8275B">
        <w:rPr>
          <w:lang w:val="es-ES"/>
        </w:rPr>
        <w:t xml:space="preserve"> en línea.</w:t>
      </w:r>
    </w:p>
    <w:p w14:paraId="4AF0FE61" w14:textId="63CA35B6" w:rsidR="00CE6D77" w:rsidRPr="00F8275B" w:rsidRDefault="00CE6D77" w:rsidP="00CE6D77">
      <w:pPr>
        <w:rPr>
          <w:lang w:val="es-ES"/>
        </w:rPr>
      </w:pPr>
      <w:r w:rsidRPr="00F8275B">
        <w:rPr>
          <w:b/>
          <w:bCs/>
          <w:lang w:val="es-ES"/>
        </w:rPr>
        <w:t>Asequibilidad</w:t>
      </w:r>
      <w:r w:rsidRPr="00F8275B">
        <w:rPr>
          <w:lang w:val="es-ES"/>
        </w:rPr>
        <w:t xml:space="preserve"> – A pesar de la tendencia a la baja de los precios, la falta de asequibilidad sigue siendo un obstáculo fundamental al acceso a Internet, en particular en las economías de renta baja. Sin embargo, teniendo en cuenta el grupo de países que disponían de datos para el periodo comprendido entre 2017 (año de referencia) y 2023, la diferencia entre las economías de ingresos altos y las de ingresos medianos bajos ha disminuido un 42%.</w:t>
      </w:r>
    </w:p>
    <w:p w14:paraId="1A5BB91E" w14:textId="74E4593C" w:rsidR="00CE6D77" w:rsidRPr="00F8275B" w:rsidRDefault="00CE6D77" w:rsidP="00CE6D77">
      <w:pPr>
        <w:rPr>
          <w:lang w:val="es-ES"/>
        </w:rPr>
      </w:pPr>
      <w:r w:rsidRPr="00F8275B">
        <w:rPr>
          <w:b/>
          <w:bCs/>
          <w:lang w:val="es-ES"/>
        </w:rPr>
        <w:t>Género</w:t>
      </w:r>
      <w:r w:rsidRPr="00F8275B">
        <w:rPr>
          <w:lang w:val="es-ES"/>
        </w:rPr>
        <w:t xml:space="preserve"> – A nivel mundial, el 70% de los hombres y el 65% de las mujeres utilizaban Internet en 2023, lo que representaba casi 250</w:t>
      </w:r>
      <w:r w:rsidR="00A84AA8" w:rsidRPr="00F8275B">
        <w:rPr>
          <w:lang w:val="es-ES"/>
        </w:rPr>
        <w:t> </w:t>
      </w:r>
      <w:r w:rsidRPr="00F8275B">
        <w:rPr>
          <w:lang w:val="es-ES"/>
        </w:rPr>
        <w:t>millones más de hombres que de mujeres con acceso a Internet. La paridad de género ha aumentado del 0,90 en 2019 al 0,92 en 2023, lo cual indica un progreso hacia la paridad. Sin embargo, sigue habiendo importantes disparidades, especialmente en África, donde la probabilidad de utilizar Internet es un 30% más alta en los hombres que en las mujeres. Los países menos adelantados y los países en desarrollo sin litoral también se enfrentan a desafíos para lograr la paridad de género a pesar de los recientes avances. Los países en desarrollo sin litoral solo han demostrado avances limitados respecto de la paridad de género desde 2019. En cuanto a la propiedad de teléfonos, la probabilidad de poseer un teléfono móvil es un 8% inferior en las mujeres que en los hombres, ya que estas superan en un 35% al número de hombres que no poseen dicho dispositivo.</w:t>
      </w:r>
    </w:p>
    <w:p w14:paraId="4BD97144" w14:textId="77777777" w:rsidR="00CE6D77" w:rsidRPr="00F8275B" w:rsidRDefault="00CE6D77" w:rsidP="00CE6D77">
      <w:pPr>
        <w:rPr>
          <w:lang w:val="es-ES"/>
        </w:rPr>
      </w:pPr>
      <w:r w:rsidRPr="00F8275B">
        <w:rPr>
          <w:b/>
          <w:bCs/>
          <w:lang w:val="es-ES"/>
        </w:rPr>
        <w:lastRenderedPageBreak/>
        <w:t>Accesibilidad</w:t>
      </w:r>
      <w:r w:rsidRPr="00F8275B">
        <w:rPr>
          <w:lang w:val="es-ES"/>
        </w:rPr>
        <w:t xml:space="preserve"> – El número de países que han establecido un marco reglamentario para garantizar la accesibilidad de las TIC para las personas con discapacidad casi se ha duplicado, pasando de 61 en 2018 a 117 en 2023.</w:t>
      </w:r>
    </w:p>
    <w:p w14:paraId="6FDB0E79" w14:textId="77777777" w:rsidR="00CE6D77" w:rsidRPr="00F8275B" w:rsidRDefault="00CE6D77" w:rsidP="00CE6D77">
      <w:pPr>
        <w:pStyle w:val="Heading3"/>
        <w:rPr>
          <w:lang w:val="es-ES"/>
        </w:rPr>
      </w:pPr>
      <w:bookmarkStart w:id="35" w:name="_Toc165024940"/>
      <w:r w:rsidRPr="00F8275B">
        <w:rPr>
          <w:lang w:val="es-ES"/>
        </w:rPr>
        <w:t>3.1.3</w:t>
      </w:r>
      <w:r w:rsidRPr="00F8275B">
        <w:rPr>
          <w:lang w:val="es-ES"/>
        </w:rPr>
        <w:tab/>
        <w:t>Sostenibilidad</w:t>
      </w:r>
      <w:bookmarkEnd w:id="35"/>
    </w:p>
    <w:p w14:paraId="41C730D1" w14:textId="77777777" w:rsidR="00CE6D77" w:rsidRPr="00F8275B" w:rsidRDefault="00CE6D77" w:rsidP="00CE6D77">
      <w:pPr>
        <w:rPr>
          <w:lang w:val="es-ES"/>
        </w:rPr>
      </w:pPr>
      <w:r w:rsidRPr="00F8275B">
        <w:rPr>
          <w:lang w:val="es-ES"/>
        </w:rPr>
        <w:t>Por lo general, se necesitan más datos para evaluar plenamente los avances hacia las metas de sostenibilidad de la UIT.</w:t>
      </w:r>
    </w:p>
    <w:p w14:paraId="11A89B52" w14:textId="569FB66D" w:rsidR="00CE6D77" w:rsidRPr="00F8275B" w:rsidRDefault="00CE6D77" w:rsidP="008E1F00">
      <w:pPr>
        <w:keepNext/>
        <w:keepLines/>
        <w:rPr>
          <w:lang w:val="es-ES"/>
        </w:rPr>
      </w:pPr>
      <w:r w:rsidRPr="00F8275B">
        <w:rPr>
          <w:lang w:val="es-ES"/>
        </w:rPr>
        <w:t xml:space="preserve">Se midió que la </w:t>
      </w:r>
      <w:r w:rsidRPr="00F8275B">
        <w:rPr>
          <w:u w:val="single"/>
          <w:lang w:val="es-ES"/>
        </w:rPr>
        <w:t>tasa de reciclaje de residuos-e a nivel mundial</w:t>
      </w:r>
      <w:r w:rsidRPr="00F8275B">
        <w:rPr>
          <w:lang w:val="es-ES"/>
        </w:rPr>
        <w:t xml:space="preserve"> era del 20% en 2017 y que disminuyó hasta rondar el 17% en 2019, antes de la crisis de la COVID-19. En </w:t>
      </w:r>
      <w:r w:rsidR="000C3A46" w:rsidRPr="00F8275B">
        <w:rPr>
          <w:lang w:val="es-ES"/>
        </w:rPr>
        <w:t>2022</w:t>
      </w:r>
      <w:r w:rsidRPr="00F8275B">
        <w:rPr>
          <w:lang w:val="es-ES"/>
        </w:rPr>
        <w:t xml:space="preserve">, aumentó hasta el 22,3% (véase el último </w:t>
      </w:r>
      <w:hyperlink r:id="rId37" w:history="1">
        <w:r w:rsidRPr="00F8275B">
          <w:rPr>
            <w:rStyle w:val="Hyperlink"/>
            <w:lang w:val="es-ES"/>
          </w:rPr>
          <w:t>Global E-</w:t>
        </w:r>
        <w:r w:rsidR="00CF44BF" w:rsidRPr="00F8275B">
          <w:rPr>
            <w:rStyle w:val="Hyperlink"/>
            <w:lang w:val="es-ES"/>
          </w:rPr>
          <w:t>w</w:t>
        </w:r>
        <w:r w:rsidRPr="00F8275B">
          <w:rPr>
            <w:rStyle w:val="Hyperlink"/>
            <w:lang w:val="es-ES"/>
          </w:rPr>
          <w:t>aste Monitor</w:t>
        </w:r>
      </w:hyperlink>
      <w:r w:rsidRPr="00F8275B">
        <w:rPr>
          <w:lang w:val="es-ES"/>
        </w:rPr>
        <w:t>). Esto representa una buena progresión, aunque sigue estando lejos de la meta del 30%: la tasa oficial de recogida y reciclaje tendría que aumentar a un ritmo muy superior para conseguir dicha meta. Además, según se informa, en 2019 se generó en todo el mundo un récord de 53,6</w:t>
      </w:r>
      <w:r w:rsidR="00B919E1" w:rsidRPr="00F8275B">
        <w:rPr>
          <w:lang w:val="es-ES"/>
        </w:rPr>
        <w:t> </w:t>
      </w:r>
      <w:r w:rsidRPr="00F8275B">
        <w:rPr>
          <w:lang w:val="es-ES"/>
        </w:rPr>
        <w:t xml:space="preserve">millones de toneladas métricas (Mt) de residuos electrónicos </w:t>
      </w:r>
      <w:r w:rsidR="00351796" w:rsidRPr="00F8275B">
        <w:rPr>
          <w:lang w:val="es-ES"/>
        </w:rPr>
        <w:t>−</w:t>
      </w:r>
      <w:r w:rsidRPr="00F8275B">
        <w:rPr>
          <w:lang w:val="es-ES"/>
        </w:rPr>
        <w:t>productos desechados dotados de una batería o un enchufe como los ordenadores y teléfonos móviles</w:t>
      </w:r>
      <w:r w:rsidR="00351796" w:rsidRPr="00F8275B">
        <w:rPr>
          <w:lang w:val="es-ES"/>
        </w:rPr>
        <w:t>−</w:t>
      </w:r>
      <w:r w:rsidRPr="00F8275B">
        <w:rPr>
          <w:lang w:val="es-ES"/>
        </w:rPr>
        <w:t xml:space="preserve"> lo cual significa un aumento de 9,2</w:t>
      </w:r>
      <w:r w:rsidR="0040710E" w:rsidRPr="00F8275B">
        <w:rPr>
          <w:lang w:val="es-ES"/>
        </w:rPr>
        <w:t> </w:t>
      </w:r>
      <w:r w:rsidRPr="00F8275B">
        <w:rPr>
          <w:lang w:val="es-ES"/>
        </w:rPr>
        <w:t>Mt en cinco años. Según las predicciones de un nuevo informe, los residuos electrónicos se cifrarán en todo el mundo en 74,7</w:t>
      </w:r>
      <w:r w:rsidR="0040710E" w:rsidRPr="00F8275B">
        <w:rPr>
          <w:lang w:val="es-ES"/>
        </w:rPr>
        <w:t> </w:t>
      </w:r>
      <w:r w:rsidRPr="00F8275B">
        <w:rPr>
          <w:lang w:val="es-ES"/>
        </w:rPr>
        <w:t>Mt en 2030, una cifra que casi duplica la de 2014, debido al aumento de las tasas de consumo de productos eléctricos y electrónicos, a la reducción de los ciclos de vida y a las limitadas opciones de reparación. Según el Global E-waste Monitor, se prevé una disminución de la tasa documentada de recogida y reciclado del 22,3% en 2022 hasta el 20% en 2030 con motivo de las crecientes diferencias entre los esfuerzos de reciclaje y el vertiginoso aumento de la generación de residuos electrónicos en todo el mundo.</w:t>
      </w:r>
    </w:p>
    <w:p w14:paraId="0C5B40A8" w14:textId="34FF78AE" w:rsidR="00CE6D77" w:rsidRPr="00F8275B" w:rsidRDefault="00CE6D77" w:rsidP="00CE6D77">
      <w:pPr>
        <w:rPr>
          <w:lang w:val="es-ES"/>
        </w:rPr>
      </w:pPr>
      <w:r w:rsidRPr="00F8275B">
        <w:rPr>
          <w:lang w:val="es-ES"/>
        </w:rPr>
        <w:t>Por otro lado, se han logrado buenos avances respecto de la meta de que el 50% de los países (en torno a 97) tengan una política, leyes o normas en materia de residuos electrónicos para 2023, y se ha observado un aumento del número de dichos países, que pasó de 48 en 2016 a en torno a 81 en 2023.</w:t>
      </w:r>
    </w:p>
    <w:p w14:paraId="23CC126C" w14:textId="07F89777" w:rsidR="00CE6D77" w:rsidRPr="00F8275B" w:rsidRDefault="00CE6D77" w:rsidP="00CE6D77">
      <w:pPr>
        <w:rPr>
          <w:lang w:val="es-ES"/>
        </w:rPr>
      </w:pPr>
      <w:r w:rsidRPr="00F8275B">
        <w:rPr>
          <w:lang w:val="es-ES"/>
        </w:rPr>
        <w:t xml:space="preserve">En cuanto a las </w:t>
      </w:r>
      <w:r w:rsidRPr="00F8275B">
        <w:rPr>
          <w:u w:val="single"/>
          <w:lang w:val="es-ES"/>
        </w:rPr>
        <w:t>repercusiones climáticas</w:t>
      </w:r>
      <w:r w:rsidRPr="00F8275B">
        <w:rPr>
          <w:lang w:val="es-ES"/>
        </w:rPr>
        <w:t xml:space="preserve"> (respecto de las cuales </w:t>
      </w:r>
      <w:r w:rsidR="00E01C94" w:rsidRPr="00F8275B">
        <w:rPr>
          <w:lang w:val="es-ES"/>
        </w:rPr>
        <w:t>el Plan Estratégico</w:t>
      </w:r>
      <w:r w:rsidRPr="00F8275B">
        <w:rPr>
          <w:lang w:val="es-ES"/>
        </w:rPr>
        <w:t xml:space="preserve"> para 2020</w:t>
      </w:r>
      <w:r w:rsidR="00CF44BF" w:rsidRPr="00F8275B">
        <w:rPr>
          <w:lang w:val="es-ES"/>
        </w:rPr>
        <w:noBreakHyphen/>
      </w:r>
      <w:r w:rsidR="00E01C94" w:rsidRPr="00F8275B">
        <w:rPr>
          <w:lang w:val="es-ES"/>
        </w:rPr>
        <w:t>2023 se centró</w:t>
      </w:r>
      <w:r w:rsidRPr="00F8275B">
        <w:rPr>
          <w:lang w:val="es-ES"/>
        </w:rPr>
        <w:t xml:space="preserve"> en la reducción neta de las emisiones de gases de efecto invernadero propiciada por las telecomunicaciones/TIC), la UIT ha elaborado normas con base científica para lograr el cero neto de emisiones de TIC</w:t>
      </w:r>
      <w:r w:rsidR="000C3A46" w:rsidRPr="00F8275B">
        <w:rPr>
          <w:lang w:val="es-ES"/>
        </w:rPr>
        <w:t xml:space="preserve"> y medir el efecto capacitador de las soluciones de TIC para reducir las emisiones de los GEI en los demás sectores</w:t>
      </w:r>
      <w:r w:rsidRPr="00F8275B">
        <w:rPr>
          <w:lang w:val="es-ES"/>
        </w:rPr>
        <w:t xml:space="preserve"> (normas de la serie</w:t>
      </w:r>
      <w:r w:rsidR="00CF44BF" w:rsidRPr="00F8275B">
        <w:rPr>
          <w:lang w:val="es-ES"/>
        </w:rPr>
        <w:t> </w:t>
      </w:r>
      <w:r w:rsidRPr="00F8275B">
        <w:rPr>
          <w:lang w:val="es-ES"/>
        </w:rPr>
        <w:t>L mencionadas en la sección</w:t>
      </w:r>
      <w:r w:rsidR="00CF44BF" w:rsidRPr="00F8275B">
        <w:rPr>
          <w:lang w:val="es-ES"/>
        </w:rPr>
        <w:t> </w:t>
      </w:r>
      <w:r w:rsidRPr="00F8275B">
        <w:rPr>
          <w:lang w:val="es-ES"/>
        </w:rPr>
        <w:t>1). Sin embargo, aún no se han aplicado sistemáticamente para medir los avances.</w:t>
      </w:r>
      <w:r w:rsidR="000C3A46" w:rsidRPr="00F8275B">
        <w:rPr>
          <w:lang w:val="es-ES"/>
        </w:rPr>
        <w:t xml:space="preserve"> Se están realizando trabajos para desarrollar una metodología uniformada para elaborar una base de datos sobre las emisiones de GEI en los planos nacional y mundial y sobre los factores de las emisiones.</w:t>
      </w:r>
      <w:r w:rsidR="00E01C94" w:rsidRPr="00F8275B">
        <w:rPr>
          <w:lang w:val="es-ES"/>
        </w:rPr>
        <w:t xml:space="preserve"> Además, la UIT, junto con más de 40 asociados como los gobiernos, las empresas, la sociedad civil y otros organismos de las Naciones Unidas, puso en marcha la Acción Digital Verde en la COP28 a fin de intensificar la acción climática digital. En particular, se creó un Grupo de Trabajo de la Acción Digital Verde sobre la aplicación de las normas ecológicas.</w:t>
      </w:r>
    </w:p>
    <w:p w14:paraId="66EB8536" w14:textId="6F3968C2" w:rsidR="00CE6D77" w:rsidRPr="00F8275B" w:rsidRDefault="00CE6D77" w:rsidP="00CE6D77">
      <w:pPr>
        <w:rPr>
          <w:lang w:val="es-ES"/>
        </w:rPr>
      </w:pPr>
      <w:r w:rsidRPr="00F8275B">
        <w:rPr>
          <w:lang w:val="es-ES"/>
        </w:rPr>
        <w:t xml:space="preserve">Entretanto, los datos procedentes de un </w:t>
      </w:r>
      <w:hyperlink r:id="rId38" w:history="1">
        <w:r w:rsidRPr="00F8275B">
          <w:rPr>
            <w:rStyle w:val="Hyperlink"/>
            <w:lang w:val="es-ES"/>
          </w:rPr>
          <w:t>informe conjunto</w:t>
        </w:r>
      </w:hyperlink>
      <w:r w:rsidRPr="00F8275B">
        <w:rPr>
          <w:lang w:val="es-ES"/>
        </w:rPr>
        <w:t xml:space="preserve"> elaborado por la UIT y el Banco Mundial (como contribución a la Acción Digital Verde) ofrecen indicadores útiles. El informe proporciona datos exhaustivos sobre las emisiones de GEI y el consumo de energía para el sector de las TIC</w:t>
      </w:r>
      <w:r w:rsidR="000C3A46" w:rsidRPr="00F8275B">
        <w:rPr>
          <w:lang w:val="es-ES"/>
        </w:rPr>
        <w:t xml:space="preserve"> en los 30</w:t>
      </w:r>
      <w:r w:rsidR="00AB5621" w:rsidRPr="00F8275B">
        <w:rPr>
          <w:lang w:val="es-ES"/>
        </w:rPr>
        <w:t> </w:t>
      </w:r>
      <w:r w:rsidR="000C3A46" w:rsidRPr="00F8275B">
        <w:rPr>
          <w:lang w:val="es-ES"/>
        </w:rPr>
        <w:t>países con mayores emisiones</w:t>
      </w:r>
      <w:r w:rsidRPr="00F8275B">
        <w:rPr>
          <w:lang w:val="es-ES"/>
        </w:rPr>
        <w:t>, en particular para las telecomunicaciones y los centros de datos. Los últimos resultados muestran que las emisiones totales de las telecomunicaciones (millones de tCO</w:t>
      </w:r>
      <w:r w:rsidRPr="00F8275B">
        <w:rPr>
          <w:vertAlign w:val="subscript"/>
          <w:lang w:val="es-ES"/>
        </w:rPr>
        <w:t>2</w:t>
      </w:r>
      <w:r w:rsidRPr="00F8275B">
        <w:rPr>
          <w:lang w:val="es-ES"/>
        </w:rPr>
        <w:t xml:space="preserve">) siguen siendo estables, ya </w:t>
      </w:r>
      <w:r w:rsidRPr="00F8275B">
        <w:rPr>
          <w:lang w:val="es-ES"/>
        </w:rPr>
        <w:lastRenderedPageBreak/>
        <w:t>que han disminuido ligeramente desde el nivel de 135 en</w:t>
      </w:r>
      <w:r w:rsidR="00CF44BF" w:rsidRPr="00F8275B">
        <w:rPr>
          <w:lang w:val="es-ES"/>
        </w:rPr>
        <w:t> </w:t>
      </w:r>
      <w:r w:rsidRPr="00F8275B">
        <w:rPr>
          <w:lang w:val="es-ES"/>
        </w:rPr>
        <w:t>2020 hasta el de 133 en 2023.</w:t>
      </w:r>
      <w:r w:rsidR="000C3A46" w:rsidRPr="00F8275B">
        <w:rPr>
          <w:lang w:val="es-ES"/>
        </w:rPr>
        <w:t xml:space="preserve"> En el informe también se presentan estudios de caso de varios países que comunican sus emisiones de TIC y su utilización de energía, a fin de profundizar en los enfoques reglamentarios y las repercusiones políticas dimanantes de los datos.</w:t>
      </w:r>
    </w:p>
    <w:p w14:paraId="7462497F" w14:textId="0D3C1166" w:rsidR="00CE6D77" w:rsidRPr="00F8275B" w:rsidRDefault="00CE6D77" w:rsidP="00EF1E33">
      <w:pPr>
        <w:rPr>
          <w:lang w:val="es-ES"/>
        </w:rPr>
      </w:pPr>
      <w:r w:rsidRPr="00F8275B">
        <w:rPr>
          <w:lang w:val="es-ES"/>
        </w:rPr>
        <w:t xml:space="preserve">En cuanto a la meta relativa a la </w:t>
      </w:r>
      <w:r w:rsidRPr="00F8275B">
        <w:rPr>
          <w:u w:val="single"/>
          <w:lang w:val="es-ES"/>
        </w:rPr>
        <w:t>ciberseguridad</w:t>
      </w:r>
      <w:r w:rsidRPr="00F8275B">
        <w:rPr>
          <w:lang w:val="es-ES"/>
        </w:rPr>
        <w:t xml:space="preserve"> ("mayor preparación de los países en materia de ciberseguridad mediante capacidades esenciales, a saber, existencia de una estrategia, de equipos nacionales de intervención en caso de emergencia o incidente informático y de legislación"), el porcentaje de países con EIII/EIEI ha pasado de en torno al 55% en 2018 al 65% en 2023, mientras que el número países con estrategias y planes de acciones en materia de ciberseguridad ha aumentado hasta 127 en 2023, en comparación con los 107</w:t>
      </w:r>
      <w:r w:rsidR="005946FC" w:rsidRPr="00F8275B">
        <w:rPr>
          <w:lang w:val="es-ES"/>
        </w:rPr>
        <w:t> </w:t>
      </w:r>
      <w:r w:rsidRPr="00F8275B">
        <w:rPr>
          <w:lang w:val="es-ES"/>
        </w:rPr>
        <w:t>países registrados en 2020.</w:t>
      </w:r>
    </w:p>
    <w:p w14:paraId="79AA8804" w14:textId="7DB3CABB" w:rsidR="00CE6D77" w:rsidRPr="00F8275B" w:rsidRDefault="00CE6D77" w:rsidP="00CE6D77">
      <w:pPr>
        <w:rPr>
          <w:lang w:val="es-ES"/>
        </w:rPr>
      </w:pPr>
      <w:r w:rsidRPr="00F8275B">
        <w:rPr>
          <w:lang w:val="es-ES"/>
        </w:rPr>
        <w:t xml:space="preserve">El porcentaje de países con un plan nacional de telecomunicaciones de emergencia integrado en sus </w:t>
      </w:r>
      <w:r w:rsidRPr="00F8275B">
        <w:rPr>
          <w:u w:val="single"/>
          <w:lang w:val="es-ES"/>
        </w:rPr>
        <w:t>estrategias nacionales y locales de reducción del riesgo de catástrofes</w:t>
      </w:r>
      <w:r w:rsidRPr="00F8275B">
        <w:rPr>
          <w:lang w:val="es-ES"/>
        </w:rPr>
        <w:t xml:space="preserve"> aumentó del 66% en 2020 hasta el 83% en 2023, lo cual era un resultado importante, pero lejano de la meta establecida para 2023 ("todos los países").</w:t>
      </w:r>
    </w:p>
    <w:p w14:paraId="1E30FD76" w14:textId="5F3297C4" w:rsidR="00CE6D77" w:rsidRPr="00F8275B" w:rsidRDefault="00CE6D77" w:rsidP="00CE6D77">
      <w:pPr>
        <w:pStyle w:val="Heading3"/>
        <w:rPr>
          <w:lang w:val="es-ES"/>
        </w:rPr>
      </w:pPr>
      <w:bookmarkStart w:id="36" w:name="_Toc165024941"/>
      <w:r w:rsidRPr="00F8275B">
        <w:rPr>
          <w:lang w:val="es-ES"/>
        </w:rPr>
        <w:t>3.1.4</w:t>
      </w:r>
      <w:r w:rsidRPr="00F8275B">
        <w:rPr>
          <w:lang w:val="es-ES"/>
        </w:rPr>
        <w:tab/>
        <w:t>Innovación</w:t>
      </w:r>
      <w:bookmarkEnd w:id="36"/>
    </w:p>
    <w:p w14:paraId="58786305" w14:textId="4B935980" w:rsidR="00CE6D77" w:rsidRPr="00F8275B" w:rsidRDefault="00CE6D77" w:rsidP="00CE6D77">
      <w:pPr>
        <w:rPr>
          <w:lang w:val="es-ES"/>
        </w:rPr>
      </w:pPr>
      <w:r w:rsidRPr="00F8275B">
        <w:rPr>
          <w:lang w:val="es-ES"/>
        </w:rPr>
        <w:t>La finalidad para 2023 que evalúa los progresos para alcanzar este objetivo reza "que todos los países dispongan de políticas y/o estrategias encaminadas a fomentar la innovación centrada en las telecomunicaciones/TIC". Los datos reales obtenidos se refieren al "número de países con políticas/estrategias de fomento de la innovación" (no específicamente "centradas en las telecomunicaciones/TIC"). Con esa salvedad, el número de países ha pasado de 66 en 2016 a 97 (en torno al 50% de los países) en 2023, lo que todavía dista mucho de alcanzar la meta de "todos" los países (es decir, más del 90% al 95%).</w:t>
      </w:r>
    </w:p>
    <w:p w14:paraId="1D7B97C7" w14:textId="32F52BA5" w:rsidR="00CE6D77" w:rsidRPr="00F8275B" w:rsidRDefault="00CE6D77" w:rsidP="00CE6D77">
      <w:pPr>
        <w:pStyle w:val="Heading3"/>
        <w:rPr>
          <w:lang w:val="es-ES"/>
        </w:rPr>
      </w:pPr>
      <w:bookmarkStart w:id="37" w:name="_Toc165024942"/>
      <w:r w:rsidRPr="00F8275B">
        <w:rPr>
          <w:lang w:val="es-ES"/>
        </w:rPr>
        <w:t>3.1.5</w:t>
      </w:r>
      <w:r w:rsidRPr="00F8275B">
        <w:rPr>
          <w:lang w:val="es-ES"/>
        </w:rPr>
        <w:tab/>
        <w:t>Asociaciones</w:t>
      </w:r>
      <w:bookmarkEnd w:id="37"/>
    </w:p>
    <w:p w14:paraId="297A626B" w14:textId="66D7771D" w:rsidR="00CE6D77" w:rsidRPr="00F8275B" w:rsidRDefault="00CE6D77" w:rsidP="00CE6D77">
      <w:pPr>
        <w:rPr>
          <w:lang w:val="es-ES"/>
        </w:rPr>
      </w:pPr>
      <w:r w:rsidRPr="00F8275B">
        <w:rPr>
          <w:lang w:val="es-ES"/>
        </w:rPr>
        <w:t>Para evaluar el incremento de las "asociaciones efectivas con interesados y la cooperación con otras organizaciones y entidades del entorno de las telecomunicaciones/TIC", se ha utilizado una medida cualitativa a partir de la encuesta anual a los miembros de la UIT.</w:t>
      </w:r>
    </w:p>
    <w:p w14:paraId="571E7464" w14:textId="3F23A9DC" w:rsidR="00CE6D77" w:rsidRPr="00F8275B" w:rsidRDefault="00CE6D77" w:rsidP="00CE6D77">
      <w:pPr>
        <w:rPr>
          <w:lang w:val="es-ES"/>
        </w:rPr>
      </w:pPr>
      <w:r w:rsidRPr="00F8275B">
        <w:rPr>
          <w:lang w:val="es-ES"/>
        </w:rPr>
        <w:t>Los resultados de la encuesta sugieren que la percepción por parte de los Miembros de la importancia de las asociaciones/colaboración es elevada y ha aumentado desde 2019 (en</w:t>
      </w:r>
      <w:r w:rsidR="005946FC" w:rsidRPr="00F8275B">
        <w:rPr>
          <w:lang w:val="es-ES"/>
        </w:rPr>
        <w:t> </w:t>
      </w:r>
      <w:r w:rsidRPr="00F8275B">
        <w:rPr>
          <w:lang w:val="es-ES"/>
        </w:rPr>
        <w:t>2023, el 61% de los encuestados estaban de acuerdo o muy de acuerdo con dicha importancia). Asimismo, consideran que su organización se está beneficiando del aumento de las sinergias de la colaboración con los demás (en torno al 70% en 2023).</w:t>
      </w:r>
    </w:p>
    <w:p w14:paraId="0666BC65" w14:textId="10056119" w:rsidR="00847E96" w:rsidRPr="00F8275B" w:rsidRDefault="00847E96" w:rsidP="004E206B">
      <w:pPr>
        <w:rPr>
          <w:lang w:val="es-ES"/>
        </w:rPr>
      </w:pPr>
      <w:r w:rsidRPr="00F8275B">
        <w:rPr>
          <w:lang w:val="es-ES"/>
        </w:rPr>
        <w:t xml:space="preserve">Cabe señalar que en el nuevo Plan Estratégico (2024-2027) </w:t>
      </w:r>
      <w:r w:rsidR="001F174D" w:rsidRPr="00F8275B">
        <w:rPr>
          <w:lang w:val="es-ES"/>
        </w:rPr>
        <w:t xml:space="preserve">la </w:t>
      </w:r>
      <w:r w:rsidR="00E01C94" w:rsidRPr="00F8275B">
        <w:rPr>
          <w:lang w:val="es-ES"/>
        </w:rPr>
        <w:t xml:space="preserve">innovación </w:t>
      </w:r>
      <w:r w:rsidR="001F174D" w:rsidRPr="00F8275B">
        <w:rPr>
          <w:lang w:val="es-ES"/>
        </w:rPr>
        <w:t xml:space="preserve">y las </w:t>
      </w:r>
      <w:r w:rsidR="00E01C94" w:rsidRPr="00F8275B">
        <w:rPr>
          <w:lang w:val="es-ES"/>
        </w:rPr>
        <w:t xml:space="preserve">asociaciones </w:t>
      </w:r>
      <w:r w:rsidR="001F174D" w:rsidRPr="00F8275B">
        <w:rPr>
          <w:lang w:val="es-ES"/>
        </w:rPr>
        <w:t xml:space="preserve">ya no </w:t>
      </w:r>
      <w:r w:rsidR="00E01C94" w:rsidRPr="00F8275B">
        <w:rPr>
          <w:lang w:val="es-ES"/>
        </w:rPr>
        <w:t>se consideran</w:t>
      </w:r>
      <w:r w:rsidR="001F174D" w:rsidRPr="00F8275B">
        <w:rPr>
          <w:lang w:val="es-ES"/>
        </w:rPr>
        <w:t xml:space="preserve"> objetivos sino medios para alcanzar los objetivos</w:t>
      </w:r>
      <w:r w:rsidR="00E01C94" w:rsidRPr="00F8275B">
        <w:rPr>
          <w:lang w:val="es-ES"/>
        </w:rPr>
        <w:t xml:space="preserve"> estratégicos de la UIT relativos a la conectividad universal y la transformación digital sostenible</w:t>
      </w:r>
      <w:r w:rsidRPr="00F8275B">
        <w:rPr>
          <w:lang w:val="es-ES"/>
        </w:rPr>
        <w:t>.</w:t>
      </w:r>
    </w:p>
    <w:p w14:paraId="46641225" w14:textId="50A3A72B" w:rsidR="00CE6D77" w:rsidRPr="00F8275B" w:rsidRDefault="00CE6D77" w:rsidP="00CE6D77">
      <w:pPr>
        <w:pStyle w:val="Heading2"/>
        <w:rPr>
          <w:lang w:val="es-ES"/>
        </w:rPr>
      </w:pPr>
      <w:bookmarkStart w:id="38" w:name="_Toc164862524"/>
      <w:bookmarkStart w:id="39" w:name="_Toc165024943"/>
      <w:bookmarkStart w:id="40" w:name="_Toc166580879"/>
      <w:r w:rsidRPr="00F8275B">
        <w:rPr>
          <w:lang w:val="es-ES"/>
        </w:rPr>
        <w:t>3.2</w:t>
      </w:r>
      <w:r w:rsidRPr="00F8275B">
        <w:rPr>
          <w:lang w:val="es-ES"/>
        </w:rPr>
        <w:tab/>
        <w:t>Comparación de las metas del Plan Estratégico</w:t>
      </w:r>
      <w:r w:rsidR="00E01C94" w:rsidRPr="00F8275B">
        <w:rPr>
          <w:lang w:val="es-ES"/>
        </w:rPr>
        <w:t xml:space="preserve"> de la UIT</w:t>
      </w:r>
      <w:r w:rsidRPr="00F8275B">
        <w:rPr>
          <w:lang w:val="es-ES"/>
        </w:rPr>
        <w:t xml:space="preserve"> para 2024-2027</w:t>
      </w:r>
      <w:bookmarkEnd w:id="38"/>
      <w:bookmarkEnd w:id="39"/>
      <w:bookmarkEnd w:id="40"/>
    </w:p>
    <w:p w14:paraId="0818EBEA" w14:textId="01614BBA" w:rsidR="00CE6D77" w:rsidRPr="00F8275B" w:rsidRDefault="00CE6D77" w:rsidP="005946FC">
      <w:pPr>
        <w:spacing w:after="120"/>
        <w:rPr>
          <w:lang w:val="es-ES"/>
        </w:rPr>
      </w:pPr>
      <w:r w:rsidRPr="00F8275B">
        <w:rPr>
          <w:lang w:val="es-ES"/>
        </w:rPr>
        <w:t>El PE para 2024-2027 incluye 12</w:t>
      </w:r>
      <w:r w:rsidR="00AB5621" w:rsidRPr="00F8275B">
        <w:rPr>
          <w:lang w:val="es-ES"/>
        </w:rPr>
        <w:t> </w:t>
      </w:r>
      <w:r w:rsidRPr="00F8275B">
        <w:rPr>
          <w:lang w:val="es-ES"/>
        </w:rPr>
        <w:t xml:space="preserve">metas estratégicas, de las cuales </w:t>
      </w:r>
      <w:r w:rsidR="005946FC" w:rsidRPr="00F8275B">
        <w:rPr>
          <w:lang w:val="es-ES"/>
        </w:rPr>
        <w:t>siete</w:t>
      </w:r>
      <w:r w:rsidRPr="00F8275B">
        <w:rPr>
          <w:lang w:val="es-ES"/>
        </w:rPr>
        <w:t xml:space="preserve"> corresponden al objetivo estratégico de la conectividad universal y </w:t>
      </w:r>
      <w:r w:rsidR="005946FC" w:rsidRPr="00F8275B">
        <w:rPr>
          <w:lang w:val="es-ES"/>
        </w:rPr>
        <w:t>cinco</w:t>
      </w:r>
      <w:r w:rsidRPr="00F8275B">
        <w:rPr>
          <w:lang w:val="es-ES"/>
        </w:rPr>
        <w:t xml:space="preserve"> al de la transformación digital. Estas son las siguientes:</w:t>
      </w:r>
    </w:p>
    <w:tbl>
      <w:tblPr>
        <w:tblStyle w:val="TableGridLigh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7380"/>
      </w:tblGrid>
      <w:tr w:rsidR="005946FC" w:rsidRPr="00F8275B" w14:paraId="67AFC4DF" w14:textId="77777777" w:rsidTr="008E1F00">
        <w:trPr>
          <w:jc w:val="center"/>
        </w:trPr>
        <w:tc>
          <w:tcPr>
            <w:tcW w:w="1681" w:type="dxa"/>
            <w:shd w:val="clear" w:color="auto" w:fill="365F91"/>
          </w:tcPr>
          <w:p w14:paraId="2667F754" w14:textId="77777777" w:rsidR="00CE6D77" w:rsidRPr="00F8275B" w:rsidRDefault="00CE6D77" w:rsidP="008E1F00">
            <w:pPr>
              <w:pStyle w:val="Tablehead"/>
              <w:keepNext/>
              <w:keepLines/>
              <w:rPr>
                <w:color w:val="FFFFFF" w:themeColor="background1"/>
                <w:lang w:val="es-ES"/>
              </w:rPr>
            </w:pPr>
            <w:r w:rsidRPr="00F8275B">
              <w:rPr>
                <w:color w:val="FFFFFF" w:themeColor="background1"/>
                <w:lang w:val="es-ES"/>
              </w:rPr>
              <w:lastRenderedPageBreak/>
              <w:t>Objetivo</w:t>
            </w:r>
          </w:p>
        </w:tc>
        <w:tc>
          <w:tcPr>
            <w:tcW w:w="7380" w:type="dxa"/>
            <w:shd w:val="clear" w:color="auto" w:fill="365F91"/>
          </w:tcPr>
          <w:p w14:paraId="7D880EE1" w14:textId="77777777" w:rsidR="00CE6D77" w:rsidRPr="00F8275B" w:rsidRDefault="00CE6D77" w:rsidP="00DC7C49">
            <w:pPr>
              <w:pStyle w:val="Tablehead"/>
              <w:rPr>
                <w:color w:val="FFFFFF" w:themeColor="background1"/>
                <w:lang w:val="es-ES"/>
              </w:rPr>
            </w:pPr>
            <w:r w:rsidRPr="00F8275B">
              <w:rPr>
                <w:color w:val="FFFFFF" w:themeColor="background1"/>
                <w:lang w:val="es-ES"/>
              </w:rPr>
              <w:t>Meta</w:t>
            </w:r>
          </w:p>
        </w:tc>
      </w:tr>
      <w:tr w:rsidR="00CE6D77" w:rsidRPr="00F8275B" w14:paraId="0C9E748F" w14:textId="77777777" w:rsidTr="008E1F00">
        <w:trPr>
          <w:jc w:val="center"/>
        </w:trPr>
        <w:tc>
          <w:tcPr>
            <w:tcW w:w="1681" w:type="dxa"/>
            <w:vMerge w:val="restart"/>
          </w:tcPr>
          <w:p w14:paraId="5D209805" w14:textId="77777777" w:rsidR="00CE6D77" w:rsidRPr="00F8275B" w:rsidRDefault="00CE6D77" w:rsidP="00EF1E33">
            <w:pPr>
              <w:pStyle w:val="Tabletext"/>
              <w:rPr>
                <w:lang w:val="es-ES"/>
              </w:rPr>
            </w:pPr>
            <w:r w:rsidRPr="00F8275B">
              <w:rPr>
                <w:lang w:val="es-ES"/>
              </w:rPr>
              <w:t>Conectividad universal</w:t>
            </w:r>
          </w:p>
        </w:tc>
        <w:tc>
          <w:tcPr>
            <w:tcW w:w="7380" w:type="dxa"/>
          </w:tcPr>
          <w:p w14:paraId="4674DF11" w14:textId="77777777" w:rsidR="00CE6D77" w:rsidRPr="00F8275B" w:rsidRDefault="00CE6D77" w:rsidP="008E1F00">
            <w:pPr>
              <w:pStyle w:val="Tabletext"/>
              <w:rPr>
                <w:lang w:val="es-ES"/>
              </w:rPr>
            </w:pPr>
            <w:r w:rsidRPr="00F8275B">
              <w:rPr>
                <w:lang w:val="es-ES"/>
              </w:rPr>
              <w:t>1.1: Cobertura universal de banda ancha</w:t>
            </w:r>
          </w:p>
        </w:tc>
      </w:tr>
      <w:tr w:rsidR="00CE6D77" w:rsidRPr="00F8275B" w14:paraId="1184A7E8" w14:textId="77777777" w:rsidTr="008E1F00">
        <w:trPr>
          <w:jc w:val="center"/>
        </w:trPr>
        <w:tc>
          <w:tcPr>
            <w:tcW w:w="1681" w:type="dxa"/>
            <w:vMerge/>
          </w:tcPr>
          <w:p w14:paraId="35EA3C36" w14:textId="77777777" w:rsidR="00CE6D77" w:rsidRPr="00F8275B" w:rsidRDefault="00CE6D77" w:rsidP="00EF1E33">
            <w:pPr>
              <w:pStyle w:val="Tabletext"/>
              <w:rPr>
                <w:lang w:val="es-ES"/>
              </w:rPr>
            </w:pPr>
          </w:p>
        </w:tc>
        <w:tc>
          <w:tcPr>
            <w:tcW w:w="7380" w:type="dxa"/>
          </w:tcPr>
          <w:p w14:paraId="7614A82C" w14:textId="77777777" w:rsidR="00CE6D77" w:rsidRPr="00F8275B" w:rsidRDefault="00CE6D77" w:rsidP="008E1F00">
            <w:pPr>
              <w:pStyle w:val="Tabletext"/>
              <w:rPr>
                <w:lang w:val="es-ES"/>
              </w:rPr>
            </w:pPr>
            <w:r w:rsidRPr="00F8275B">
              <w:rPr>
                <w:lang w:val="es-ES"/>
              </w:rPr>
              <w:t>1.2: Servicios de banda ancha asequibles para todos</w:t>
            </w:r>
          </w:p>
        </w:tc>
      </w:tr>
      <w:tr w:rsidR="00CE6D77" w:rsidRPr="00F8275B" w14:paraId="42BAF534" w14:textId="77777777" w:rsidTr="008E1F00">
        <w:trPr>
          <w:jc w:val="center"/>
        </w:trPr>
        <w:tc>
          <w:tcPr>
            <w:tcW w:w="1681" w:type="dxa"/>
            <w:vMerge/>
          </w:tcPr>
          <w:p w14:paraId="292A35F1" w14:textId="77777777" w:rsidR="00CE6D77" w:rsidRPr="00F8275B" w:rsidRDefault="00CE6D77" w:rsidP="00EF1E33">
            <w:pPr>
              <w:pStyle w:val="Tabletext"/>
              <w:rPr>
                <w:lang w:val="es-ES"/>
              </w:rPr>
            </w:pPr>
          </w:p>
        </w:tc>
        <w:tc>
          <w:tcPr>
            <w:tcW w:w="7380" w:type="dxa"/>
          </w:tcPr>
          <w:p w14:paraId="53641D0A" w14:textId="77777777" w:rsidR="00CE6D77" w:rsidRPr="00F8275B" w:rsidRDefault="00CE6D77" w:rsidP="008E1F00">
            <w:pPr>
              <w:pStyle w:val="Tabletext"/>
              <w:rPr>
                <w:lang w:val="es-ES"/>
              </w:rPr>
            </w:pPr>
            <w:r w:rsidRPr="00F8275B">
              <w:rPr>
                <w:lang w:val="es-ES"/>
              </w:rPr>
              <w:t>1.3: Acceso de banda ancha a todos los hogares</w:t>
            </w:r>
          </w:p>
        </w:tc>
      </w:tr>
      <w:tr w:rsidR="00CE6D77" w:rsidRPr="00F8275B" w14:paraId="330382A8" w14:textId="77777777" w:rsidTr="008E1F00">
        <w:trPr>
          <w:jc w:val="center"/>
        </w:trPr>
        <w:tc>
          <w:tcPr>
            <w:tcW w:w="1681" w:type="dxa"/>
            <w:vMerge/>
          </w:tcPr>
          <w:p w14:paraId="195DAD4D" w14:textId="77777777" w:rsidR="00CE6D77" w:rsidRPr="00F8275B" w:rsidRDefault="00CE6D77" w:rsidP="00EF1E33">
            <w:pPr>
              <w:pStyle w:val="Tabletext"/>
              <w:rPr>
                <w:lang w:val="es-ES"/>
              </w:rPr>
            </w:pPr>
          </w:p>
        </w:tc>
        <w:tc>
          <w:tcPr>
            <w:tcW w:w="7380" w:type="dxa"/>
          </w:tcPr>
          <w:p w14:paraId="39CE1B8B" w14:textId="77777777" w:rsidR="00CE6D77" w:rsidRPr="00F8275B" w:rsidRDefault="00CE6D77" w:rsidP="008E1F00">
            <w:pPr>
              <w:pStyle w:val="Tabletext"/>
              <w:rPr>
                <w:lang w:val="es-ES"/>
              </w:rPr>
            </w:pPr>
            <w:r w:rsidRPr="00F8275B">
              <w:rPr>
                <w:lang w:val="es-ES"/>
              </w:rPr>
              <w:t>1.4: Propiedad y acceso a dispositivos habilitados para Internet</w:t>
            </w:r>
          </w:p>
        </w:tc>
      </w:tr>
      <w:tr w:rsidR="00CE6D77" w:rsidRPr="00F8275B" w14:paraId="4F361CAD" w14:textId="77777777" w:rsidTr="008E1F00">
        <w:trPr>
          <w:jc w:val="center"/>
        </w:trPr>
        <w:tc>
          <w:tcPr>
            <w:tcW w:w="1681" w:type="dxa"/>
            <w:vMerge/>
          </w:tcPr>
          <w:p w14:paraId="28B834BC" w14:textId="77777777" w:rsidR="00CE6D77" w:rsidRPr="00F8275B" w:rsidRDefault="00CE6D77" w:rsidP="00EF1E33">
            <w:pPr>
              <w:pStyle w:val="Tabletext"/>
              <w:rPr>
                <w:lang w:val="es-ES"/>
              </w:rPr>
            </w:pPr>
          </w:p>
        </w:tc>
        <w:tc>
          <w:tcPr>
            <w:tcW w:w="7380" w:type="dxa"/>
          </w:tcPr>
          <w:p w14:paraId="3DCBD1A3" w14:textId="77777777" w:rsidR="00CE6D77" w:rsidRPr="00F8275B" w:rsidRDefault="00CE6D77" w:rsidP="008E1F00">
            <w:pPr>
              <w:pStyle w:val="Tabletext"/>
              <w:rPr>
                <w:lang w:val="es-ES"/>
              </w:rPr>
            </w:pPr>
            <w:r w:rsidRPr="00F8275B">
              <w:rPr>
                <w:lang w:val="es-ES"/>
              </w:rPr>
              <w:t>1.5: Acceso a Internet para todas las escuelas</w:t>
            </w:r>
          </w:p>
        </w:tc>
      </w:tr>
      <w:tr w:rsidR="00CE6D77" w:rsidRPr="00F8275B" w14:paraId="456F709C" w14:textId="77777777" w:rsidTr="008E1F00">
        <w:trPr>
          <w:jc w:val="center"/>
        </w:trPr>
        <w:tc>
          <w:tcPr>
            <w:tcW w:w="1681" w:type="dxa"/>
            <w:vMerge/>
          </w:tcPr>
          <w:p w14:paraId="69F6F71B" w14:textId="77777777" w:rsidR="00CE6D77" w:rsidRPr="00F8275B" w:rsidRDefault="00CE6D77" w:rsidP="00EF1E33">
            <w:pPr>
              <w:pStyle w:val="Tabletext"/>
              <w:rPr>
                <w:lang w:val="es-ES"/>
              </w:rPr>
            </w:pPr>
          </w:p>
        </w:tc>
        <w:tc>
          <w:tcPr>
            <w:tcW w:w="7380" w:type="dxa"/>
          </w:tcPr>
          <w:p w14:paraId="4272B3FB" w14:textId="77777777" w:rsidR="00CE6D77" w:rsidRPr="00F8275B" w:rsidRDefault="00CE6D77" w:rsidP="00DC7C49">
            <w:pPr>
              <w:pStyle w:val="Tabletext"/>
              <w:rPr>
                <w:lang w:val="es-ES"/>
              </w:rPr>
            </w:pPr>
            <w:r w:rsidRPr="00F8275B">
              <w:rPr>
                <w:lang w:val="es-ES"/>
              </w:rPr>
              <w:t>1.6: Mayor preparación de los países en materia de ciberseguridad (mediante capacidades esenciales, a saber, existencia de una estrategia, de EIII/EIEI, y de legislación)</w:t>
            </w:r>
          </w:p>
        </w:tc>
      </w:tr>
      <w:tr w:rsidR="00CE6D77" w:rsidRPr="00F8275B" w14:paraId="24654D6D" w14:textId="77777777" w:rsidTr="008E1F00">
        <w:trPr>
          <w:jc w:val="center"/>
        </w:trPr>
        <w:tc>
          <w:tcPr>
            <w:tcW w:w="1681" w:type="dxa"/>
            <w:vMerge/>
          </w:tcPr>
          <w:p w14:paraId="5F3FF500" w14:textId="77777777" w:rsidR="00CE6D77" w:rsidRPr="00F8275B" w:rsidRDefault="00CE6D77" w:rsidP="00EF1E33">
            <w:pPr>
              <w:pStyle w:val="Tabletext"/>
              <w:rPr>
                <w:lang w:val="es-ES"/>
              </w:rPr>
            </w:pPr>
          </w:p>
        </w:tc>
        <w:tc>
          <w:tcPr>
            <w:tcW w:w="7380" w:type="dxa"/>
          </w:tcPr>
          <w:p w14:paraId="33A6E328" w14:textId="77777777" w:rsidR="00CE6D77" w:rsidRPr="00F8275B" w:rsidRDefault="00CE6D77" w:rsidP="00DC7C49">
            <w:pPr>
              <w:pStyle w:val="Tabletext"/>
              <w:rPr>
                <w:lang w:val="es-ES"/>
              </w:rPr>
            </w:pPr>
            <w:r w:rsidRPr="00F8275B">
              <w:rPr>
                <w:lang w:val="es-ES"/>
              </w:rPr>
              <w:t>1.7: Acceso universal a Internet para todas las personas</w:t>
            </w:r>
          </w:p>
        </w:tc>
      </w:tr>
      <w:tr w:rsidR="00CE6D77" w:rsidRPr="00F8275B" w14:paraId="3BB6DB2F" w14:textId="77777777" w:rsidTr="008E1F00">
        <w:trPr>
          <w:jc w:val="center"/>
        </w:trPr>
        <w:tc>
          <w:tcPr>
            <w:tcW w:w="1681" w:type="dxa"/>
            <w:vMerge w:val="restart"/>
          </w:tcPr>
          <w:p w14:paraId="5D58048B" w14:textId="77777777" w:rsidR="00CE6D77" w:rsidRPr="00F8275B" w:rsidRDefault="00CE6D77" w:rsidP="00EF1E33">
            <w:pPr>
              <w:pStyle w:val="Tabletext"/>
              <w:rPr>
                <w:lang w:val="es-ES"/>
              </w:rPr>
            </w:pPr>
            <w:bookmarkStart w:id="41" w:name="_Hlk161228148"/>
            <w:r w:rsidRPr="00F8275B">
              <w:rPr>
                <w:lang w:val="es-ES"/>
              </w:rPr>
              <w:t>Transformación digital sostenible</w:t>
            </w:r>
            <w:bookmarkEnd w:id="41"/>
          </w:p>
        </w:tc>
        <w:tc>
          <w:tcPr>
            <w:tcW w:w="7380" w:type="dxa"/>
          </w:tcPr>
          <w:p w14:paraId="14B3404F" w14:textId="77777777" w:rsidR="00CE6D77" w:rsidRPr="00F8275B" w:rsidRDefault="00CE6D77" w:rsidP="00DC7C49">
            <w:pPr>
              <w:pStyle w:val="Tabletext"/>
              <w:rPr>
                <w:lang w:val="es-ES"/>
              </w:rPr>
            </w:pPr>
            <w:r w:rsidRPr="00F8275B">
              <w:rPr>
                <w:lang w:val="es-ES"/>
              </w:rPr>
              <w:t>2.1: Reducción de todas las brechas digitales (en particular, las de género, edad y entorno urbano/rural)</w:t>
            </w:r>
          </w:p>
        </w:tc>
      </w:tr>
      <w:tr w:rsidR="00CE6D77" w:rsidRPr="00F8275B" w14:paraId="7A747481" w14:textId="77777777" w:rsidTr="008E1F00">
        <w:trPr>
          <w:jc w:val="center"/>
        </w:trPr>
        <w:tc>
          <w:tcPr>
            <w:tcW w:w="1681" w:type="dxa"/>
            <w:vMerge/>
          </w:tcPr>
          <w:p w14:paraId="710374A9" w14:textId="77777777" w:rsidR="00CE6D77" w:rsidRPr="00F8275B" w:rsidRDefault="00CE6D77" w:rsidP="00DC7C49">
            <w:pPr>
              <w:pStyle w:val="Tabletext"/>
              <w:rPr>
                <w:lang w:val="es-ES"/>
              </w:rPr>
            </w:pPr>
          </w:p>
        </w:tc>
        <w:tc>
          <w:tcPr>
            <w:tcW w:w="7380" w:type="dxa"/>
          </w:tcPr>
          <w:p w14:paraId="2C9F6863" w14:textId="77777777" w:rsidR="00CE6D77" w:rsidRPr="00F8275B" w:rsidRDefault="00CE6D77" w:rsidP="00DC7C49">
            <w:pPr>
              <w:pStyle w:val="Tabletext"/>
              <w:rPr>
                <w:lang w:val="es-ES"/>
              </w:rPr>
            </w:pPr>
            <w:r w:rsidRPr="00F8275B">
              <w:rPr>
                <w:lang w:val="es-ES"/>
              </w:rPr>
              <w:t>2.2: Mayoría de personas con competencias digitales</w:t>
            </w:r>
          </w:p>
        </w:tc>
      </w:tr>
      <w:tr w:rsidR="00CE6D77" w:rsidRPr="00F8275B" w14:paraId="0DBE7972" w14:textId="77777777" w:rsidTr="008E1F00">
        <w:trPr>
          <w:jc w:val="center"/>
        </w:trPr>
        <w:tc>
          <w:tcPr>
            <w:tcW w:w="1681" w:type="dxa"/>
            <w:vMerge/>
          </w:tcPr>
          <w:p w14:paraId="60A67132" w14:textId="77777777" w:rsidR="00CE6D77" w:rsidRPr="00F8275B" w:rsidRDefault="00CE6D77" w:rsidP="00DC7C49">
            <w:pPr>
              <w:pStyle w:val="Tabletext"/>
              <w:rPr>
                <w:lang w:val="es-ES"/>
              </w:rPr>
            </w:pPr>
          </w:p>
        </w:tc>
        <w:tc>
          <w:tcPr>
            <w:tcW w:w="7380" w:type="dxa"/>
          </w:tcPr>
          <w:p w14:paraId="6C518093" w14:textId="77777777" w:rsidR="00CE6D77" w:rsidRPr="00F8275B" w:rsidRDefault="00CE6D77" w:rsidP="00DC7C49">
            <w:pPr>
              <w:pStyle w:val="Tabletext"/>
              <w:rPr>
                <w:lang w:val="es-ES"/>
              </w:rPr>
            </w:pPr>
            <w:r w:rsidRPr="00F8275B">
              <w:rPr>
                <w:lang w:val="es-ES"/>
              </w:rPr>
              <w:t>2.3: Utilización universal de los servicios de Internet en las empresas</w:t>
            </w:r>
          </w:p>
        </w:tc>
      </w:tr>
      <w:tr w:rsidR="00CE6D77" w:rsidRPr="00F8275B" w14:paraId="6ACD9715" w14:textId="77777777" w:rsidTr="008E1F00">
        <w:trPr>
          <w:jc w:val="center"/>
        </w:trPr>
        <w:tc>
          <w:tcPr>
            <w:tcW w:w="1681" w:type="dxa"/>
            <w:vMerge/>
          </w:tcPr>
          <w:p w14:paraId="5F45CF92" w14:textId="77777777" w:rsidR="00CE6D77" w:rsidRPr="00F8275B" w:rsidRDefault="00CE6D77" w:rsidP="00DC7C49">
            <w:pPr>
              <w:pStyle w:val="Tabletext"/>
              <w:rPr>
                <w:lang w:val="es-ES"/>
              </w:rPr>
            </w:pPr>
          </w:p>
        </w:tc>
        <w:tc>
          <w:tcPr>
            <w:tcW w:w="7380" w:type="dxa"/>
          </w:tcPr>
          <w:p w14:paraId="143906FB" w14:textId="77777777" w:rsidR="00CE6D77" w:rsidRPr="00F8275B" w:rsidRDefault="00CE6D77" w:rsidP="00DC7C49">
            <w:pPr>
              <w:pStyle w:val="Tabletext"/>
              <w:rPr>
                <w:lang w:val="es-ES"/>
              </w:rPr>
            </w:pPr>
            <w:r w:rsidRPr="00F8275B">
              <w:rPr>
                <w:lang w:val="es-ES"/>
              </w:rPr>
              <w:t>2.4: Mayoría de personas que accede a servicios gubernamentales en línea</w:t>
            </w:r>
          </w:p>
        </w:tc>
      </w:tr>
      <w:tr w:rsidR="00CE6D77" w:rsidRPr="00F8275B" w14:paraId="7B9DDF13" w14:textId="77777777" w:rsidTr="008E1F00">
        <w:trPr>
          <w:jc w:val="center"/>
        </w:trPr>
        <w:tc>
          <w:tcPr>
            <w:tcW w:w="1681" w:type="dxa"/>
            <w:vMerge/>
          </w:tcPr>
          <w:p w14:paraId="6C2A00E7" w14:textId="77777777" w:rsidR="00CE6D77" w:rsidRPr="00F8275B" w:rsidRDefault="00CE6D77" w:rsidP="00DC7C49">
            <w:pPr>
              <w:pStyle w:val="Tabletext"/>
              <w:rPr>
                <w:lang w:val="es-ES"/>
              </w:rPr>
            </w:pPr>
          </w:p>
        </w:tc>
        <w:tc>
          <w:tcPr>
            <w:tcW w:w="7380" w:type="dxa"/>
          </w:tcPr>
          <w:p w14:paraId="22719CEC" w14:textId="77777777" w:rsidR="00CE6D77" w:rsidRPr="00F8275B" w:rsidRDefault="00CE6D77" w:rsidP="00DC7C49">
            <w:pPr>
              <w:pStyle w:val="Tabletext"/>
              <w:rPr>
                <w:lang w:val="es-ES"/>
              </w:rPr>
            </w:pPr>
            <w:r w:rsidRPr="00F8275B">
              <w:rPr>
                <w:lang w:val="es-ES"/>
              </w:rPr>
              <w:t>2.5: Mejora significativa de la contribución de las TIC a la acción climática y medioambiental</w:t>
            </w:r>
          </w:p>
        </w:tc>
      </w:tr>
    </w:tbl>
    <w:p w14:paraId="46FBF100" w14:textId="3EACD328" w:rsidR="00CE6D77" w:rsidRPr="00F8275B" w:rsidRDefault="00CE6D77" w:rsidP="005946FC">
      <w:pPr>
        <w:pStyle w:val="Normalaftertitle"/>
        <w:rPr>
          <w:lang w:val="es-ES"/>
        </w:rPr>
      </w:pPr>
      <w:r w:rsidRPr="00F8275B">
        <w:rPr>
          <w:lang w:val="es-ES"/>
        </w:rPr>
        <w:t>El análisis de los datos existentes muestra que hay indicadores que reflejan avances hacia muchas metas. Aún debe recopilarse datos nuevos para otros. En la sección</w:t>
      </w:r>
      <w:r w:rsidR="005946FC" w:rsidRPr="00F8275B">
        <w:rPr>
          <w:lang w:val="es-ES"/>
        </w:rPr>
        <w:t> </w:t>
      </w:r>
      <w:r w:rsidRPr="00F8275B">
        <w:rPr>
          <w:lang w:val="es-ES"/>
        </w:rPr>
        <w:t>3.2.1 expuesta a continuación se examina la disponibilidad de los datos respecto del objetivo estratégico de la conectividad universal y en la sección</w:t>
      </w:r>
      <w:r w:rsidR="005946FC" w:rsidRPr="00F8275B">
        <w:rPr>
          <w:lang w:val="es-ES"/>
        </w:rPr>
        <w:t> </w:t>
      </w:r>
      <w:r w:rsidRPr="00F8275B">
        <w:rPr>
          <w:lang w:val="es-ES"/>
        </w:rPr>
        <w:t>3.2.2 la relativa al objetivo estratégico de la transformación digital sostenible.</w:t>
      </w:r>
    </w:p>
    <w:p w14:paraId="4A59791F" w14:textId="77777777" w:rsidR="00CE6D77" w:rsidRPr="00F8275B" w:rsidRDefault="00CE6D77" w:rsidP="00CE6D77">
      <w:pPr>
        <w:pStyle w:val="Heading3"/>
        <w:rPr>
          <w:lang w:val="es-ES"/>
        </w:rPr>
      </w:pPr>
      <w:bookmarkStart w:id="42" w:name="_Toc164862525"/>
      <w:bookmarkStart w:id="43" w:name="_Toc165024944"/>
      <w:r w:rsidRPr="00F8275B">
        <w:rPr>
          <w:lang w:val="es-ES"/>
        </w:rPr>
        <w:t>3.2.1</w:t>
      </w:r>
      <w:r w:rsidRPr="00F8275B">
        <w:rPr>
          <w:lang w:val="es-ES"/>
        </w:rPr>
        <w:tab/>
        <w:t>Metas estratégicas relacionadas con la conectividad universal</w:t>
      </w:r>
      <w:bookmarkEnd w:id="42"/>
      <w:bookmarkEnd w:id="43"/>
    </w:p>
    <w:p w14:paraId="65887838" w14:textId="12E0E155" w:rsidR="00CE6D77" w:rsidRPr="00F8275B" w:rsidRDefault="00CE6D77" w:rsidP="00CE6D77">
      <w:pPr>
        <w:rPr>
          <w:lang w:val="es-ES"/>
        </w:rPr>
      </w:pPr>
      <w:r w:rsidRPr="00F8275B">
        <w:rPr>
          <w:lang w:val="es-ES"/>
        </w:rPr>
        <w:t>Hay datos disponibles en relación con la cobertura y la asequibilidad de la banda ancha (metas</w:t>
      </w:r>
      <w:r w:rsidR="005946FC" w:rsidRPr="00F8275B">
        <w:rPr>
          <w:lang w:val="es-ES"/>
        </w:rPr>
        <w:t> </w:t>
      </w:r>
      <w:r w:rsidRPr="00F8275B">
        <w:rPr>
          <w:lang w:val="es-ES"/>
        </w:rPr>
        <w:t>1.1 y 1.2).</w:t>
      </w:r>
    </w:p>
    <w:p w14:paraId="1E35A747" w14:textId="7077FB4F" w:rsidR="00CE6D77" w:rsidRPr="00F8275B" w:rsidRDefault="00CE6D77" w:rsidP="00CE6D77">
      <w:pPr>
        <w:rPr>
          <w:lang w:val="es-ES"/>
        </w:rPr>
      </w:pPr>
      <w:r w:rsidRPr="00F8275B">
        <w:rPr>
          <w:lang w:val="es-ES"/>
        </w:rPr>
        <w:t xml:space="preserve">En cuanto al </w:t>
      </w:r>
      <w:r w:rsidRPr="00F8275B">
        <w:rPr>
          <w:i/>
          <w:iCs/>
          <w:lang w:val="es-ES"/>
        </w:rPr>
        <w:t>acceso de banda ancha a todos los hogares</w:t>
      </w:r>
      <w:r w:rsidRPr="00F8275B">
        <w:rPr>
          <w:lang w:val="es-ES"/>
        </w:rPr>
        <w:t xml:space="preserve"> (meta</w:t>
      </w:r>
      <w:r w:rsidR="005946FC" w:rsidRPr="00F8275B">
        <w:rPr>
          <w:lang w:val="es-ES"/>
        </w:rPr>
        <w:t> </w:t>
      </w:r>
      <w:r w:rsidRPr="00F8275B">
        <w:rPr>
          <w:lang w:val="es-ES"/>
        </w:rPr>
        <w:t>1.3), solo el 57% de los Estados Miembros proporcionaron datos para 2020 o los años posteriores, lo cual representa una escasa disponibilidad de datos. Dado que la Internet de banda ancha se ha convertido en la base del acceso a Internet en gran parte del mundo, una medida sustitutiva sería la proporción de hogares con acceso a Internet. Si bien la UIT se está coordinando con la División de Población del Departamento de Asuntos Económicos y Sociales de las Naciones Unidas para recopilar estos datos en el futuro, no se ha previsto que haya un conjunto de datos comparable a nivel mundial hasta por lo menos 2027.</w:t>
      </w:r>
    </w:p>
    <w:p w14:paraId="0B5F0B43" w14:textId="5C35B956" w:rsidR="00CE6D77" w:rsidRPr="00F8275B" w:rsidRDefault="00CE6D77" w:rsidP="00CE6D77">
      <w:pPr>
        <w:rPr>
          <w:lang w:val="es-ES"/>
        </w:rPr>
      </w:pPr>
      <w:r w:rsidRPr="00F8275B">
        <w:rPr>
          <w:lang w:val="es-ES"/>
        </w:rPr>
        <w:t>Dado que los teléfonos inteligentes son el principal dispositivo utilizado para acceder a Internet, los datos sobre la</w:t>
      </w:r>
      <w:r w:rsidRPr="00F8275B">
        <w:rPr>
          <w:i/>
          <w:iCs/>
          <w:lang w:val="es-ES"/>
        </w:rPr>
        <w:t xml:space="preserve"> propiedad y el acceso a dispositivos habilitados para Internet </w:t>
      </w:r>
      <w:r w:rsidRPr="00F8275B">
        <w:rPr>
          <w:lang w:val="es-ES"/>
        </w:rPr>
        <w:t>(meta</w:t>
      </w:r>
      <w:r w:rsidR="005946FC" w:rsidRPr="00F8275B">
        <w:rPr>
          <w:lang w:val="es-ES"/>
        </w:rPr>
        <w:t> </w:t>
      </w:r>
      <w:r w:rsidRPr="00F8275B">
        <w:rPr>
          <w:lang w:val="es-ES"/>
        </w:rPr>
        <w:t xml:space="preserve">1.4) pueden medirse mediante la proporción de personas que poseen un teléfono inteligente. En este caso, no se dispone de datos suficientes para realizar la medición a nivel mundial </w:t>
      </w:r>
      <w:r w:rsidR="005946FC" w:rsidRPr="00F8275B">
        <w:rPr>
          <w:lang w:val="es-ES"/>
        </w:rPr>
        <w:t xml:space="preserve">– </w:t>
      </w:r>
      <w:r w:rsidRPr="00F8275B">
        <w:rPr>
          <w:lang w:val="es-ES"/>
        </w:rPr>
        <w:t>solo 32</w:t>
      </w:r>
      <w:r w:rsidR="005946FC" w:rsidRPr="00F8275B">
        <w:rPr>
          <w:lang w:val="es-ES"/>
        </w:rPr>
        <w:t> </w:t>
      </w:r>
      <w:r w:rsidRPr="00F8275B">
        <w:rPr>
          <w:lang w:val="es-ES"/>
        </w:rPr>
        <w:t>Estados Miembros han proporcionado datos sobre este indicador para</w:t>
      </w:r>
      <w:r w:rsidR="005946FC" w:rsidRPr="00F8275B">
        <w:rPr>
          <w:lang w:val="es-ES"/>
        </w:rPr>
        <w:t> </w:t>
      </w:r>
      <w:r w:rsidRPr="00F8275B">
        <w:rPr>
          <w:lang w:val="es-ES"/>
        </w:rPr>
        <w:t xml:space="preserve">2020 o los años posteriores. De manera alternativa, los datos sobre la proporción de personas que poseen un teléfono móvil se encuentran disponibles y se publican </w:t>
      </w:r>
      <w:r w:rsidRPr="00F8275B">
        <w:rPr>
          <w:lang w:val="es-ES"/>
        </w:rPr>
        <w:lastRenderedPageBreak/>
        <w:t xml:space="preserve">periódicamente en el documento </w:t>
      </w:r>
      <w:hyperlink r:id="rId39" w:history="1">
        <w:r w:rsidRPr="00F8275B">
          <w:rPr>
            <w:rStyle w:val="Hyperlink"/>
            <w:lang w:val="es-ES"/>
          </w:rPr>
          <w:t>Hechos y cifras</w:t>
        </w:r>
      </w:hyperlink>
      <w:r w:rsidRPr="00F8275B">
        <w:rPr>
          <w:lang w:val="es-ES"/>
        </w:rPr>
        <w:t>. Sin embargo, estos datos incluyen dispositivos no habilitados para Internet.</w:t>
      </w:r>
    </w:p>
    <w:p w14:paraId="583FD338" w14:textId="77777777" w:rsidR="00CE6D77" w:rsidRPr="00F8275B" w:rsidRDefault="00CE6D77" w:rsidP="00CE6D77">
      <w:pPr>
        <w:rPr>
          <w:lang w:val="es-ES"/>
        </w:rPr>
      </w:pPr>
      <w:r w:rsidRPr="00F8275B">
        <w:rPr>
          <w:lang w:val="es-ES"/>
        </w:rPr>
        <w:t>Respecto de la preparación de los países en materia de ciberseguridad, la UIT ha estado proporcionando datos sobre los países con EIII (evaluaciones, creaciones y/o mejoras), los países que se benefician de programas de cibersimulacros de la UIT, y los países con Estrategias y Planes de Acción Nacionales en materia de Ciberseguridad. Por consiguiente, existe una buena base de referencia para valorar los avances hacia esta meta.</w:t>
      </w:r>
    </w:p>
    <w:p w14:paraId="2396E8EE" w14:textId="7A319A9E" w:rsidR="00CE6D77" w:rsidRPr="00F8275B" w:rsidRDefault="00CE6D77" w:rsidP="00CE6D77">
      <w:pPr>
        <w:rPr>
          <w:lang w:val="es-ES"/>
        </w:rPr>
      </w:pPr>
      <w:r w:rsidRPr="00F8275B">
        <w:rPr>
          <w:lang w:val="es-ES"/>
        </w:rPr>
        <w:t>En la sección</w:t>
      </w:r>
      <w:r w:rsidR="005946FC" w:rsidRPr="00F8275B">
        <w:rPr>
          <w:lang w:val="es-ES"/>
        </w:rPr>
        <w:t> </w:t>
      </w:r>
      <w:r w:rsidRPr="00F8275B">
        <w:rPr>
          <w:lang w:val="es-ES"/>
        </w:rPr>
        <w:t>3.1.1 se ha abordado la disponibilidad de los datos sobre el acceso de las personas a Internet. Por tanto, esta meta está bien cubierta, se pueden consultar los datos y la evaluación de los avances se puede realizar desde el primer año de aplicación del nuevo</w:t>
      </w:r>
      <w:r w:rsidR="006C7954" w:rsidRPr="00F8275B">
        <w:rPr>
          <w:lang w:val="es-ES"/>
        </w:rPr>
        <w:t> </w:t>
      </w:r>
      <w:r w:rsidR="00E01C94" w:rsidRPr="00F8275B">
        <w:rPr>
          <w:lang w:val="es-ES"/>
        </w:rPr>
        <w:t>Plan Estratégico</w:t>
      </w:r>
      <w:r w:rsidRPr="00F8275B">
        <w:rPr>
          <w:lang w:val="es-ES"/>
        </w:rPr>
        <w:t xml:space="preserve"> (2024)</w:t>
      </w:r>
      <w:r w:rsidR="006C7954" w:rsidRPr="00F8275B">
        <w:rPr>
          <w:lang w:val="es-ES"/>
        </w:rPr>
        <w:t>.</w:t>
      </w:r>
    </w:p>
    <w:p w14:paraId="6F72C747" w14:textId="77777777" w:rsidR="00CE6D77" w:rsidRPr="00F8275B" w:rsidRDefault="00CE6D77" w:rsidP="00CE6D77">
      <w:pPr>
        <w:pStyle w:val="Heading3"/>
        <w:rPr>
          <w:lang w:val="es-ES"/>
        </w:rPr>
      </w:pPr>
      <w:bookmarkStart w:id="44" w:name="_Toc164862526"/>
      <w:bookmarkStart w:id="45" w:name="_Toc165024945"/>
      <w:r w:rsidRPr="00F8275B">
        <w:rPr>
          <w:lang w:val="es-ES"/>
        </w:rPr>
        <w:t>3.2.2</w:t>
      </w:r>
      <w:r w:rsidRPr="00F8275B">
        <w:rPr>
          <w:lang w:val="es-ES"/>
        </w:rPr>
        <w:tab/>
        <w:t>Transformación digital sostenible</w:t>
      </w:r>
      <w:bookmarkEnd w:id="44"/>
      <w:bookmarkEnd w:id="45"/>
    </w:p>
    <w:p w14:paraId="2153E050" w14:textId="5FDF4914" w:rsidR="00CE6D77" w:rsidRPr="00F8275B" w:rsidRDefault="00CE6D77" w:rsidP="00CE6D77">
      <w:pPr>
        <w:rPr>
          <w:lang w:val="es-ES"/>
        </w:rPr>
      </w:pPr>
      <w:r w:rsidRPr="00F8275B">
        <w:rPr>
          <w:lang w:val="es-ES"/>
        </w:rPr>
        <w:t>A fin de evaluar los avances hacia la consecución de la meta</w:t>
      </w:r>
      <w:r w:rsidR="005946FC" w:rsidRPr="00F8275B">
        <w:rPr>
          <w:lang w:val="es-ES"/>
        </w:rPr>
        <w:t> </w:t>
      </w:r>
      <w:r w:rsidRPr="00F8275B">
        <w:rPr>
          <w:lang w:val="es-ES"/>
        </w:rPr>
        <w:t>2.1 (</w:t>
      </w:r>
      <w:r w:rsidRPr="00F8275B">
        <w:rPr>
          <w:i/>
          <w:iCs/>
          <w:lang w:val="es-ES"/>
        </w:rPr>
        <w:t>Reducción de todas las brechas digitales</w:t>
      </w:r>
      <w:r w:rsidRPr="00F8275B">
        <w:rPr>
          <w:lang w:val="es-ES"/>
        </w:rPr>
        <w:t>), se necesita una cantidad importante de datos. Actualmente, los datos sobre la brecha de género (véase la sección</w:t>
      </w:r>
      <w:r w:rsidR="005946FC" w:rsidRPr="00F8275B">
        <w:rPr>
          <w:lang w:val="es-ES"/>
        </w:rPr>
        <w:t> </w:t>
      </w:r>
      <w:r w:rsidRPr="00F8275B">
        <w:rPr>
          <w:lang w:val="es-ES"/>
        </w:rPr>
        <w:t>3.1.2) se encuentran disponibles, así como los datos sobre el acceso a Internet, desglosados por edad y zona urbana/rural; y desglosados por nivel de desarrollo). Por tanto, esta meta está bien cubierta y los datos de que se dispone deberían permitir valorar correctamente los avances. Se requerirían más esfuerzos para valorar adecuadamente los avances hacia la reducción de las brechas relacionadas con la juventud, los pueblos indígenas, la población de edad, la población rural, etc.</w:t>
      </w:r>
    </w:p>
    <w:p w14:paraId="29D117BC" w14:textId="1EC80A79" w:rsidR="00CE6D77" w:rsidRPr="00F8275B" w:rsidRDefault="00CE6D77" w:rsidP="00CE6D77">
      <w:pPr>
        <w:rPr>
          <w:lang w:val="es-ES"/>
        </w:rPr>
      </w:pPr>
      <w:r w:rsidRPr="00F8275B">
        <w:rPr>
          <w:lang w:val="es-ES"/>
        </w:rPr>
        <w:t>La medición de los avances respecto de las competencias digitales (meta</w:t>
      </w:r>
      <w:r w:rsidR="005946FC" w:rsidRPr="00F8275B">
        <w:rPr>
          <w:lang w:val="es-ES"/>
        </w:rPr>
        <w:t> </w:t>
      </w:r>
      <w:r w:rsidRPr="00F8275B">
        <w:rPr>
          <w:lang w:val="es-ES"/>
        </w:rPr>
        <w:t xml:space="preserve">2.2: </w:t>
      </w:r>
      <w:r w:rsidRPr="00F8275B">
        <w:rPr>
          <w:i/>
          <w:iCs/>
          <w:lang w:val="es-ES"/>
        </w:rPr>
        <w:t>Mayoría de personas con competencias digitales</w:t>
      </w:r>
      <w:r w:rsidRPr="00F8275B">
        <w:rPr>
          <w:lang w:val="es-ES"/>
        </w:rPr>
        <w:t xml:space="preserve">) presenta dos desafíos diferentes. El primero es que las "competencias digitales" constituye un concepto amplio que no puede medirse con un único indicador. Por consiguiente, las personas son encuestadas sobre su participación en una amplia gama de actividades. El </w:t>
      </w:r>
      <w:hyperlink r:id="rId40" w:history="1">
        <w:r w:rsidRPr="00F8275B">
          <w:rPr>
            <w:rStyle w:val="Hyperlink"/>
            <w:lang w:val="es-ES"/>
          </w:rPr>
          <w:t>Grupo de Expertos de la UIT sobre indicadores de las TIC en los hogares</w:t>
        </w:r>
      </w:hyperlink>
      <w:r w:rsidRPr="00F8275B">
        <w:rPr>
          <w:lang w:val="es-ES"/>
        </w:rPr>
        <w:t xml:space="preserve"> (GEH) ha recomendado recientemente varias mejoras para medir las competencias digitales que los países están implementando. Las actividades se organizan actualmente en cinco esferas de competencias: 1) Comunicación y colaboración: 2)</w:t>
      </w:r>
      <w:r w:rsidR="005946FC" w:rsidRPr="00F8275B">
        <w:rPr>
          <w:lang w:val="es-ES"/>
        </w:rPr>
        <w:t> </w:t>
      </w:r>
      <w:r w:rsidRPr="00F8275B">
        <w:rPr>
          <w:lang w:val="es-ES"/>
        </w:rPr>
        <w:t xml:space="preserve">Información y alfabetización informática; 3) Creación de contenido digital; 4) Resolución de problemas; y 5) Seguridad. Por primera vez en 2024, se recopilarán datos sobre la proporción de personas con competencias </w:t>
      </w:r>
      <w:r w:rsidRPr="00F8275B">
        <w:rPr>
          <w:i/>
          <w:iCs/>
          <w:lang w:val="es-ES"/>
        </w:rPr>
        <w:t xml:space="preserve">básicas </w:t>
      </w:r>
      <w:r w:rsidRPr="00F8275B">
        <w:rPr>
          <w:lang w:val="es-ES"/>
        </w:rPr>
        <w:t xml:space="preserve">y </w:t>
      </w:r>
      <w:r w:rsidRPr="00F8275B">
        <w:rPr>
          <w:i/>
          <w:iCs/>
          <w:lang w:val="es-ES"/>
        </w:rPr>
        <w:t xml:space="preserve">por encima de las básicas </w:t>
      </w:r>
      <w:r w:rsidRPr="00F8275B">
        <w:rPr>
          <w:lang w:val="es-ES"/>
        </w:rPr>
        <w:t xml:space="preserve">para cada una de estas esferas de competencias. El segundo desafío vuelve a ser la disponibilidad de los datos </w:t>
      </w:r>
      <w:r w:rsidR="005946FC" w:rsidRPr="00F8275B">
        <w:rPr>
          <w:lang w:val="es-ES"/>
        </w:rPr>
        <w:t xml:space="preserve">– </w:t>
      </w:r>
      <w:r w:rsidRPr="00F8275B">
        <w:rPr>
          <w:lang w:val="es-ES"/>
        </w:rPr>
        <w:t>menos de la mitad de los Estados Miembros han proporcionado datos suficientes para medir las competencias digitales.</w:t>
      </w:r>
    </w:p>
    <w:p w14:paraId="55884363" w14:textId="36706564" w:rsidR="00CE6D77" w:rsidRPr="00F8275B" w:rsidRDefault="00CE6D77" w:rsidP="00CE6D77">
      <w:pPr>
        <w:rPr>
          <w:lang w:val="es-ES"/>
        </w:rPr>
      </w:pPr>
      <w:r w:rsidRPr="00F8275B">
        <w:rPr>
          <w:lang w:val="es-ES"/>
        </w:rPr>
        <w:t>En cuanto a la utilización de los servicios de Internet en las empresas (meta</w:t>
      </w:r>
      <w:r w:rsidR="005946FC" w:rsidRPr="00F8275B">
        <w:rPr>
          <w:lang w:val="es-ES"/>
        </w:rPr>
        <w:t> </w:t>
      </w:r>
      <w:r w:rsidRPr="00F8275B">
        <w:rPr>
          <w:lang w:val="es-ES"/>
        </w:rPr>
        <w:t xml:space="preserve">2.3), hay datos pertinentes de la UNCTAD y, por consiguiente, puede realizarse la valoración. Por otro lado, sigue habiendo pocos datos disponibles respecto de la </w:t>
      </w:r>
      <w:r w:rsidRPr="00F8275B">
        <w:rPr>
          <w:i/>
          <w:iCs/>
          <w:lang w:val="es-ES"/>
        </w:rPr>
        <w:t>mayoría de personas que accede a servicios gubernamentales en línea</w:t>
      </w:r>
      <w:r w:rsidRPr="00F8275B">
        <w:rPr>
          <w:lang w:val="es-ES"/>
        </w:rPr>
        <w:t xml:space="preserve"> (meta</w:t>
      </w:r>
      <w:r w:rsidR="005946FC" w:rsidRPr="00F8275B">
        <w:rPr>
          <w:lang w:val="es-ES"/>
        </w:rPr>
        <w:t> </w:t>
      </w:r>
      <w:r w:rsidRPr="00F8275B">
        <w:rPr>
          <w:lang w:val="es-ES"/>
        </w:rPr>
        <w:t>2.4). Solo se dispone de datos para este indicador desde 2020 o los años posteriores respecto de 46</w:t>
      </w:r>
      <w:r w:rsidR="005946FC" w:rsidRPr="00F8275B">
        <w:rPr>
          <w:lang w:val="es-ES"/>
        </w:rPr>
        <w:t> </w:t>
      </w:r>
      <w:r w:rsidRPr="00F8275B">
        <w:rPr>
          <w:lang w:val="es-ES"/>
        </w:rPr>
        <w:t>Estados Miembros. La UIT sigue recalcando la importancia de este indicador y alentando a los Estados Miembros a que incluyan esta cuestión en sus futuras encuestas de las TIC en los hogares.</w:t>
      </w:r>
    </w:p>
    <w:p w14:paraId="678E20BA" w14:textId="4347BD5C" w:rsidR="00CE6D77" w:rsidRPr="00F8275B" w:rsidRDefault="00CE6D77" w:rsidP="00CE6D77">
      <w:pPr>
        <w:rPr>
          <w:lang w:val="es-ES"/>
        </w:rPr>
      </w:pPr>
      <w:r w:rsidRPr="00F8275B">
        <w:rPr>
          <w:lang w:val="es-ES"/>
        </w:rPr>
        <w:t>En relación con la meta</w:t>
      </w:r>
      <w:r w:rsidR="005946FC" w:rsidRPr="00F8275B">
        <w:rPr>
          <w:lang w:val="es-ES"/>
        </w:rPr>
        <w:t> </w:t>
      </w:r>
      <w:r w:rsidRPr="00F8275B">
        <w:rPr>
          <w:lang w:val="es-ES"/>
        </w:rPr>
        <w:t>2.5, sobre la contribución de las TIC a la acción climática y medioambiental, en la sección</w:t>
      </w:r>
      <w:r w:rsidR="005946FC" w:rsidRPr="00F8275B">
        <w:rPr>
          <w:lang w:val="es-ES"/>
        </w:rPr>
        <w:t> </w:t>
      </w:r>
      <w:r w:rsidRPr="00F8275B">
        <w:rPr>
          <w:lang w:val="es-ES"/>
        </w:rPr>
        <w:t>3.1.3 ya se ha examinado la cuestión de la disponibilidad de los datos pertinentes, así como los planes de recopilar los datos que faltan en el futuro.</w:t>
      </w:r>
    </w:p>
    <w:p w14:paraId="528A71C3" w14:textId="77777777" w:rsidR="00CE6D77" w:rsidRPr="00F8275B" w:rsidRDefault="00CE6D77" w:rsidP="00CE6D77">
      <w:pPr>
        <w:pStyle w:val="Heading1"/>
        <w:rPr>
          <w:lang w:val="es-ES"/>
        </w:rPr>
      </w:pPr>
      <w:bookmarkStart w:id="46" w:name="_Toc164862527"/>
      <w:bookmarkStart w:id="47" w:name="_Toc165024946"/>
      <w:bookmarkStart w:id="48" w:name="_Toc166580880"/>
      <w:r w:rsidRPr="00F8275B">
        <w:rPr>
          <w:lang w:val="es-ES"/>
        </w:rPr>
        <w:lastRenderedPageBreak/>
        <w:t>4</w:t>
      </w:r>
      <w:r w:rsidRPr="00F8275B">
        <w:rPr>
          <w:lang w:val="es-ES"/>
        </w:rPr>
        <w:tab/>
        <w:t>Principales temas de la labor de la UIT</w:t>
      </w:r>
      <w:bookmarkEnd w:id="9"/>
      <w:bookmarkEnd w:id="10"/>
      <w:bookmarkEnd w:id="11"/>
      <w:bookmarkEnd w:id="27"/>
      <w:bookmarkEnd w:id="46"/>
      <w:bookmarkEnd w:id="47"/>
      <w:bookmarkEnd w:id="48"/>
    </w:p>
    <w:p w14:paraId="243B18CA" w14:textId="2C846443" w:rsidR="00CE6D77" w:rsidRPr="00F8275B" w:rsidRDefault="00CE6D77" w:rsidP="00CE6D77">
      <w:pPr>
        <w:rPr>
          <w:lang w:val="es-ES"/>
        </w:rPr>
      </w:pPr>
      <w:bookmarkStart w:id="49" w:name="_Toc37860456"/>
      <w:bookmarkStart w:id="50" w:name="_Toc37861217"/>
      <w:bookmarkStart w:id="51" w:name="_Toc37943336"/>
      <w:r w:rsidRPr="00F8275B">
        <w:rPr>
          <w:lang w:val="es-ES"/>
        </w:rPr>
        <w:t>La labor de la UIT ha seguido estando muy enfocada en la gestión del espectro radioeléctrico mundial; la definición de normas tecnológicas sostenibles e inclusivas; la conformación de tecnologías emergentes para el bien de la humanidad; y la lucha contra los efectos de la rápida aceleración de la adopción de las tecnologías en el clima y el medioambiente. Los proyectos e iniciativas actuales dirigidos por la UIT sirven para fortalecer la cooperación en materia de ciberseguridad, garantizar el acceso digital inclusivo y equitativo; y crear alianzas eficaces para conseguir los Objetivos de Desarrollo Sostenible de las Naciones Unidas. Gran parte de esta labor se lleva a cabo mediante talleres exhaustivos, así como reuniones internacionales de alto perfil.</w:t>
      </w:r>
    </w:p>
    <w:p w14:paraId="0A32B3C9" w14:textId="029832EF" w:rsidR="00CE6D77" w:rsidRPr="00F8275B" w:rsidRDefault="00CE6D77" w:rsidP="00CE6D77">
      <w:pPr>
        <w:pStyle w:val="Heading2"/>
        <w:rPr>
          <w:lang w:val="es-ES"/>
        </w:rPr>
      </w:pPr>
      <w:bookmarkStart w:id="52" w:name="_Toc581462974"/>
      <w:bookmarkStart w:id="53" w:name="_Toc164862528"/>
      <w:bookmarkStart w:id="54" w:name="_Toc165024947"/>
      <w:bookmarkStart w:id="55" w:name="_Toc166580881"/>
      <w:r w:rsidRPr="00F8275B">
        <w:rPr>
          <w:lang w:val="es-ES"/>
        </w:rPr>
        <w:t>4.1</w:t>
      </w:r>
      <w:r w:rsidRPr="00F8275B">
        <w:rPr>
          <w:lang w:val="es-ES"/>
        </w:rPr>
        <w:tab/>
        <w:t>Reglamentación y gestión del espectro y las órbitas</w:t>
      </w:r>
      <w:bookmarkEnd w:id="49"/>
      <w:bookmarkEnd w:id="50"/>
      <w:bookmarkEnd w:id="51"/>
      <w:bookmarkEnd w:id="52"/>
      <w:bookmarkEnd w:id="53"/>
      <w:bookmarkEnd w:id="54"/>
      <w:bookmarkEnd w:id="55"/>
    </w:p>
    <w:p w14:paraId="5627D48D" w14:textId="77777777" w:rsidR="00CE6D77" w:rsidRPr="00F8275B" w:rsidRDefault="00CE6D77" w:rsidP="00CE6D77">
      <w:pPr>
        <w:rPr>
          <w:lang w:val="es-ES"/>
        </w:rPr>
      </w:pPr>
      <w:bookmarkStart w:id="56" w:name="_Toc37860457"/>
      <w:bookmarkStart w:id="57" w:name="_Toc37861218"/>
      <w:bookmarkStart w:id="58" w:name="_Toc37943337"/>
      <w:r w:rsidRPr="00F8275B">
        <w:rPr>
          <w:lang w:val="es-ES"/>
        </w:rPr>
        <w:t>La UIT mantiene el Reglamento de Radiocomunicaciones, que es el principal tratado internacional que regula el uso del espectro de radiofrecuencias y de las órbitas de satélites para todos los tipos las comunicaciones inalámbricas. Al defender las normas y facilitar la cooperación internacional conexa, la Organización apoya el acceso equitativo y el uso racional del espectro y las órbitas como recursos naturales limitados. Mediante la UIT, las administraciones nacionales acuerdan las asignaciones y la gestión de las radiofrecuencias, a la vez que mantienen la coordinación continua para evitar las interferencias radioeléctricas perjudiciales. La UIT y su Oficina de Radiocomunicaciones facilitan estas actividades, apoyando a los Estados Miembros de todo el mundo con datos y conocimientos especializados sobre las comunicaciones en la tierra, el mar, el aire y el espacio.</w:t>
      </w:r>
    </w:p>
    <w:p w14:paraId="5111F758" w14:textId="77777777" w:rsidR="00CE6D77" w:rsidRPr="00F8275B" w:rsidRDefault="00CE6D77" w:rsidP="00CE6D77">
      <w:pPr>
        <w:pStyle w:val="Headingb"/>
        <w:rPr>
          <w:lang w:val="es-ES"/>
        </w:rPr>
      </w:pPr>
      <w:r w:rsidRPr="00F8275B">
        <w:rPr>
          <w:lang w:val="es-ES"/>
        </w:rPr>
        <w:t>Resultados de la tramitación de notificaciones espaciales y otras actividades conexas</w:t>
      </w:r>
    </w:p>
    <w:p w14:paraId="394AC7CE" w14:textId="2FC81080" w:rsidR="00CE6D77" w:rsidRPr="00F8275B" w:rsidRDefault="00CE6D77" w:rsidP="008E1F00">
      <w:pPr>
        <w:rPr>
          <w:lang w:val="es-ES"/>
        </w:rPr>
      </w:pPr>
      <w:r w:rsidRPr="00F8275B">
        <w:rPr>
          <w:lang w:val="es-ES"/>
        </w:rPr>
        <w:t>De 2019 a 2023, se tramitaron 5</w:t>
      </w:r>
      <w:r w:rsidR="005946FC" w:rsidRPr="00F8275B">
        <w:rPr>
          <w:lang w:val="es-ES"/>
        </w:rPr>
        <w:t> </w:t>
      </w:r>
      <w:r w:rsidRPr="00F8275B">
        <w:rPr>
          <w:lang w:val="es-ES"/>
        </w:rPr>
        <w:t>556</w:t>
      </w:r>
      <w:r w:rsidR="005946FC" w:rsidRPr="00F8275B">
        <w:rPr>
          <w:lang w:val="es-ES"/>
        </w:rPr>
        <w:t> </w:t>
      </w:r>
      <w:r w:rsidRPr="00F8275B">
        <w:rPr>
          <w:lang w:val="es-ES"/>
        </w:rPr>
        <w:t>solicitudes de coordinación y notificación (1</w:t>
      </w:r>
      <w:r w:rsidR="005946FC" w:rsidRPr="00F8275B">
        <w:rPr>
          <w:lang w:val="es-ES"/>
        </w:rPr>
        <w:t> </w:t>
      </w:r>
      <w:r w:rsidRPr="00F8275B">
        <w:rPr>
          <w:lang w:val="es-ES"/>
        </w:rPr>
        <w:t>147 en</w:t>
      </w:r>
      <w:r w:rsidR="006C7954" w:rsidRPr="00F8275B">
        <w:rPr>
          <w:lang w:val="es-ES"/>
        </w:rPr>
        <w:t> </w:t>
      </w:r>
      <w:r w:rsidRPr="00F8275B">
        <w:rPr>
          <w:lang w:val="es-ES"/>
        </w:rPr>
        <w:t>2023). Para los planes de radiodifusión por satélite y los enlaces de conexión conexos, se tramitaron asimismo 506</w:t>
      </w:r>
      <w:r w:rsidR="005946FC" w:rsidRPr="00F8275B">
        <w:rPr>
          <w:lang w:val="es-ES"/>
        </w:rPr>
        <w:t> </w:t>
      </w:r>
      <w:r w:rsidRPr="00F8275B">
        <w:rPr>
          <w:lang w:val="es-ES"/>
        </w:rPr>
        <w:t>solicitudes (113</w:t>
      </w:r>
      <w:r w:rsidR="005946FC" w:rsidRPr="00F8275B">
        <w:rPr>
          <w:lang w:val="es-ES"/>
        </w:rPr>
        <w:t> </w:t>
      </w:r>
      <w:r w:rsidRPr="00F8275B">
        <w:rPr>
          <w:lang w:val="es-ES"/>
        </w:rPr>
        <w:t>solicitudes en 2023, entre ellas 82</w:t>
      </w:r>
      <w:r w:rsidR="005946FC" w:rsidRPr="00F8275B">
        <w:rPr>
          <w:lang w:val="es-ES"/>
        </w:rPr>
        <w:t> </w:t>
      </w:r>
      <w:r w:rsidRPr="00F8275B">
        <w:rPr>
          <w:lang w:val="es-ES"/>
        </w:rPr>
        <w:t>presentadas con arreglo a la Resolución</w:t>
      </w:r>
      <w:r w:rsidR="005946FC" w:rsidRPr="00F8275B">
        <w:rPr>
          <w:lang w:val="es-ES"/>
        </w:rPr>
        <w:t> </w:t>
      </w:r>
      <w:r w:rsidRPr="00F8275B">
        <w:rPr>
          <w:lang w:val="es-ES"/>
        </w:rPr>
        <w:t>559 (CMR-19)). Respecto de los planes del servicio fijo por satélite, se tramitaron 281</w:t>
      </w:r>
      <w:r w:rsidR="005946FC" w:rsidRPr="00F8275B">
        <w:rPr>
          <w:lang w:val="es-ES"/>
        </w:rPr>
        <w:t> </w:t>
      </w:r>
      <w:r w:rsidRPr="00F8275B">
        <w:rPr>
          <w:lang w:val="es-ES"/>
        </w:rPr>
        <w:t xml:space="preserve">solicitudes en el mismo periodo. Las cifras exactas de cada año pueden consultarse en este </w:t>
      </w:r>
      <w:hyperlink r:id="rId41" w:history="1">
        <w:r w:rsidR="008E1F00" w:rsidRPr="00F8275B">
          <w:rPr>
            <w:rStyle w:val="Hyperlink"/>
            <w:lang w:val="es-ES"/>
          </w:rPr>
          <w:t>t</w:t>
        </w:r>
        <w:r w:rsidRPr="00F8275B">
          <w:rPr>
            <w:rStyle w:val="Hyperlink"/>
            <w:lang w:val="es-ES"/>
          </w:rPr>
          <w:t>ablón</w:t>
        </w:r>
      </w:hyperlink>
      <w:r w:rsidRPr="00F8275B">
        <w:rPr>
          <w:lang w:val="es-ES"/>
        </w:rPr>
        <w:t>.</w:t>
      </w:r>
    </w:p>
    <w:p w14:paraId="04E005B4" w14:textId="77777777" w:rsidR="00CE6D77" w:rsidRPr="00F8275B" w:rsidRDefault="00CE6D77" w:rsidP="00CE6D77">
      <w:pPr>
        <w:pStyle w:val="Headingb"/>
        <w:rPr>
          <w:lang w:val="es-ES"/>
        </w:rPr>
      </w:pPr>
      <w:r w:rsidRPr="00F8275B">
        <w:rPr>
          <w:lang w:val="es-ES"/>
        </w:rPr>
        <w:t>Notificaciones terrenales</w:t>
      </w:r>
    </w:p>
    <w:p w14:paraId="45DDB372" w14:textId="77777777" w:rsidR="008E1F00" w:rsidRPr="00F8275B" w:rsidRDefault="00CE6D77" w:rsidP="00CE6D77">
      <w:pPr>
        <w:rPr>
          <w:lang w:val="es-ES"/>
        </w:rPr>
      </w:pPr>
      <w:r w:rsidRPr="00F8275B">
        <w:rPr>
          <w:lang w:val="es-ES"/>
        </w:rPr>
        <w:t xml:space="preserve">Respecto de las notificaciones terrenales, todos los resultados pueden consultarse en este </w:t>
      </w:r>
      <w:hyperlink r:id="rId42" w:history="1">
        <w:r w:rsidR="008E1F00" w:rsidRPr="00F8275B">
          <w:rPr>
            <w:rStyle w:val="Hyperlink"/>
            <w:lang w:val="es-ES"/>
          </w:rPr>
          <w:t>t</w:t>
        </w:r>
        <w:r w:rsidRPr="00F8275B">
          <w:rPr>
            <w:rStyle w:val="Hyperlink"/>
            <w:lang w:val="es-ES"/>
          </w:rPr>
          <w:t>ablón</w:t>
        </w:r>
      </w:hyperlink>
      <w:r w:rsidRPr="00F8275B">
        <w:rPr>
          <w:lang w:val="es-ES"/>
        </w:rPr>
        <w:t>.</w:t>
      </w:r>
    </w:p>
    <w:p w14:paraId="21477208" w14:textId="4A94B482" w:rsidR="00CE6D77" w:rsidRPr="00F8275B" w:rsidRDefault="00CE6D77" w:rsidP="00CE6D77">
      <w:pPr>
        <w:rPr>
          <w:lang w:val="es-ES"/>
        </w:rPr>
      </w:pPr>
      <w:r w:rsidRPr="00F8275B">
        <w:rPr>
          <w:lang w:val="es-ES"/>
        </w:rPr>
        <w:t>Por ejemplo, en 2023, se inscribieron 71</w:t>
      </w:r>
      <w:r w:rsidR="005946FC" w:rsidRPr="00F8275B">
        <w:rPr>
          <w:lang w:val="es-ES"/>
        </w:rPr>
        <w:t> </w:t>
      </w:r>
      <w:r w:rsidRPr="00F8275B">
        <w:rPr>
          <w:lang w:val="es-ES"/>
        </w:rPr>
        <w:t>083</w:t>
      </w:r>
      <w:r w:rsidR="005946FC" w:rsidRPr="00F8275B">
        <w:rPr>
          <w:lang w:val="es-ES"/>
        </w:rPr>
        <w:t> </w:t>
      </w:r>
      <w:r w:rsidRPr="00F8275B">
        <w:rPr>
          <w:lang w:val="es-ES"/>
        </w:rPr>
        <w:t>notificaciones en el Registro Internacional de Frecuencias (25</w:t>
      </w:r>
      <w:r w:rsidR="005946FC" w:rsidRPr="00F8275B">
        <w:rPr>
          <w:lang w:val="es-ES"/>
        </w:rPr>
        <w:t> </w:t>
      </w:r>
      <w:r w:rsidRPr="00F8275B">
        <w:rPr>
          <w:lang w:val="es-ES"/>
        </w:rPr>
        <w:t>263</w:t>
      </w:r>
      <w:r w:rsidR="005946FC" w:rsidRPr="00F8275B">
        <w:rPr>
          <w:lang w:val="es-ES"/>
        </w:rPr>
        <w:t> </w:t>
      </w:r>
      <w:r w:rsidRPr="00F8275B">
        <w:rPr>
          <w:lang w:val="es-ES"/>
        </w:rPr>
        <w:t>planes), se realizaron 58</w:t>
      </w:r>
      <w:r w:rsidR="005946FC" w:rsidRPr="00F8275B">
        <w:rPr>
          <w:lang w:val="es-ES"/>
        </w:rPr>
        <w:t> </w:t>
      </w:r>
      <w:r w:rsidRPr="00F8275B">
        <w:rPr>
          <w:lang w:val="es-ES"/>
        </w:rPr>
        <w:t>322</w:t>
      </w:r>
      <w:r w:rsidR="005946FC" w:rsidRPr="00F8275B">
        <w:rPr>
          <w:lang w:val="es-ES"/>
        </w:rPr>
        <w:t> </w:t>
      </w:r>
      <w:r w:rsidRPr="00F8275B">
        <w:rPr>
          <w:lang w:val="es-ES"/>
        </w:rPr>
        <w:t>exámenes de conclusiones relativas a asignaciones a estaciones terrenales inscritas en el MIFR, se recibieron 9</w:t>
      </w:r>
      <w:r w:rsidR="005946FC" w:rsidRPr="00F8275B">
        <w:rPr>
          <w:lang w:val="es-ES"/>
        </w:rPr>
        <w:t> </w:t>
      </w:r>
      <w:r w:rsidRPr="00F8275B">
        <w:rPr>
          <w:lang w:val="es-ES"/>
        </w:rPr>
        <w:t>442</w:t>
      </w:r>
      <w:r w:rsidR="005946FC" w:rsidRPr="00F8275B">
        <w:rPr>
          <w:lang w:val="es-ES"/>
        </w:rPr>
        <w:t> </w:t>
      </w:r>
      <w:r w:rsidRPr="00F8275B">
        <w:rPr>
          <w:lang w:val="es-ES"/>
        </w:rPr>
        <w:t>notificaciones de estaciones costeras y de barco para su inscripción en la base de datos de servicios marítimos de la UIT, y se tramitaron más de 5</w:t>
      </w:r>
      <w:r w:rsidR="005946FC" w:rsidRPr="00F8275B">
        <w:rPr>
          <w:lang w:val="es-ES"/>
        </w:rPr>
        <w:t> </w:t>
      </w:r>
      <w:r w:rsidRPr="00F8275B">
        <w:rPr>
          <w:lang w:val="es-ES"/>
        </w:rPr>
        <w:t>500</w:t>
      </w:r>
      <w:r w:rsidR="005946FC" w:rsidRPr="00F8275B">
        <w:rPr>
          <w:lang w:val="es-ES"/>
        </w:rPr>
        <w:t> </w:t>
      </w:r>
      <w:r w:rsidRPr="00F8275B">
        <w:rPr>
          <w:lang w:val="es-ES"/>
        </w:rPr>
        <w:t>informes de interferencia perjudicial.</w:t>
      </w:r>
    </w:p>
    <w:p w14:paraId="4CEE53C1" w14:textId="5C059CE7" w:rsidR="00CE6D77" w:rsidRPr="00F8275B" w:rsidRDefault="00CE6D77" w:rsidP="00CE6D77">
      <w:pPr>
        <w:pStyle w:val="Headingb"/>
        <w:rPr>
          <w:lang w:val="es-ES"/>
        </w:rPr>
      </w:pPr>
      <w:r w:rsidRPr="00F8275B">
        <w:rPr>
          <w:lang w:val="es-ES"/>
        </w:rPr>
        <w:lastRenderedPageBreak/>
        <w:t xml:space="preserve">Mejora del </w:t>
      </w:r>
      <w:r w:rsidRPr="00F8275B">
        <w:rPr>
          <w:i/>
          <w:iCs/>
          <w:lang w:val="es-ES"/>
        </w:rPr>
        <w:t>software</w:t>
      </w:r>
      <w:r w:rsidRPr="00F8275B">
        <w:rPr>
          <w:lang w:val="es-ES"/>
        </w:rPr>
        <w:t xml:space="preserve"> del UIT</w:t>
      </w:r>
      <w:r w:rsidRPr="00F8275B">
        <w:rPr>
          <w:lang w:val="es-ES"/>
        </w:rPr>
        <w:noBreakHyphen/>
        <w:t>R</w:t>
      </w:r>
    </w:p>
    <w:p w14:paraId="6E0FEB74" w14:textId="04082C15" w:rsidR="00CE6D77" w:rsidRPr="00F8275B" w:rsidRDefault="00CE6D77" w:rsidP="008E1F00">
      <w:pPr>
        <w:keepNext/>
        <w:keepLines/>
        <w:rPr>
          <w:lang w:val="es-ES"/>
        </w:rPr>
      </w:pPr>
      <w:r w:rsidRPr="00F8275B">
        <w:rPr>
          <w:lang w:val="es-ES"/>
        </w:rPr>
        <w:t>La Oficina de Radiocomunicaciones (BR) sigue desarrollando aplicaciones informáticas y bases de datos para facilitar la utilización de los productos a los miembros del Sector de Radiocomunicaciones de la UIT (UIT-R). En 2022, la BR actualizó la aplicación informática que permite a los usuarios consultar y analizar el Cuadro de atribución de bandas de frecuencias, con arreglo al Artículo</w:t>
      </w:r>
      <w:r w:rsidR="005946FC" w:rsidRPr="00F8275B">
        <w:rPr>
          <w:lang w:val="es-ES"/>
        </w:rPr>
        <w:t> </w:t>
      </w:r>
      <w:r w:rsidRPr="00F8275B">
        <w:rPr>
          <w:lang w:val="es-ES"/>
        </w:rPr>
        <w:t>5 del Reglamento de Radiocomunicaciones, así como otros textos, en particular Resoluciones de la CMR y las Recomendaciones UIT-R incorporadas por referencia y Reglas de Procedimiento. Dicha aplicación permite extraer la normativa regional o nacional aplicable con miras a la presentación de cuadros de atribución de bandas de frecuencias a escalas regional o nacional.</w:t>
      </w:r>
    </w:p>
    <w:p w14:paraId="73C8A0E5" w14:textId="4272CC33" w:rsidR="00CE6D77" w:rsidRPr="00F8275B" w:rsidRDefault="00CE6D77" w:rsidP="00CE6D77">
      <w:pPr>
        <w:pStyle w:val="Headingb"/>
        <w:rPr>
          <w:lang w:val="es-ES"/>
        </w:rPr>
      </w:pPr>
      <w:r w:rsidRPr="00F8275B">
        <w:rPr>
          <w:lang w:val="es-ES"/>
        </w:rPr>
        <w:t>Avances relat</w:t>
      </w:r>
      <w:r w:rsidR="00E01C94" w:rsidRPr="00F8275B">
        <w:rPr>
          <w:lang w:val="es-ES"/>
        </w:rPr>
        <w:t>ivos a los servicios terrenales</w:t>
      </w:r>
    </w:p>
    <w:p w14:paraId="72D176C9" w14:textId="1DE56800" w:rsidR="00CE6D77" w:rsidRPr="00F8275B" w:rsidRDefault="00CE6D77" w:rsidP="00CE6D77">
      <w:pPr>
        <w:rPr>
          <w:lang w:val="es-ES"/>
        </w:rPr>
      </w:pPr>
      <w:r w:rsidRPr="00F8275B">
        <w:rPr>
          <w:lang w:val="es-ES"/>
        </w:rPr>
        <w:t xml:space="preserve">Los avances relativos a los servicios terrenales se pueden consultar en </w:t>
      </w:r>
      <w:hyperlink r:id="rId43" w:history="1">
        <w:r w:rsidRPr="00F8275B">
          <w:rPr>
            <w:rStyle w:val="Hyperlink"/>
            <w:lang w:val="es-ES"/>
          </w:rPr>
          <w:t>https://www.itu.int/es/ITU-R/terrestrial/Pages/default.aspx</w:t>
        </w:r>
      </w:hyperlink>
      <w:r w:rsidRPr="00F8275B">
        <w:rPr>
          <w:lang w:val="es-ES"/>
        </w:rPr>
        <w:t xml:space="preserve">. Asimismo, en el </w:t>
      </w:r>
      <w:r w:rsidR="005946FC" w:rsidRPr="00F8275B">
        <w:rPr>
          <w:lang w:val="es-ES"/>
        </w:rPr>
        <w:t>Documento </w:t>
      </w:r>
      <w:hyperlink r:id="rId44" w:history="1">
        <w:r w:rsidRPr="00F8275B">
          <w:rPr>
            <w:rStyle w:val="Hyperlink"/>
            <w:lang w:val="es-ES"/>
          </w:rPr>
          <w:t>C23/35</w:t>
        </w:r>
      </w:hyperlink>
      <w:r w:rsidRPr="00F8275B">
        <w:rPr>
          <w:lang w:val="es-ES"/>
        </w:rPr>
        <w:t xml:space="preserve"> puede consultarse información detallada sobre las mejoras específicas.</w:t>
      </w:r>
    </w:p>
    <w:p w14:paraId="68C6F820" w14:textId="77777777" w:rsidR="00CE6D77" w:rsidRPr="00F8275B" w:rsidRDefault="00CE6D77" w:rsidP="005946FC">
      <w:pPr>
        <w:pStyle w:val="Headingb"/>
        <w:ind w:left="0" w:firstLine="0"/>
        <w:rPr>
          <w:lang w:val="es-ES"/>
        </w:rPr>
      </w:pPr>
      <w:r w:rsidRPr="00F8275B">
        <w:rPr>
          <w:lang w:val="es-ES"/>
        </w:rPr>
        <w:t>Progresos en el cumplimiento de la hoja de ruta de los sistemas de información espacial de la BR (GAR-19, 2012)</w:t>
      </w:r>
    </w:p>
    <w:p w14:paraId="3429CE40" w14:textId="77777777" w:rsidR="00CE6D77" w:rsidRPr="00F8275B" w:rsidRDefault="00CE6D77" w:rsidP="00CE6D77">
      <w:pPr>
        <w:pStyle w:val="enumlev1"/>
        <w:rPr>
          <w:lang w:val="es-ES"/>
        </w:rPr>
      </w:pPr>
      <w:r w:rsidRPr="00F8275B">
        <w:rPr>
          <w:lang w:val="es-ES"/>
        </w:rPr>
        <w:t>•</w:t>
      </w:r>
      <w:r w:rsidRPr="00F8275B">
        <w:rPr>
          <w:lang w:val="es-ES"/>
        </w:rPr>
        <w:tab/>
        <w:t xml:space="preserve">Reescritura del </w:t>
      </w:r>
      <w:r w:rsidRPr="00F8275B">
        <w:rPr>
          <w:i/>
          <w:iCs/>
          <w:lang w:val="es-ES"/>
        </w:rPr>
        <w:t>software</w:t>
      </w:r>
      <w:r w:rsidRPr="00F8275B">
        <w:rPr>
          <w:lang w:val="es-ES"/>
        </w:rPr>
        <w:t xml:space="preserve"> existente para los exámenes técnicos: una versión modernizada del programa PXT está siendo objeto de una prueba de aceptación del usuario, y está en curso la migración de los componentes del Fortran del GIMS.</w:t>
      </w:r>
    </w:p>
    <w:p w14:paraId="42DA32EF" w14:textId="747B0DE2" w:rsidR="00CE6D77" w:rsidRPr="00F8275B" w:rsidRDefault="00CE6D77" w:rsidP="00CE6D77">
      <w:pPr>
        <w:pStyle w:val="enumlev1"/>
        <w:rPr>
          <w:lang w:val="es-ES"/>
        </w:rPr>
      </w:pPr>
      <w:r w:rsidRPr="00F8275B">
        <w:rPr>
          <w:lang w:val="es-ES"/>
        </w:rPr>
        <w:t>•</w:t>
      </w:r>
      <w:r w:rsidRPr="00F8275B">
        <w:rPr>
          <w:lang w:val="es-ES"/>
        </w:rPr>
        <w:tab/>
        <w:t>Diseño y desarrollo del sistema de información espacial de la BR (BR</w:t>
      </w:r>
      <w:r w:rsidR="00E43B27" w:rsidRPr="00F8275B">
        <w:rPr>
          <w:lang w:val="es-ES"/>
        </w:rPr>
        <w:t> </w:t>
      </w:r>
      <w:r w:rsidRPr="00F8275B">
        <w:rPr>
          <w:lang w:val="es-ES"/>
        </w:rPr>
        <w:t>SIS): se está desarrollando BRSIS-Capture, la migración de la base de datos SNS de Ingres a SQL Server terminará a finales de 2024, y SNS Online se sustituirá por ITU Space Explorer a mediados de 2024.</w:t>
      </w:r>
    </w:p>
    <w:p w14:paraId="47E0D1D1" w14:textId="77777777" w:rsidR="00CE6D77" w:rsidRPr="00F8275B" w:rsidRDefault="00CE6D77" w:rsidP="00CE6D77">
      <w:pPr>
        <w:pStyle w:val="Headingb"/>
        <w:rPr>
          <w:lang w:val="es-ES"/>
        </w:rPr>
      </w:pPr>
      <w:r w:rsidRPr="00F8275B">
        <w:rPr>
          <w:lang w:val="es-ES"/>
        </w:rPr>
        <w:t>Resultados de las actividades relacionadas con las aplicaciones espaciales</w:t>
      </w:r>
    </w:p>
    <w:p w14:paraId="16DE1459" w14:textId="7BE6AC4D" w:rsidR="00CE6D77" w:rsidRPr="00F8275B" w:rsidRDefault="00CE6D77" w:rsidP="00E43B27">
      <w:pPr>
        <w:pStyle w:val="enumlev1"/>
        <w:keepNext/>
        <w:keepLines/>
        <w:rPr>
          <w:lang w:val="es-ES"/>
        </w:rPr>
      </w:pPr>
      <w:r w:rsidRPr="00F8275B">
        <w:rPr>
          <w:lang w:val="es-ES"/>
        </w:rPr>
        <w:t>•</w:t>
      </w:r>
      <w:r w:rsidRPr="00F8275B">
        <w:rPr>
          <w:lang w:val="es-ES"/>
        </w:rPr>
        <w:tab/>
        <w:t>Sistema de presentación electrónica de notificaciones (aplicación de la Resolución</w:t>
      </w:r>
      <w:r w:rsidR="005946FC" w:rsidRPr="00F8275B">
        <w:rPr>
          <w:lang w:val="es-ES"/>
        </w:rPr>
        <w:t> </w:t>
      </w:r>
      <w:r w:rsidRPr="00F8275B">
        <w:rPr>
          <w:lang w:val="es-ES"/>
        </w:rPr>
        <w:t>908</w:t>
      </w:r>
      <w:r w:rsidR="005946FC" w:rsidRPr="00F8275B">
        <w:rPr>
          <w:lang w:val="es-ES"/>
        </w:rPr>
        <w:t> </w:t>
      </w:r>
      <w:r w:rsidRPr="00F8275B">
        <w:rPr>
          <w:lang w:val="es-ES"/>
        </w:rPr>
        <w:t>(Rev.CMR-15)):</w:t>
      </w:r>
    </w:p>
    <w:p w14:paraId="60BF5081" w14:textId="2A3B1DE9" w:rsidR="00CE6D77" w:rsidRPr="00F8275B" w:rsidRDefault="00CE6D77" w:rsidP="00CF44BF">
      <w:pPr>
        <w:pStyle w:val="enumlev2"/>
        <w:rPr>
          <w:lang w:val="es-ES"/>
        </w:rPr>
      </w:pPr>
      <w:r w:rsidRPr="00F8275B">
        <w:rPr>
          <w:lang w:val="es-ES"/>
        </w:rPr>
        <w:t>–</w:t>
      </w:r>
      <w:r w:rsidRPr="00F8275B">
        <w:rPr>
          <w:lang w:val="es-ES"/>
        </w:rPr>
        <w:tab/>
        <w:t>Septiembre de 2023: introducción del nuevo estado "Publicada en la BR</w:t>
      </w:r>
      <w:r w:rsidR="00CF44BF" w:rsidRPr="00F8275B">
        <w:rPr>
          <w:lang w:val="es-ES"/>
        </w:rPr>
        <w:t> </w:t>
      </w:r>
      <w:r w:rsidRPr="00F8275B">
        <w:rPr>
          <w:lang w:val="es-ES"/>
        </w:rPr>
        <w:t>IFIC": cuando, de conformidad con el Reglamento de Radiocomunicaciones, se publica una notificación en una Sección Especial o en la Parte</w:t>
      </w:r>
      <w:r w:rsidR="00E43B27" w:rsidRPr="00F8275B">
        <w:rPr>
          <w:lang w:val="es-ES"/>
        </w:rPr>
        <w:t> </w:t>
      </w:r>
      <w:r w:rsidRPr="00F8275B">
        <w:rPr>
          <w:lang w:val="es-ES"/>
        </w:rPr>
        <w:t>I-S de la BR</w:t>
      </w:r>
      <w:r w:rsidR="00CF44BF" w:rsidRPr="00F8275B">
        <w:rPr>
          <w:lang w:val="es-ES"/>
        </w:rPr>
        <w:t> </w:t>
      </w:r>
      <w:r w:rsidRPr="00F8275B">
        <w:rPr>
          <w:lang w:val="es-ES"/>
        </w:rPr>
        <w:t>IFIC (Servicios espaciales), el estado de la notificación en e-Submission pasa de "Published As</w:t>
      </w:r>
      <w:r w:rsidRPr="00F8275B">
        <w:rPr>
          <w:lang w:val="es-ES"/>
        </w:rPr>
        <w:noBreakHyphen/>
        <w:t>Received" (publicada tal y como se recibió) a "Published in BR</w:t>
      </w:r>
      <w:r w:rsidR="00CF44BF" w:rsidRPr="00F8275B">
        <w:rPr>
          <w:lang w:val="es-ES"/>
        </w:rPr>
        <w:t> </w:t>
      </w:r>
      <w:r w:rsidRPr="00F8275B">
        <w:rPr>
          <w:lang w:val="es-ES"/>
        </w:rPr>
        <w:t>IFIC" (publicada en la BR</w:t>
      </w:r>
      <w:r w:rsidR="00CF44BF" w:rsidRPr="00F8275B">
        <w:rPr>
          <w:lang w:val="es-ES"/>
        </w:rPr>
        <w:t> </w:t>
      </w:r>
      <w:r w:rsidRPr="00F8275B">
        <w:rPr>
          <w:lang w:val="es-ES"/>
        </w:rPr>
        <w:t>IFIC).</w:t>
      </w:r>
    </w:p>
    <w:p w14:paraId="26804B38" w14:textId="77777777" w:rsidR="00CE6D77" w:rsidRPr="00F8275B" w:rsidRDefault="00CE6D77" w:rsidP="00CE6D77">
      <w:pPr>
        <w:pStyle w:val="enumlev2"/>
        <w:rPr>
          <w:lang w:val="es-ES"/>
        </w:rPr>
      </w:pPr>
      <w:r w:rsidRPr="00F8275B">
        <w:rPr>
          <w:lang w:val="es-ES"/>
        </w:rPr>
        <w:t>–</w:t>
      </w:r>
      <w:r w:rsidRPr="00F8275B">
        <w:rPr>
          <w:lang w:val="es-ES"/>
        </w:rPr>
        <w:tab/>
        <w:t>Octubre de 2023: nueva herramienta en línea "e-Examination" para ayudar a las administraciones (u operadores) a verificar el cumplimiento de los límites de dfp y p.i.r.e. especificados en el Reglamento de Radiocomunicaciones a la hora de presentar sus notificaciones de redes de satélites a la Oficina (o a otras administraciones).</w:t>
      </w:r>
    </w:p>
    <w:p w14:paraId="22D25B78" w14:textId="77777777" w:rsidR="00CE6D77" w:rsidRPr="00F8275B" w:rsidRDefault="00CE6D77" w:rsidP="00CE6D77">
      <w:pPr>
        <w:pStyle w:val="enumlev2"/>
        <w:rPr>
          <w:lang w:val="es-ES"/>
        </w:rPr>
      </w:pPr>
      <w:r w:rsidRPr="00F8275B">
        <w:rPr>
          <w:lang w:val="es-ES"/>
        </w:rPr>
        <w:t>–</w:t>
      </w:r>
      <w:r w:rsidRPr="00F8275B">
        <w:rPr>
          <w:lang w:val="es-ES"/>
        </w:rPr>
        <w:tab/>
        <w:t>Diciembre de 2023: a fin de responder a las necesidades inmediatas relativas a las nuevas notificaciones basadas en las decisiones de la CMR-23, se modificó el sistema para aceptar datos adoptados por la CMR-23 y que entraron en vigor al final de la Conferencia debido a la regla de procedimiento sobre aceptabilidad.</w:t>
      </w:r>
    </w:p>
    <w:p w14:paraId="7B0BBFF0" w14:textId="027D0C3E" w:rsidR="00CE6D77" w:rsidRPr="00F8275B" w:rsidRDefault="00CE6D77" w:rsidP="00CE6D77">
      <w:pPr>
        <w:pStyle w:val="enumlev1"/>
        <w:rPr>
          <w:lang w:val="es-ES"/>
        </w:rPr>
      </w:pPr>
      <w:r w:rsidRPr="00F8275B">
        <w:rPr>
          <w:lang w:val="es-ES"/>
        </w:rPr>
        <w:lastRenderedPageBreak/>
        <w:t>•</w:t>
      </w:r>
      <w:r w:rsidRPr="00F8275B">
        <w:rPr>
          <w:lang w:val="es-ES"/>
        </w:rPr>
        <w:tab/>
        <w:t>Sistema de comunicaciones electrónicas (aplicación de la Resolución</w:t>
      </w:r>
      <w:r w:rsidR="005946FC" w:rsidRPr="00F8275B">
        <w:rPr>
          <w:lang w:val="es-ES"/>
        </w:rPr>
        <w:t> </w:t>
      </w:r>
      <w:r w:rsidRPr="00F8275B">
        <w:rPr>
          <w:lang w:val="es-ES"/>
        </w:rPr>
        <w:t>907 (Rev.CMR</w:t>
      </w:r>
      <w:r w:rsidR="005946FC" w:rsidRPr="00F8275B">
        <w:rPr>
          <w:lang w:val="es-ES"/>
        </w:rPr>
        <w:noBreakHyphen/>
      </w:r>
      <w:r w:rsidRPr="00F8275B">
        <w:rPr>
          <w:lang w:val="es-ES"/>
        </w:rPr>
        <w:t>15)): se está desarrollando una nueva función que se ha de integrar en el sistema de presentación electrónica y que facilitará el seguimiento de la correspondencia entre la Oficina y la administración notificante en relación con la correspondencia relativa a la admisibilidad, y cuya introducción está prevista para</w:t>
      </w:r>
      <w:r w:rsidR="005946FC" w:rsidRPr="00F8275B">
        <w:rPr>
          <w:lang w:val="es-ES"/>
        </w:rPr>
        <w:t> </w:t>
      </w:r>
      <w:r w:rsidRPr="00F8275B">
        <w:rPr>
          <w:lang w:val="es-ES"/>
        </w:rPr>
        <w:t>2024.</w:t>
      </w:r>
    </w:p>
    <w:p w14:paraId="0CCF66FB" w14:textId="474EABD9" w:rsidR="00CE6D77" w:rsidRPr="00F8275B" w:rsidRDefault="00CE6D77" w:rsidP="00CE6D77">
      <w:pPr>
        <w:pStyle w:val="enumlev1"/>
        <w:rPr>
          <w:lang w:val="es-ES"/>
        </w:rPr>
      </w:pPr>
      <w:r w:rsidRPr="00F8275B">
        <w:rPr>
          <w:lang w:val="es-ES"/>
        </w:rPr>
        <w:t>•</w:t>
      </w:r>
      <w:r w:rsidRPr="00F8275B">
        <w:rPr>
          <w:lang w:val="es-ES"/>
        </w:rPr>
        <w:tab/>
        <w:t>Migración de la BR</w:t>
      </w:r>
      <w:r w:rsidR="00CF44BF" w:rsidRPr="00F8275B">
        <w:rPr>
          <w:lang w:val="es-ES"/>
        </w:rPr>
        <w:t> </w:t>
      </w:r>
      <w:r w:rsidRPr="00F8275B">
        <w:rPr>
          <w:lang w:val="es-ES"/>
        </w:rPr>
        <w:t>IFIC (servicios espaciales) de un formato DVD a un mecanismo en línea: la aplicación web de la BR</w:t>
      </w:r>
      <w:r w:rsidR="00CF44BF" w:rsidRPr="00F8275B">
        <w:rPr>
          <w:lang w:val="es-ES"/>
        </w:rPr>
        <w:t> </w:t>
      </w:r>
      <w:r w:rsidRPr="00F8275B">
        <w:rPr>
          <w:lang w:val="es-ES"/>
        </w:rPr>
        <w:t>IFIC (servicios espaciales) se puso en funcionamiento en enero de 2024.</w:t>
      </w:r>
      <w:bookmarkEnd w:id="56"/>
      <w:bookmarkEnd w:id="57"/>
      <w:bookmarkEnd w:id="58"/>
    </w:p>
    <w:p w14:paraId="0BAE6A5A" w14:textId="68380966" w:rsidR="00CE6D77" w:rsidRPr="00F8275B" w:rsidRDefault="001F174D" w:rsidP="00CE6D77">
      <w:pPr>
        <w:pStyle w:val="Heading2"/>
        <w:rPr>
          <w:lang w:val="es-ES"/>
        </w:rPr>
      </w:pPr>
      <w:bookmarkStart w:id="59" w:name="_Toc37860458"/>
      <w:bookmarkStart w:id="60" w:name="_Toc37861219"/>
      <w:bookmarkStart w:id="61" w:name="_Toc37943338"/>
      <w:bookmarkStart w:id="62" w:name="Section_1_4"/>
      <w:bookmarkStart w:id="63" w:name="_Toc1871808104"/>
      <w:bookmarkStart w:id="64" w:name="_Toc164862529"/>
      <w:bookmarkStart w:id="65" w:name="_Toc165024948"/>
      <w:bookmarkStart w:id="66" w:name="_Toc166580882"/>
      <w:r w:rsidRPr="00F8275B">
        <w:rPr>
          <w:lang w:val="es-ES"/>
        </w:rPr>
        <w:t>4.2</w:t>
      </w:r>
      <w:r w:rsidR="00CE6D77" w:rsidRPr="00F8275B">
        <w:rPr>
          <w:lang w:val="es-ES"/>
        </w:rPr>
        <w:tab/>
        <w:t>Tecnologías emergentes: conformar marcos para la transformación digital sostenible</w:t>
      </w:r>
      <w:bookmarkEnd w:id="59"/>
      <w:bookmarkEnd w:id="60"/>
      <w:bookmarkEnd w:id="61"/>
      <w:bookmarkEnd w:id="62"/>
      <w:bookmarkEnd w:id="63"/>
      <w:bookmarkEnd w:id="64"/>
      <w:bookmarkEnd w:id="65"/>
      <w:bookmarkEnd w:id="66"/>
    </w:p>
    <w:p w14:paraId="3D32B6E4" w14:textId="77777777" w:rsidR="00CE6D77" w:rsidRPr="00F8275B" w:rsidRDefault="00CE6D77" w:rsidP="004E206B">
      <w:pPr>
        <w:spacing w:after="120"/>
        <w:rPr>
          <w:lang w:val="es-ES"/>
        </w:rPr>
      </w:pPr>
      <w:r w:rsidRPr="00F8275B">
        <w:rPr>
          <w:lang w:val="es-ES"/>
        </w:rPr>
        <w:t>Al trabajar para conseguir la aceleración del desarrollo tecnológico, la UIT se ha centrado detenidamente en la inteligencia artificial (IA), la tecnología de la información cuántica y el potencial del metaverso, o los mundos virtuales, a fin de apoyar la transformación digital inclusiva y sostenible en todo el mundo.</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1F174D" w:rsidRPr="00F8275B" w14:paraId="4CAA288C" w14:textId="77777777" w:rsidTr="00AB5621">
        <w:trPr>
          <w:cantSplit/>
          <w:jc w:val="center"/>
        </w:trPr>
        <w:tc>
          <w:tcPr>
            <w:tcW w:w="9061" w:type="dxa"/>
          </w:tcPr>
          <w:p w14:paraId="7F986EB6" w14:textId="0B544D80" w:rsidR="001F174D" w:rsidRPr="00F8275B" w:rsidRDefault="001F174D" w:rsidP="00242F5A">
            <w:pPr>
              <w:jc w:val="center"/>
              <w:rPr>
                <w:b/>
                <w:bCs/>
                <w:sz w:val="28"/>
                <w:szCs w:val="28"/>
                <w:lang w:val="es-ES"/>
              </w:rPr>
            </w:pPr>
            <w:r w:rsidRPr="00F8275B">
              <w:rPr>
                <w:b/>
                <w:bCs/>
                <w:sz w:val="28"/>
                <w:szCs w:val="28"/>
                <w:lang w:val="es-ES"/>
              </w:rPr>
              <w:t>Historia de impacto</w:t>
            </w:r>
          </w:p>
          <w:p w14:paraId="39CCCC86" w14:textId="48219530" w:rsidR="001F174D" w:rsidRPr="00F8275B" w:rsidRDefault="001F174D" w:rsidP="004E206B">
            <w:pPr>
              <w:pStyle w:val="Headingb"/>
              <w:rPr>
                <w:lang w:val="es-ES"/>
              </w:rPr>
            </w:pPr>
            <w:r w:rsidRPr="00F8275B">
              <w:rPr>
                <w:lang w:val="es-ES"/>
              </w:rPr>
              <w:t>Respuesta con telecomunicaciones de emergencia en Papua Nueva Guinea</w:t>
            </w:r>
          </w:p>
          <w:p w14:paraId="00CF0667" w14:textId="5170935F" w:rsidR="001F174D" w:rsidRPr="00F8275B" w:rsidRDefault="001F174D" w:rsidP="004E206B">
            <w:pPr>
              <w:rPr>
                <w:lang w:val="es-ES"/>
              </w:rPr>
            </w:pPr>
            <w:r w:rsidRPr="00F8275B">
              <w:rPr>
                <w:lang w:val="es-ES"/>
              </w:rPr>
              <w:t xml:space="preserve">La UIT proporcionó equipos vitales de telecomunicaciones por satélite para apoyar la labor humanitaria en Papua Nueva Guinea después de la </w:t>
            </w:r>
            <w:r w:rsidR="00A55B05" w:rsidRPr="00F8275B">
              <w:rPr>
                <w:lang w:val="es-ES"/>
              </w:rPr>
              <w:t>devastación</w:t>
            </w:r>
            <w:r w:rsidRPr="00F8275B">
              <w:rPr>
                <w:lang w:val="es-ES"/>
              </w:rPr>
              <w:t xml:space="preserve"> causada por la erupción en julio de 2023</w:t>
            </w:r>
            <w:r w:rsidR="00A55B05" w:rsidRPr="00F8275B">
              <w:rPr>
                <w:lang w:val="es-ES"/>
              </w:rPr>
              <w:t xml:space="preserve"> </w:t>
            </w:r>
            <w:r w:rsidRPr="00F8275B">
              <w:rPr>
                <w:lang w:val="es-ES"/>
              </w:rPr>
              <w:t xml:space="preserve">del volcán Bagana. El suministro de teléfonos satelitales Iridium y terminales Inmarsat BGAN </w:t>
            </w:r>
            <w:r w:rsidR="00A55B05" w:rsidRPr="00F8275B">
              <w:rPr>
                <w:lang w:val="es-ES"/>
              </w:rPr>
              <w:t>ayudó</w:t>
            </w:r>
            <w:r w:rsidRPr="00F8275B">
              <w:rPr>
                <w:lang w:val="es-ES"/>
              </w:rPr>
              <w:t xml:space="preserve"> a restaurar las comunicaciones esenciales y facilitaron la evacuación coordinada de las comunidades en peligro. Las tecnologías digitales son fundamentales para el flujo de información oportuna tras las catástrofes, ya que reducen los principales riesgos y salvan vidas.</w:t>
            </w:r>
          </w:p>
          <w:p w14:paraId="14424051" w14:textId="3D1974CE" w:rsidR="001F174D" w:rsidRPr="00F8275B" w:rsidRDefault="00534F60" w:rsidP="004E206B">
            <w:pPr>
              <w:spacing w:after="120"/>
              <w:rPr>
                <w:lang w:val="es-ES"/>
              </w:rPr>
            </w:pPr>
            <w:hyperlink r:id="rId45" w:history="1">
              <w:r w:rsidR="00AB5621" w:rsidRPr="00F8275B">
                <w:rPr>
                  <w:rStyle w:val="Hyperlink"/>
                  <w:lang w:val="es-ES"/>
                </w:rPr>
                <w:t>Más información sobre el despliegue de equipos de la UIT</w:t>
              </w:r>
            </w:hyperlink>
          </w:p>
        </w:tc>
      </w:tr>
    </w:tbl>
    <w:p w14:paraId="5D9F2B82" w14:textId="1238B969" w:rsidR="00CE6D77" w:rsidRPr="00F8275B" w:rsidRDefault="001F174D" w:rsidP="00CE6D77">
      <w:pPr>
        <w:pStyle w:val="Heading3"/>
        <w:rPr>
          <w:lang w:val="es-ES"/>
        </w:rPr>
      </w:pPr>
      <w:bookmarkStart w:id="67" w:name="_Toc165024949"/>
      <w:bookmarkStart w:id="68" w:name="Section_1_5"/>
      <w:r w:rsidRPr="00F8275B">
        <w:rPr>
          <w:lang w:val="es-ES"/>
        </w:rPr>
        <w:t>4.2</w:t>
      </w:r>
      <w:r w:rsidR="00CE6D77" w:rsidRPr="00F8275B">
        <w:rPr>
          <w:lang w:val="es-ES"/>
        </w:rPr>
        <w:t>.1</w:t>
      </w:r>
      <w:r w:rsidR="00CE6D77" w:rsidRPr="00F8275B">
        <w:rPr>
          <w:lang w:val="es-ES"/>
        </w:rPr>
        <w:tab/>
        <w:t>Inteligencia artificial</w:t>
      </w:r>
      <w:bookmarkEnd w:id="67"/>
    </w:p>
    <w:p w14:paraId="3E54FC88" w14:textId="77777777" w:rsidR="00CE6D77" w:rsidRPr="00F8275B" w:rsidRDefault="00CE6D77" w:rsidP="00CE6D77">
      <w:pPr>
        <w:rPr>
          <w:lang w:val="es-ES"/>
        </w:rPr>
      </w:pPr>
      <w:r w:rsidRPr="00F8275B">
        <w:rPr>
          <w:lang w:val="es-ES"/>
        </w:rPr>
        <w:t>La UIT ofrece a todos los interesados una plataforma global para abordar las oportunidades y retos que plantea el desarrollo seguro e inclusivo de las tecnologías y aplicaciones de IA.</w:t>
      </w:r>
    </w:p>
    <w:p w14:paraId="5D68D33B" w14:textId="77777777" w:rsidR="00CE6D77" w:rsidRPr="00F8275B" w:rsidRDefault="00CE6D77" w:rsidP="00CE6D77">
      <w:pPr>
        <w:rPr>
          <w:lang w:val="es-ES"/>
        </w:rPr>
      </w:pPr>
      <w:r w:rsidRPr="00F8275B">
        <w:rPr>
          <w:lang w:val="es-ES"/>
        </w:rPr>
        <w:t>El aumento de los sistemas de IA cada vez más potentes acarrea una destacada combinación de riesgos y beneficios. Las herramientas de IA pueden mejorar la vida y los medios de subsistencia de las personas, fortalecer la respuesta mundial al cambio climático e impulsar el desarrollo sostenible para todos. Sin embargo, dado que aún sigue habiendo miles de millones de personas excluidas del mundo digital, la revolución de la IA amenaza con aumentar las desigualdades mundiales.</w:t>
      </w:r>
    </w:p>
    <w:p w14:paraId="197C78DE" w14:textId="15A92FE5" w:rsidR="00CE6D77" w:rsidRPr="00F8275B" w:rsidRDefault="00CE6D77" w:rsidP="00CE6D77">
      <w:pPr>
        <w:rPr>
          <w:lang w:val="es-ES"/>
        </w:rPr>
      </w:pPr>
      <w:r w:rsidRPr="00F8275B">
        <w:rPr>
          <w:lang w:val="es-ES"/>
        </w:rPr>
        <w:t xml:space="preserve">El </w:t>
      </w:r>
      <w:hyperlink r:id="rId46" w:history="1">
        <w:r w:rsidRPr="00F8275B">
          <w:rPr>
            <w:lang w:val="es-ES"/>
          </w:rPr>
          <w:t>trabajo de la UIT</w:t>
        </w:r>
      </w:hyperlink>
      <w:r w:rsidRPr="00F8275B">
        <w:rPr>
          <w:lang w:val="es-ES"/>
        </w:rPr>
        <w:t xml:space="preserve"> relacionado con el desarrollo de la IA incluye lo siguiente:</w:t>
      </w:r>
    </w:p>
    <w:p w14:paraId="5735AED8" w14:textId="728C5392" w:rsidR="00CE6D77" w:rsidRPr="00F8275B" w:rsidRDefault="00CE6D77" w:rsidP="00CE6D77">
      <w:pPr>
        <w:pStyle w:val="enumlev1"/>
        <w:rPr>
          <w:lang w:val="es-ES"/>
        </w:rPr>
      </w:pPr>
      <w:r w:rsidRPr="00F8275B">
        <w:rPr>
          <w:lang w:val="es-ES"/>
        </w:rPr>
        <w:t>•</w:t>
      </w:r>
      <w:r w:rsidRPr="00F8275B">
        <w:rPr>
          <w:lang w:val="es-ES"/>
        </w:rPr>
        <w:tab/>
      </w:r>
      <w:r w:rsidRPr="00F8275B">
        <w:rPr>
          <w:u w:val="single"/>
          <w:lang w:val="es-ES"/>
        </w:rPr>
        <w:t>La IA en la normalización</w:t>
      </w:r>
      <w:r w:rsidRPr="00F8275B">
        <w:rPr>
          <w:lang w:val="es-ES"/>
        </w:rPr>
        <w:t xml:space="preserve">, incluidos los </w:t>
      </w:r>
      <w:hyperlink r:id="rId47" w:history="1">
        <w:r w:rsidRPr="00F8275B">
          <w:rPr>
            <w:rStyle w:val="Hyperlink"/>
            <w:lang w:val="es-ES"/>
          </w:rPr>
          <w:t>Grupos Temáticos del UIT-T</w:t>
        </w:r>
      </w:hyperlink>
      <w:r w:rsidRPr="00F8275B">
        <w:rPr>
          <w:lang w:val="es-ES"/>
        </w:rPr>
        <w:t xml:space="preserve"> pertinentes (véase más información en la sección</w:t>
      </w:r>
      <w:r w:rsidR="005946FC" w:rsidRPr="00F8275B">
        <w:rPr>
          <w:lang w:val="es-ES"/>
        </w:rPr>
        <w:t> </w:t>
      </w:r>
      <w:r w:rsidRPr="00F8275B">
        <w:rPr>
          <w:lang w:val="es-ES"/>
        </w:rPr>
        <w:t>4.2).</w:t>
      </w:r>
    </w:p>
    <w:p w14:paraId="41817846" w14:textId="613DCD65" w:rsidR="00CE6D77" w:rsidRPr="00F8275B" w:rsidRDefault="00CE6D77" w:rsidP="00CE6D77">
      <w:pPr>
        <w:pStyle w:val="enumlev1"/>
        <w:rPr>
          <w:lang w:val="es-ES"/>
        </w:rPr>
      </w:pPr>
      <w:r w:rsidRPr="00F8275B">
        <w:rPr>
          <w:lang w:val="es-ES"/>
        </w:rPr>
        <w:t>•</w:t>
      </w:r>
      <w:r w:rsidRPr="00F8275B">
        <w:rPr>
          <w:lang w:val="es-ES"/>
        </w:rPr>
        <w:tab/>
      </w:r>
      <w:hyperlink r:id="rId48" w:history="1">
        <w:r w:rsidRPr="00F8275B">
          <w:rPr>
            <w:rStyle w:val="Hyperlink"/>
            <w:lang w:val="es-ES"/>
          </w:rPr>
          <w:t>AI for Good</w:t>
        </w:r>
      </w:hyperlink>
      <w:r w:rsidRPr="00F8275B">
        <w:rPr>
          <w:lang w:val="es-ES"/>
        </w:rPr>
        <w:t>.</w:t>
      </w:r>
    </w:p>
    <w:p w14:paraId="1EEFED2C" w14:textId="77777777" w:rsidR="00CE6D77" w:rsidRPr="00F8275B" w:rsidRDefault="00CE6D77" w:rsidP="00CE6D77">
      <w:pPr>
        <w:pStyle w:val="enumlev1"/>
        <w:rPr>
          <w:lang w:val="es-ES"/>
        </w:rPr>
      </w:pPr>
      <w:r w:rsidRPr="00F8275B">
        <w:rPr>
          <w:lang w:val="es-ES"/>
        </w:rPr>
        <w:lastRenderedPageBreak/>
        <w:t>•</w:t>
      </w:r>
      <w:r w:rsidRPr="00F8275B">
        <w:rPr>
          <w:lang w:val="es-ES"/>
        </w:rPr>
        <w:tab/>
        <w:t xml:space="preserve">Los concursos AI/ML ("Retos"): en el periodo sobre el que se informa, los concursos trataron de las </w:t>
      </w:r>
      <w:hyperlink r:id="rId49" w:history="1">
        <w:r w:rsidRPr="00F8275B">
          <w:rPr>
            <w:rStyle w:val="Hyperlink"/>
            <w:lang w:val="es-ES"/>
          </w:rPr>
          <w:t>redes de comunicación</w:t>
        </w:r>
      </w:hyperlink>
      <w:r w:rsidRPr="00F8275B">
        <w:rPr>
          <w:lang w:val="es-ES"/>
        </w:rPr>
        <w:t xml:space="preserve">, los </w:t>
      </w:r>
      <w:hyperlink r:id="rId50" w:history="1">
        <w:r w:rsidRPr="00F8275B">
          <w:rPr>
            <w:rStyle w:val="Hyperlink"/>
            <w:lang w:val="es-ES"/>
          </w:rPr>
          <w:t>análisis de datos geoespaciales</w:t>
        </w:r>
      </w:hyperlink>
      <w:r w:rsidRPr="00F8275B">
        <w:rPr>
          <w:lang w:val="es-ES"/>
        </w:rPr>
        <w:t xml:space="preserve">, el </w:t>
      </w:r>
      <w:hyperlink r:id="rId51" w:history="1">
        <w:r w:rsidRPr="00F8275B">
          <w:rPr>
            <w:rStyle w:val="Hyperlink"/>
            <w:lang w:val="es-ES"/>
          </w:rPr>
          <w:t>cambio climático</w:t>
        </w:r>
      </w:hyperlink>
      <w:r w:rsidRPr="00F8275B">
        <w:rPr>
          <w:lang w:val="es-ES"/>
        </w:rPr>
        <w:t xml:space="preserve"> y la </w:t>
      </w:r>
      <w:hyperlink r:id="rId52" w:history="1">
        <w:r w:rsidRPr="00F8275B">
          <w:rPr>
            <w:rStyle w:val="Hyperlink"/>
            <w:lang w:val="es-ES"/>
          </w:rPr>
          <w:t>energía de fusión</w:t>
        </w:r>
      </w:hyperlink>
      <w:r w:rsidRPr="00F8275B">
        <w:rPr>
          <w:lang w:val="es-ES"/>
        </w:rPr>
        <w:t>.</w:t>
      </w:r>
    </w:p>
    <w:p w14:paraId="756A7F5B" w14:textId="77777777" w:rsidR="00CE6D77" w:rsidRPr="00F8275B" w:rsidRDefault="00CE6D77" w:rsidP="00CE6D77">
      <w:pPr>
        <w:rPr>
          <w:lang w:val="es-ES"/>
        </w:rPr>
      </w:pPr>
      <w:r w:rsidRPr="00F8275B">
        <w:rPr>
          <w:lang w:val="es-ES"/>
        </w:rPr>
        <w:t>La influencia de la IA y el aprendizaje automático en la labor de normalización de la UIT sigue aumentando, en particular en relación con la orquestación y gestión de redes, los multimedios, la evaluación de la calidad del servicio, la eficiencia energética, los protocolos y las especificaciones de pruebas, las redes futuras, las redes de cables, la explotación y el mantenimiento de redes, la seguridad, la salud digital, la movilidad inteligente, la agricultura digital y la gestión de desastres.</w:t>
      </w:r>
    </w:p>
    <w:p w14:paraId="11A4C61D" w14:textId="77777777" w:rsidR="00CE6D77" w:rsidRPr="00F8275B" w:rsidRDefault="00CE6D77" w:rsidP="00CE6D77">
      <w:pPr>
        <w:rPr>
          <w:lang w:val="es-ES"/>
        </w:rPr>
      </w:pPr>
      <w:r w:rsidRPr="00F8275B">
        <w:rPr>
          <w:lang w:val="es-ES"/>
        </w:rPr>
        <w:t>La comunidad mundial e inclusiva de AI for Good reúne al sector privado, la sociedad civil y las instituciones públicas para ofrecer perspectivas durante todo el año sobre la IA, el aprendizaje automático y las herramientas de interfaz entre máquinas y cerebros.</w:t>
      </w:r>
    </w:p>
    <w:p w14:paraId="79510A58" w14:textId="77777777" w:rsidR="00CE6D77" w:rsidRPr="00F8275B" w:rsidRDefault="00CE6D77" w:rsidP="00CE6D77">
      <w:pPr>
        <w:rPr>
          <w:lang w:val="es-ES"/>
        </w:rPr>
      </w:pPr>
      <w:r w:rsidRPr="00F8275B">
        <w:rPr>
          <w:lang w:val="es-ES"/>
        </w:rPr>
        <w:t>Paralelamente, los debates sobre gobernanza organizados por la UIT han comenzado a profundizar en la manera de gestionar los riesgos, en particular el riesgo de ampliación de la brecha digital, y garantizar los beneficios de la IA para toda la humanidad.</w:t>
      </w:r>
    </w:p>
    <w:p w14:paraId="3506BA92" w14:textId="646A29EA" w:rsidR="00CE6D77" w:rsidRPr="00F8275B" w:rsidRDefault="00CE6D77" w:rsidP="00CE6D77">
      <w:pPr>
        <w:pStyle w:val="Heading3"/>
        <w:rPr>
          <w:lang w:val="es-ES"/>
        </w:rPr>
      </w:pPr>
      <w:bookmarkStart w:id="69" w:name="_Toc165024950"/>
      <w:r w:rsidRPr="00F8275B">
        <w:rPr>
          <w:lang w:val="es-ES"/>
        </w:rPr>
        <w:t>4.</w:t>
      </w:r>
      <w:r w:rsidR="001F174D" w:rsidRPr="00F8275B">
        <w:rPr>
          <w:lang w:val="es-ES"/>
        </w:rPr>
        <w:t>2</w:t>
      </w:r>
      <w:r w:rsidRPr="00F8275B">
        <w:rPr>
          <w:lang w:val="es-ES"/>
        </w:rPr>
        <w:t>.2</w:t>
      </w:r>
      <w:r w:rsidRPr="00F8275B">
        <w:rPr>
          <w:lang w:val="es-ES"/>
        </w:rPr>
        <w:tab/>
        <w:t>Tecnología de la información cuántica</w:t>
      </w:r>
      <w:bookmarkEnd w:id="69"/>
    </w:p>
    <w:p w14:paraId="5E303C64" w14:textId="77777777" w:rsidR="00CE6D77" w:rsidRPr="00F8275B" w:rsidRDefault="00CE6D77" w:rsidP="00CE6D77">
      <w:pPr>
        <w:rPr>
          <w:lang w:val="es-ES"/>
        </w:rPr>
      </w:pPr>
      <w:r w:rsidRPr="00F8275B">
        <w:rPr>
          <w:lang w:val="es-ES"/>
        </w:rPr>
        <w:t>La labor de normalización de la UIT está abordando los aspectos de redes y de seguridad de las tecnologías de la información cuántica, centrándose inicialmente en la distribución de claves cuánticas (QKD), un medio para permitir el cifrado y la autenticación seguros. Las normas de la UIT para las redes QKD permitirán integrar las tecnologías QKD en redes TIC de gran escala y ofrecer seguridad a dichas redes QKD.</w:t>
      </w:r>
    </w:p>
    <w:p w14:paraId="7B89C1DC" w14:textId="67804309" w:rsidR="00CE6D77" w:rsidRPr="00F8275B" w:rsidRDefault="00CE6D77" w:rsidP="00CE6D77">
      <w:pPr>
        <w:pStyle w:val="Heading3"/>
        <w:rPr>
          <w:lang w:val="es-ES"/>
        </w:rPr>
      </w:pPr>
      <w:bookmarkStart w:id="70" w:name="_Toc165024951"/>
      <w:r w:rsidRPr="00F8275B">
        <w:rPr>
          <w:lang w:val="es-ES"/>
        </w:rPr>
        <w:t>4.</w:t>
      </w:r>
      <w:r w:rsidR="001F174D" w:rsidRPr="00F8275B">
        <w:rPr>
          <w:lang w:val="es-ES"/>
        </w:rPr>
        <w:t>2</w:t>
      </w:r>
      <w:r w:rsidRPr="00F8275B">
        <w:rPr>
          <w:lang w:val="es-ES"/>
        </w:rPr>
        <w:t>.3</w:t>
      </w:r>
      <w:r w:rsidRPr="00F8275B">
        <w:rPr>
          <w:lang w:val="es-ES"/>
        </w:rPr>
        <w:tab/>
        <w:t>Metaverso</w:t>
      </w:r>
      <w:bookmarkEnd w:id="70"/>
    </w:p>
    <w:p w14:paraId="6EDF0696" w14:textId="3CF393E7" w:rsidR="00CE6D77" w:rsidRPr="00F8275B" w:rsidRDefault="00CE6D77" w:rsidP="004E206B">
      <w:pPr>
        <w:spacing w:after="120"/>
        <w:rPr>
          <w:lang w:val="es-ES"/>
        </w:rPr>
      </w:pPr>
      <w:r w:rsidRPr="00F8275B">
        <w:rPr>
          <w:lang w:val="es-ES"/>
        </w:rPr>
        <w:t xml:space="preserve">El </w:t>
      </w:r>
      <w:hyperlink r:id="rId53" w:history="1">
        <w:r w:rsidRPr="00F8275B">
          <w:rPr>
            <w:rStyle w:val="Hyperlink"/>
            <w:lang w:val="es-ES"/>
          </w:rPr>
          <w:t>Grupo Temático del UIT-T sobre el metaverso (FG-MV)</w:t>
        </w:r>
      </w:hyperlink>
      <w:r w:rsidRPr="00F8275B">
        <w:rPr>
          <w:lang w:val="es-ES"/>
        </w:rPr>
        <w:t xml:space="preserve"> ha elaborado 37</w:t>
      </w:r>
      <w:r w:rsidR="00A043CB" w:rsidRPr="00F8275B">
        <w:rPr>
          <w:lang w:val="es-ES"/>
        </w:rPr>
        <w:t> </w:t>
      </w:r>
      <w:hyperlink r:id="rId54" w:history="1">
        <w:r w:rsidRPr="00F8275B">
          <w:rPr>
            <w:rStyle w:val="Hyperlink"/>
            <w:lang w:val="es-ES"/>
          </w:rPr>
          <w:t>productos</w:t>
        </w:r>
      </w:hyperlink>
      <w:r w:rsidRPr="00F8275B">
        <w:rPr>
          <w:lang w:val="es-ES"/>
        </w:rPr>
        <w:t xml:space="preserve"> hasta la fecha, entre ellos una definición del metaverso y una hoja de ruta para la normalización. Los productos también abordan la IA generativa en el metaverso, la interoperabilidad entre plataformas, la seguridad y la confianza, la eficiencia energética y la sostenibilidad, las aplicaciones del metaverso para las ciudades y los entornos industriales, la IoT, los gemelos digitales, las cuestiones éticas que deben tenerse en cuenta en la labor de normalización del metaverso y los aspectos pertinentes en materia de política y reglamentación.</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1F174D" w:rsidRPr="00F8275B" w14:paraId="5FB79762" w14:textId="77777777" w:rsidTr="004242A2">
        <w:trPr>
          <w:cantSplit/>
          <w:jc w:val="center"/>
        </w:trPr>
        <w:tc>
          <w:tcPr>
            <w:tcW w:w="9061" w:type="dxa"/>
          </w:tcPr>
          <w:p w14:paraId="35D17198" w14:textId="3C041E9D" w:rsidR="001F174D" w:rsidRPr="00F8275B" w:rsidRDefault="001F174D" w:rsidP="00242F5A">
            <w:pPr>
              <w:jc w:val="center"/>
              <w:rPr>
                <w:b/>
                <w:bCs/>
                <w:sz w:val="28"/>
                <w:szCs w:val="28"/>
                <w:lang w:val="es-ES"/>
              </w:rPr>
            </w:pPr>
            <w:r w:rsidRPr="00F8275B">
              <w:rPr>
                <w:b/>
                <w:bCs/>
                <w:sz w:val="28"/>
                <w:szCs w:val="28"/>
                <w:lang w:val="es-ES"/>
              </w:rPr>
              <w:t>Historia de impacto</w:t>
            </w:r>
          </w:p>
          <w:p w14:paraId="3EFFB03B" w14:textId="2CF7C681" w:rsidR="001F174D" w:rsidRPr="00F8275B" w:rsidRDefault="001F174D" w:rsidP="004E206B">
            <w:pPr>
              <w:pStyle w:val="Headingb"/>
              <w:rPr>
                <w:lang w:val="es-ES"/>
              </w:rPr>
            </w:pPr>
            <w:r w:rsidRPr="00F8275B">
              <w:rPr>
                <w:lang w:val="es-ES"/>
              </w:rPr>
              <w:t>Transición de Montenegro a IPv6</w:t>
            </w:r>
          </w:p>
          <w:p w14:paraId="3640487B" w14:textId="1E79F48F" w:rsidR="001F174D" w:rsidRPr="00F8275B" w:rsidRDefault="001F174D" w:rsidP="004E206B">
            <w:pPr>
              <w:rPr>
                <w:lang w:val="es-ES"/>
              </w:rPr>
            </w:pPr>
            <w:r w:rsidRPr="00F8275B">
              <w:rPr>
                <w:lang w:val="es-ES"/>
              </w:rPr>
              <w:t>La migración al último protocolo de Internet, IPv6, impulsa la economía digital, propicia una innovación más rápida y puede mejorar considerablemente la capacidad socioeconómica y la resiliencia. La inauguración por la Universidad de Montenegro de un nuevo laboratorio sobre iPv6 constituye una etapa fundamental en el proceso de aceleración de la transformación digital del país. La UIT proporcionó apoyo técnico para la actualización de Montenegro del I</w:t>
            </w:r>
            <w:r w:rsidR="00AB3242" w:rsidRPr="00F8275B">
              <w:rPr>
                <w:lang w:val="es-ES"/>
              </w:rPr>
              <w:t>Pv</w:t>
            </w:r>
            <w:r w:rsidRPr="00F8275B">
              <w:rPr>
                <w:lang w:val="es-ES"/>
              </w:rPr>
              <w:t>4 al I</w:t>
            </w:r>
            <w:r w:rsidR="00AB3242" w:rsidRPr="00F8275B">
              <w:rPr>
                <w:lang w:val="es-ES"/>
              </w:rPr>
              <w:t>pv6. El nuevo laboratorio sobre iPv6 tiene por objeto fomentar la innovación, desarrollar la capacidad digital y mejorar la infraestructura digital del país.</w:t>
            </w:r>
          </w:p>
          <w:p w14:paraId="5B296FEC" w14:textId="2BF91766" w:rsidR="001F174D" w:rsidRPr="00F8275B" w:rsidRDefault="00534F60" w:rsidP="004E206B">
            <w:pPr>
              <w:spacing w:after="120"/>
              <w:rPr>
                <w:lang w:val="es-ES"/>
              </w:rPr>
            </w:pPr>
            <w:hyperlink r:id="rId55" w:history="1">
              <w:r w:rsidR="00AB5621" w:rsidRPr="00F8275B">
                <w:rPr>
                  <w:rStyle w:val="Hyperlink"/>
                  <w:lang w:val="es-ES"/>
                </w:rPr>
                <w:t>Más información acerca del laboratorio sobre IPv6</w:t>
              </w:r>
            </w:hyperlink>
          </w:p>
        </w:tc>
      </w:tr>
    </w:tbl>
    <w:p w14:paraId="7D0C9775" w14:textId="684A6346" w:rsidR="00CE6D77" w:rsidRPr="00F8275B" w:rsidRDefault="00CE6D77" w:rsidP="00CE6D77">
      <w:pPr>
        <w:pStyle w:val="Heading2"/>
        <w:rPr>
          <w:lang w:val="es-ES"/>
        </w:rPr>
      </w:pPr>
      <w:bookmarkStart w:id="71" w:name="_Toc165024952"/>
      <w:bookmarkStart w:id="72" w:name="_Toc166580883"/>
      <w:r w:rsidRPr="00F8275B">
        <w:rPr>
          <w:lang w:val="es-ES"/>
        </w:rPr>
        <w:lastRenderedPageBreak/>
        <w:t>4.</w:t>
      </w:r>
      <w:r w:rsidR="00AB3242" w:rsidRPr="00F8275B">
        <w:rPr>
          <w:lang w:val="es-ES"/>
        </w:rPr>
        <w:t>3</w:t>
      </w:r>
      <w:r w:rsidRPr="00F8275B">
        <w:rPr>
          <w:lang w:val="es-ES"/>
        </w:rPr>
        <w:tab/>
        <w:t>Clima y medioambiente: Supervisión y reducción de las emisiones y los residuos electrónicos</w:t>
      </w:r>
      <w:bookmarkEnd w:id="71"/>
      <w:bookmarkEnd w:id="72"/>
    </w:p>
    <w:bookmarkEnd w:id="68"/>
    <w:p w14:paraId="671B6427" w14:textId="6888C1F3" w:rsidR="00CE6D77" w:rsidRPr="00F8275B" w:rsidRDefault="00CE6D77" w:rsidP="00CE6D77">
      <w:pPr>
        <w:rPr>
          <w:lang w:val="es-ES"/>
        </w:rPr>
      </w:pPr>
      <w:r w:rsidRPr="00F8275B">
        <w:rPr>
          <w:lang w:val="es-ES"/>
        </w:rPr>
        <w:t>Además de los resultados de la CMR-23 relacionados con el clima y el medioambiente señalados en la sección</w:t>
      </w:r>
      <w:r w:rsidR="00A043CB" w:rsidRPr="00F8275B">
        <w:rPr>
          <w:lang w:val="es-ES"/>
        </w:rPr>
        <w:t> </w:t>
      </w:r>
      <w:r w:rsidRPr="00F8275B">
        <w:rPr>
          <w:lang w:val="es-ES"/>
        </w:rPr>
        <w:t>2, la UIT está en primera línea de las iniciativas mundiales destinadas a construir economías digitales circulares, reducir los residuos electrónicos y las emisiones de gases de efecto invernadero, e impulsar a la industria digital a la vanguardia de la acción por el clima y el medioambiente.</w:t>
      </w:r>
    </w:p>
    <w:p w14:paraId="20DE27BA" w14:textId="77777777" w:rsidR="00CE6D77" w:rsidRPr="00F8275B" w:rsidRDefault="00CE6D77" w:rsidP="00CE6D77">
      <w:pPr>
        <w:rPr>
          <w:lang w:val="es-ES"/>
        </w:rPr>
      </w:pPr>
      <w:r w:rsidRPr="00F8275B">
        <w:rPr>
          <w:lang w:val="es-ES"/>
        </w:rPr>
        <w:t>El tema de la Acción Digital Verde en la COP28 hizo que los actores fundamentales de la industria asumieran compromisos para reducir las emisiones y crear un marco de supervisión mundial para toda la industria. Un proyecto en curso apoya la transformación digital en las ciudades y comunidades inteligentes por conducto de normas para la IoT, los gemelos digitales y la IA. Dada la creciente frecuencia y gravedad de los desastres relacionados con el clima, la UIT participa activamente en la iniciativa Alertas Tempranas para Todos del Secretario General de las Naciones Unidas.</w:t>
      </w:r>
    </w:p>
    <w:p w14:paraId="05A6D235" w14:textId="77777777" w:rsidR="00CE6D77" w:rsidRPr="00F8275B" w:rsidRDefault="00CE6D77" w:rsidP="00CE6D77">
      <w:pPr>
        <w:rPr>
          <w:lang w:val="es-ES"/>
        </w:rPr>
      </w:pPr>
      <w:r w:rsidRPr="00F8275B">
        <w:rPr>
          <w:lang w:val="es-ES"/>
        </w:rPr>
        <w:t>Por conducto de los proyectos y las actividades en materia de economía circular y cambio climático llevados a cabo en el UIT-D, se han logrado varios hitos clave entre marzo de 2023 y marzo de 2024. Entre otros, cabe destacar los siguientes efectos:</w:t>
      </w:r>
    </w:p>
    <w:p w14:paraId="6BDAE13D" w14:textId="02129504" w:rsidR="00CE6D77" w:rsidRPr="00F8275B" w:rsidRDefault="00CE6D77" w:rsidP="00CE6D77">
      <w:pPr>
        <w:pStyle w:val="enumlev1"/>
        <w:rPr>
          <w:lang w:val="es-ES"/>
        </w:rPr>
      </w:pPr>
      <w:r w:rsidRPr="00F8275B">
        <w:rPr>
          <w:lang w:val="es-ES"/>
        </w:rPr>
        <w:t>•</w:t>
      </w:r>
      <w:r w:rsidRPr="00F8275B">
        <w:rPr>
          <w:lang w:val="es-ES"/>
        </w:rPr>
        <w:tab/>
        <w:t>El 20 de marzo de 2024 se lanzó la cuarta edición del Global E-waste Monitor. De los 81</w:t>
      </w:r>
      <w:r w:rsidR="00A043CB" w:rsidRPr="00F8275B">
        <w:rPr>
          <w:lang w:val="es-ES"/>
        </w:rPr>
        <w:t> </w:t>
      </w:r>
      <w:r w:rsidRPr="00F8275B">
        <w:rPr>
          <w:lang w:val="es-ES"/>
        </w:rPr>
        <w:t>países cubiertos por políticas, leyes o normas nacionales en materia de residuos electrónicos, 67</w:t>
      </w:r>
      <w:r w:rsidR="00A043CB" w:rsidRPr="00F8275B">
        <w:rPr>
          <w:lang w:val="es-ES"/>
        </w:rPr>
        <w:t> </w:t>
      </w:r>
      <w:r w:rsidRPr="00F8275B">
        <w:rPr>
          <w:lang w:val="es-ES"/>
        </w:rPr>
        <w:t>aplicaban el principio de Responsabilidad Extendida del Productor, 46</w:t>
      </w:r>
      <w:r w:rsidR="00A043CB" w:rsidRPr="00F8275B">
        <w:rPr>
          <w:lang w:val="es-ES"/>
        </w:rPr>
        <w:t> </w:t>
      </w:r>
      <w:r w:rsidRPr="00F8275B">
        <w:rPr>
          <w:lang w:val="es-ES"/>
        </w:rPr>
        <w:t>habían consagrado metas nacionales en materia de recogida de residuos electrónicos en sus normas y 36 habían establecido metas sobre el reciclaje de dichos residuos a nivel nacional. En las 12</w:t>
      </w:r>
      <w:r w:rsidR="00A043CB" w:rsidRPr="00F8275B">
        <w:rPr>
          <w:lang w:val="es-ES"/>
        </w:rPr>
        <w:t> </w:t>
      </w:r>
      <w:r w:rsidRPr="00F8275B">
        <w:rPr>
          <w:lang w:val="es-ES"/>
        </w:rPr>
        <w:t>primeras horas de su lanzamiento, se le dio una amplia cobertura en los medios, en particular mediante 955</w:t>
      </w:r>
      <w:r w:rsidR="00A043CB" w:rsidRPr="00F8275B">
        <w:rPr>
          <w:lang w:val="es-ES"/>
        </w:rPr>
        <w:t> </w:t>
      </w:r>
      <w:r w:rsidRPr="00F8275B">
        <w:rPr>
          <w:lang w:val="es-ES"/>
        </w:rPr>
        <w:t>artículos publicados en 813</w:t>
      </w:r>
      <w:r w:rsidR="00A043CB" w:rsidRPr="00F8275B">
        <w:rPr>
          <w:lang w:val="es-ES"/>
        </w:rPr>
        <w:t> </w:t>
      </w:r>
      <w:r w:rsidRPr="00F8275B">
        <w:rPr>
          <w:lang w:val="es-ES"/>
        </w:rPr>
        <w:t>sitios de noticias diferentes en 27</w:t>
      </w:r>
      <w:r w:rsidR="00A043CB" w:rsidRPr="00F8275B">
        <w:rPr>
          <w:lang w:val="es-ES"/>
        </w:rPr>
        <w:t> </w:t>
      </w:r>
      <w:r w:rsidRPr="00F8275B">
        <w:rPr>
          <w:lang w:val="es-ES"/>
        </w:rPr>
        <w:t>idiomas y en 65</w:t>
      </w:r>
      <w:r w:rsidR="00A043CB" w:rsidRPr="00F8275B">
        <w:rPr>
          <w:lang w:val="es-ES"/>
        </w:rPr>
        <w:t> </w:t>
      </w:r>
      <w:r w:rsidRPr="00F8275B">
        <w:rPr>
          <w:lang w:val="es-ES"/>
        </w:rPr>
        <w:t>países. Para tal fin, se estima que las posibles impresiones se cifraron en 3</w:t>
      </w:r>
      <w:r w:rsidR="00A043CB" w:rsidRPr="00F8275B">
        <w:rPr>
          <w:lang w:val="es-ES"/>
        </w:rPr>
        <w:t> </w:t>
      </w:r>
      <w:r w:rsidRPr="00F8275B">
        <w:rPr>
          <w:lang w:val="es-ES"/>
        </w:rPr>
        <w:t>300</w:t>
      </w:r>
      <w:r w:rsidR="00A043CB" w:rsidRPr="00F8275B">
        <w:rPr>
          <w:lang w:val="es-ES"/>
        </w:rPr>
        <w:t> </w:t>
      </w:r>
      <w:r w:rsidRPr="00F8275B">
        <w:rPr>
          <w:lang w:val="es-ES"/>
        </w:rPr>
        <w:t xml:space="preserve">millones. Algunas de las noticias informativas sobre el Monitor se publicaron en AP, Reuters, Deutsche Presse Agentur, </w:t>
      </w:r>
      <w:r w:rsidR="00D14E78" w:rsidRPr="00F8275B">
        <w:rPr>
          <w:lang w:val="es-ES"/>
        </w:rPr>
        <w:t xml:space="preserve">Newswire, CNN, </w:t>
      </w:r>
      <w:r w:rsidRPr="00195870">
        <w:rPr>
          <w:i/>
          <w:iCs/>
          <w:lang w:val="es-ES"/>
        </w:rPr>
        <w:t>Daily Mail</w:t>
      </w:r>
      <w:r w:rsidRPr="00F8275B">
        <w:rPr>
          <w:lang w:val="es-ES"/>
        </w:rPr>
        <w:t xml:space="preserve">, </w:t>
      </w:r>
      <w:r w:rsidRPr="00195870">
        <w:rPr>
          <w:i/>
          <w:iCs/>
          <w:lang w:val="es-ES"/>
        </w:rPr>
        <w:t>Die Welt</w:t>
      </w:r>
      <w:r w:rsidRPr="00F8275B">
        <w:rPr>
          <w:lang w:val="es-ES"/>
        </w:rPr>
        <w:t>,</w:t>
      </w:r>
      <w:r w:rsidR="00D14E78" w:rsidRPr="00F8275B">
        <w:rPr>
          <w:lang w:val="es-ES"/>
        </w:rPr>
        <w:t xml:space="preserve"> </w:t>
      </w:r>
      <w:r w:rsidR="00D14E78" w:rsidRPr="00195870">
        <w:rPr>
          <w:i/>
          <w:iCs/>
          <w:lang w:val="es-ES"/>
        </w:rPr>
        <w:t>Le Monde</w:t>
      </w:r>
      <w:r w:rsidR="00D14E78" w:rsidRPr="00F8275B">
        <w:rPr>
          <w:lang w:val="es-ES"/>
        </w:rPr>
        <w:t>,</w:t>
      </w:r>
      <w:r w:rsidRPr="00F8275B">
        <w:rPr>
          <w:lang w:val="es-ES"/>
        </w:rPr>
        <w:t xml:space="preserve"> </w:t>
      </w:r>
      <w:r w:rsidRPr="00195870">
        <w:rPr>
          <w:i/>
          <w:iCs/>
          <w:lang w:val="es-ES"/>
        </w:rPr>
        <w:t>Le Temps</w:t>
      </w:r>
      <w:r w:rsidR="004242A2">
        <w:rPr>
          <w:lang w:val="es-ES"/>
        </w:rPr>
        <w:t>,</w:t>
      </w:r>
      <w:r w:rsidRPr="00F8275B">
        <w:rPr>
          <w:lang w:val="es-ES"/>
        </w:rPr>
        <w:t xml:space="preserve"> etc.</w:t>
      </w:r>
    </w:p>
    <w:p w14:paraId="46FFE4E2" w14:textId="4F8AE968" w:rsidR="00CE6D77" w:rsidRPr="00F8275B" w:rsidRDefault="00CE6D77" w:rsidP="00CE6D77">
      <w:pPr>
        <w:pStyle w:val="enumlev1"/>
        <w:rPr>
          <w:lang w:val="es-ES"/>
        </w:rPr>
      </w:pPr>
      <w:r w:rsidRPr="00F8275B">
        <w:rPr>
          <w:lang w:val="es-ES"/>
        </w:rPr>
        <w:t>•</w:t>
      </w:r>
      <w:r w:rsidRPr="00F8275B">
        <w:rPr>
          <w:lang w:val="es-ES"/>
        </w:rPr>
        <w:tab/>
        <w:t>La UIT y la World Benchmarking Alliance fortalecieron la supervisión de las emisiones de GEI, la utilización energética y los compromisos climáticos de 200</w:t>
      </w:r>
      <w:r w:rsidR="00A043CB" w:rsidRPr="00F8275B">
        <w:rPr>
          <w:lang w:val="es-ES"/>
        </w:rPr>
        <w:t> </w:t>
      </w:r>
      <w:r w:rsidRPr="00F8275B">
        <w:rPr>
          <w:lang w:val="es-ES"/>
        </w:rPr>
        <w:t>empresas tecnológicas líderes mediante la publicación de un informe anual de evaluación de la industria sobre las empresas digitales ecológicas de 2023 y la supervisión de las emisiones y los compromisos con el clima.</w:t>
      </w:r>
    </w:p>
    <w:p w14:paraId="61FC9887" w14:textId="34CB4557" w:rsidR="00CE6D77" w:rsidRPr="00F8275B" w:rsidRDefault="00CE6D77" w:rsidP="00CE6D77">
      <w:pPr>
        <w:pStyle w:val="enumlev1"/>
        <w:rPr>
          <w:lang w:val="es-ES"/>
        </w:rPr>
      </w:pPr>
      <w:r w:rsidRPr="00F8275B">
        <w:rPr>
          <w:lang w:val="es-ES"/>
        </w:rPr>
        <w:t>•</w:t>
      </w:r>
      <w:r w:rsidRPr="00F8275B">
        <w:rPr>
          <w:lang w:val="es-ES"/>
        </w:rPr>
        <w:tab/>
        <w:t>En marzo de 2024 se publicó un informe preparado por la UIT y el Banco Mundial, titulado "Measuring the Emission &amp; Energy Footprint of the ICT Sector". En él se proporcionan datos exhaustivos sobre las emisiones de gases de efecto invernadero y el consumo de energía para el sector de las TIC</w:t>
      </w:r>
      <w:r w:rsidR="00AB3242" w:rsidRPr="00F8275B">
        <w:rPr>
          <w:lang w:val="es-ES"/>
        </w:rPr>
        <w:t xml:space="preserve"> de 30</w:t>
      </w:r>
      <w:r w:rsidR="00AB5621" w:rsidRPr="00F8275B">
        <w:rPr>
          <w:lang w:val="es-ES"/>
        </w:rPr>
        <w:t> </w:t>
      </w:r>
      <w:r w:rsidR="00AB3242" w:rsidRPr="00F8275B">
        <w:rPr>
          <w:lang w:val="es-ES"/>
        </w:rPr>
        <w:t>países con grandes cantidades de emisiones, y se presentan estudios de casos de varios países que comunican sus emisiones de TIC y su utilización energética, a fin de ahondar en los enfoques reglamentarios y las repercusiones políticas dimanantes de dichos datos.</w:t>
      </w:r>
    </w:p>
    <w:p w14:paraId="3274587F" w14:textId="7926A7F0" w:rsidR="00CE6D77" w:rsidRPr="00F8275B" w:rsidRDefault="00CE6D77" w:rsidP="008E1F00">
      <w:pPr>
        <w:pStyle w:val="enumlev1"/>
        <w:keepNext/>
        <w:keepLines/>
        <w:rPr>
          <w:lang w:val="es-ES"/>
        </w:rPr>
      </w:pPr>
      <w:r w:rsidRPr="00F8275B">
        <w:rPr>
          <w:lang w:val="es-ES"/>
        </w:rPr>
        <w:lastRenderedPageBreak/>
        <w:t>•</w:t>
      </w:r>
      <w:r w:rsidRPr="00F8275B">
        <w:rPr>
          <w:lang w:val="es-ES"/>
        </w:rPr>
        <w:tab/>
        <w:t xml:space="preserve">En la esfera de la reglamentación de los residuos electrónicos, la </w:t>
      </w:r>
      <w:r w:rsidR="00D14E78" w:rsidRPr="00F8275B">
        <w:rPr>
          <w:lang w:val="es-ES"/>
        </w:rPr>
        <w:t>Oficina de Desarrollo de las Telecomunicaciones (</w:t>
      </w:r>
      <w:r w:rsidRPr="00F8275B">
        <w:rPr>
          <w:lang w:val="es-ES"/>
        </w:rPr>
        <w:t>BDT</w:t>
      </w:r>
      <w:r w:rsidR="00D14E78" w:rsidRPr="00F8275B">
        <w:rPr>
          <w:lang w:val="es-ES"/>
        </w:rPr>
        <w:t>)</w:t>
      </w:r>
      <w:r w:rsidRPr="00F8275B">
        <w:rPr>
          <w:lang w:val="es-ES"/>
        </w:rPr>
        <w:t xml:space="preserve"> apoyó a </w:t>
      </w:r>
      <w:r w:rsidR="00D14E78" w:rsidRPr="00F8275B">
        <w:rPr>
          <w:lang w:val="es-ES"/>
        </w:rPr>
        <w:t>varios</w:t>
      </w:r>
      <w:r w:rsidRPr="00F8275B">
        <w:rPr>
          <w:lang w:val="es-ES"/>
        </w:rPr>
        <w:t xml:space="preserve"> países, entre ellos Malawi, Botswana, Níger, Uganda, Zam</w:t>
      </w:r>
      <w:r w:rsidR="00A043CB" w:rsidRPr="00F8275B">
        <w:rPr>
          <w:lang w:val="es-ES"/>
        </w:rPr>
        <w:t>b</w:t>
      </w:r>
      <w:r w:rsidRPr="00F8275B">
        <w:rPr>
          <w:lang w:val="es-ES"/>
        </w:rPr>
        <w:t>ia, y República Dominicana. A raíz de un proyecto llevado a cabo por la UIT y el Programa de las Naciones Unidas para el Medio</w:t>
      </w:r>
      <w:r w:rsidR="00A24614" w:rsidRPr="00F8275B">
        <w:rPr>
          <w:lang w:val="es-ES"/>
        </w:rPr>
        <w:t>a</w:t>
      </w:r>
      <w:r w:rsidRPr="00F8275B">
        <w:rPr>
          <w:lang w:val="es-ES"/>
        </w:rPr>
        <w:t>mbiente, el Presidente de la República Dominicana emitió un Decreto con normas para la gestión integral de los residuos electrónicos el 25 de julio de 2023.</w:t>
      </w:r>
    </w:p>
    <w:p w14:paraId="3473D7BB" w14:textId="4431A1F1" w:rsidR="00CE6D77" w:rsidRPr="00F8275B" w:rsidRDefault="00CE6D77" w:rsidP="00CE6D77">
      <w:pPr>
        <w:pStyle w:val="enumlev1"/>
        <w:rPr>
          <w:lang w:val="es-ES"/>
        </w:rPr>
      </w:pPr>
      <w:r w:rsidRPr="00F8275B">
        <w:rPr>
          <w:lang w:val="es-ES"/>
        </w:rPr>
        <w:t>•</w:t>
      </w:r>
      <w:r w:rsidRPr="00F8275B">
        <w:rPr>
          <w:lang w:val="es-ES"/>
        </w:rPr>
        <w:tab/>
        <w:t xml:space="preserve">Mediante la Academia de la UIT, la Unión puso a disposición tres actividades de aprendizaje </w:t>
      </w:r>
      <w:r w:rsidR="00AB3242" w:rsidRPr="00F8275B">
        <w:rPr>
          <w:lang w:val="es-ES"/>
        </w:rPr>
        <w:t>relacionadas con</w:t>
      </w:r>
      <w:r w:rsidRPr="00F8275B">
        <w:rPr>
          <w:lang w:val="es-ES"/>
        </w:rPr>
        <w:t xml:space="preserve"> la política en materia de residuos electrónicos, las no</w:t>
      </w:r>
      <w:r w:rsidR="00AB3242" w:rsidRPr="00F8275B">
        <w:rPr>
          <w:lang w:val="es-ES"/>
        </w:rPr>
        <w:t>rmas y la economía circular, dos actividades de aprendizaje relacionadas con la medición de los datos sobre residuos electrónicos y las estadísticas, así como cursos sobre la ecologización de los centros de datos, y el emprendimiento ecológico y digital de las mujeres.</w:t>
      </w:r>
    </w:p>
    <w:p w14:paraId="4C441036" w14:textId="59EC5C50" w:rsidR="00A55B05" w:rsidRPr="00F8275B" w:rsidRDefault="001069DD" w:rsidP="001069DD">
      <w:pPr>
        <w:pStyle w:val="enumlev1"/>
        <w:rPr>
          <w:lang w:val="es-ES"/>
        </w:rPr>
      </w:pPr>
      <w:r w:rsidRPr="00F8275B">
        <w:rPr>
          <w:lang w:val="es-ES"/>
        </w:rPr>
        <w:t>•</w:t>
      </w:r>
      <w:r w:rsidRPr="00F8275B">
        <w:rPr>
          <w:lang w:val="es-ES"/>
        </w:rPr>
        <w:tab/>
      </w:r>
      <w:r w:rsidR="00AB3242" w:rsidRPr="00F8275B">
        <w:rPr>
          <w:lang w:val="es-ES"/>
        </w:rPr>
        <w:t xml:space="preserve">En el marco del proyecto GreenGovStack, se publicaron las guías siguientes: </w:t>
      </w:r>
      <w:r w:rsidRPr="00F8275B">
        <w:rPr>
          <w:lang w:val="es-ES"/>
        </w:rPr>
        <w:t>"</w:t>
      </w:r>
      <w:hyperlink r:id="rId56" w:history="1">
        <w:r w:rsidR="00AB3242" w:rsidRPr="00F8275B">
          <w:rPr>
            <w:rStyle w:val="Hyperlink"/>
            <w:lang w:val="es-ES"/>
          </w:rPr>
          <w:t>Centros de datos ecológicos: hacia una transformación digital sostenible – Guía del usuario</w:t>
        </w:r>
      </w:hyperlink>
      <w:r w:rsidRPr="00F8275B">
        <w:rPr>
          <w:lang w:val="es-ES"/>
        </w:rPr>
        <w:t>"</w:t>
      </w:r>
      <w:r w:rsidR="00AB3242" w:rsidRPr="00F8275B">
        <w:rPr>
          <w:lang w:val="es-ES"/>
        </w:rPr>
        <w:t xml:space="preserve"> y la </w:t>
      </w:r>
      <w:r w:rsidRPr="00F8275B">
        <w:rPr>
          <w:lang w:val="es-ES"/>
        </w:rPr>
        <w:t>"</w:t>
      </w:r>
      <w:hyperlink r:id="rId57" w:history="1">
        <w:r w:rsidR="00AB3242" w:rsidRPr="00F8275B">
          <w:rPr>
            <w:rStyle w:val="Hyperlink"/>
            <w:lang w:val="es-ES"/>
          </w:rPr>
          <w:t>Guía de la adquisición pública circular y sostenible para equipos de TIC</w:t>
        </w:r>
      </w:hyperlink>
      <w:r w:rsidRPr="00F8275B">
        <w:rPr>
          <w:lang w:val="es-ES"/>
        </w:rPr>
        <w:t>"</w:t>
      </w:r>
      <w:r w:rsidR="00156F08" w:rsidRPr="00F8275B">
        <w:rPr>
          <w:lang w:val="es-ES"/>
        </w:rPr>
        <w:t xml:space="preserve">; </w:t>
      </w:r>
      <w:r w:rsidR="00AB3242" w:rsidRPr="00F8275B">
        <w:rPr>
          <w:lang w:val="es-ES"/>
        </w:rPr>
        <w:t>y se pusieron en marcha cursos de aprendizaje electrónico.</w:t>
      </w:r>
    </w:p>
    <w:p w14:paraId="5035AD6D" w14:textId="4C64E5E5" w:rsidR="00AB3242" w:rsidRPr="00F8275B" w:rsidRDefault="001069DD" w:rsidP="001069DD">
      <w:pPr>
        <w:pStyle w:val="enumlev1"/>
        <w:rPr>
          <w:lang w:val="es-ES"/>
        </w:rPr>
      </w:pPr>
      <w:r w:rsidRPr="00F8275B">
        <w:rPr>
          <w:lang w:val="es-ES"/>
        </w:rPr>
        <w:t>•</w:t>
      </w:r>
      <w:r w:rsidRPr="00F8275B">
        <w:rPr>
          <w:lang w:val="es-ES"/>
        </w:rPr>
        <w:tab/>
      </w:r>
      <w:r w:rsidR="00156F08" w:rsidRPr="00F8275B">
        <w:rPr>
          <w:lang w:val="es-ES"/>
        </w:rPr>
        <w:t>La UIT ha reforzado la capacidad de las oficinas nacionales de estadística, los organismos reguladores y ministerios de las TIC, y los ministerios del medio ambiente en lo que atañe a la impartición de formación a los seis Estados Miembros de la Organización de Comunicaciones de África Oriental</w:t>
      </w:r>
      <w:r w:rsidR="00AB3242" w:rsidRPr="00F8275B">
        <w:rPr>
          <w:lang w:val="es-ES"/>
        </w:rPr>
        <w:t xml:space="preserve"> </w:t>
      </w:r>
      <w:r w:rsidR="00156F08" w:rsidRPr="00F8275B">
        <w:rPr>
          <w:lang w:val="es-ES"/>
        </w:rPr>
        <w:t>y ha elaborado un estudio titulado</w:t>
      </w:r>
      <w:r w:rsidR="00AB3242" w:rsidRPr="00F8275B">
        <w:rPr>
          <w:lang w:val="es-ES"/>
        </w:rPr>
        <w:t xml:space="preserve"> </w:t>
      </w:r>
      <w:r w:rsidRPr="00F8275B">
        <w:rPr>
          <w:lang w:val="es-ES"/>
        </w:rPr>
        <w:t>"</w:t>
      </w:r>
      <w:hyperlink r:id="rId58" w:history="1">
        <w:r w:rsidR="00156F08" w:rsidRPr="00F8275B">
          <w:rPr>
            <w:rStyle w:val="Hyperlink"/>
            <w:lang w:val="es-ES"/>
          </w:rPr>
          <w:t>Hacia la armonización de la recopilación de datos</w:t>
        </w:r>
        <w:r w:rsidR="00AB3242" w:rsidRPr="00F8275B">
          <w:rPr>
            <w:rStyle w:val="Hyperlink"/>
            <w:lang w:val="es-ES"/>
          </w:rPr>
          <w:t xml:space="preserve"> – </w:t>
        </w:r>
        <w:r w:rsidR="00156F08" w:rsidRPr="00F8275B">
          <w:rPr>
            <w:rStyle w:val="Hyperlink"/>
            <w:lang w:val="es-ES"/>
          </w:rPr>
          <w:t>Estudio de referencia para los residuos electrónicos en África Oriental</w:t>
        </w:r>
      </w:hyperlink>
      <w:r w:rsidRPr="00F8275B">
        <w:rPr>
          <w:lang w:val="es-ES"/>
        </w:rPr>
        <w:t>"</w:t>
      </w:r>
      <w:r w:rsidR="00AB3242" w:rsidRPr="00F8275B">
        <w:rPr>
          <w:lang w:val="es-ES"/>
        </w:rPr>
        <w:t xml:space="preserve">. </w:t>
      </w:r>
      <w:r w:rsidR="00156F08" w:rsidRPr="00F8275B">
        <w:rPr>
          <w:lang w:val="es-ES"/>
        </w:rPr>
        <w:t xml:space="preserve">Asimismo, a nivel regional, la UIT y sus asociados pusieron en marcha el </w:t>
      </w:r>
      <w:hyperlink r:id="rId59" w:history="1">
        <w:r w:rsidR="00156F08" w:rsidRPr="00F8275B">
          <w:rPr>
            <w:rStyle w:val="Hyperlink"/>
            <w:lang w:val="es-ES"/>
          </w:rPr>
          <w:t>sistema de vigilancia regional de los residuos electrónicos para los Balcanes occidentales</w:t>
        </w:r>
      </w:hyperlink>
      <w:r w:rsidR="00AB3242" w:rsidRPr="00F8275B">
        <w:rPr>
          <w:lang w:val="es-ES"/>
        </w:rPr>
        <w:t xml:space="preserve">, </w:t>
      </w:r>
      <w:r w:rsidR="00156F08" w:rsidRPr="00F8275B">
        <w:rPr>
          <w:lang w:val="es-ES"/>
        </w:rPr>
        <w:t>así como los sistemas nacionales de vigilancia de residuos electrónicos para Kazajstán, Namibia y</w:t>
      </w:r>
      <w:r w:rsidR="00AB3242" w:rsidRPr="00F8275B">
        <w:rPr>
          <w:lang w:val="es-ES"/>
        </w:rPr>
        <w:t xml:space="preserve"> Botswana.</w:t>
      </w:r>
    </w:p>
    <w:p w14:paraId="5B27E15F" w14:textId="37F69CBC" w:rsidR="00CE6D77" w:rsidRPr="00F8275B" w:rsidRDefault="00CE6D77" w:rsidP="00CE6D77">
      <w:pPr>
        <w:rPr>
          <w:lang w:val="es-ES"/>
        </w:rPr>
      </w:pPr>
      <w:r w:rsidRPr="00F8275B">
        <w:rPr>
          <w:lang w:val="es-ES"/>
        </w:rPr>
        <w:t>En el informe de la BDT al Grupo Asesor de Desarrollo de las Telecomunicaciones (GADT)</w:t>
      </w:r>
      <w:r w:rsidR="00D14E78" w:rsidRPr="00F8275B">
        <w:rPr>
          <w:lang w:val="es-ES"/>
        </w:rPr>
        <w:t xml:space="preserve"> de la UIT</w:t>
      </w:r>
      <w:r w:rsidRPr="00F8275B">
        <w:rPr>
          <w:lang w:val="es-ES"/>
        </w:rPr>
        <w:t xml:space="preserve"> se ofrece información adicional sobre las actividades y los resultados acerca de lo siguiente:</w:t>
      </w:r>
    </w:p>
    <w:p w14:paraId="23FDDB72" w14:textId="77777777" w:rsidR="00CE6D77" w:rsidRPr="00F8275B" w:rsidRDefault="00CE6D77" w:rsidP="00CE6D77">
      <w:pPr>
        <w:pStyle w:val="enumlev1"/>
        <w:rPr>
          <w:b/>
          <w:bCs/>
          <w:lang w:val="es-ES"/>
        </w:rPr>
      </w:pPr>
      <w:r w:rsidRPr="00F8275B">
        <w:rPr>
          <w:lang w:val="es-ES"/>
        </w:rPr>
        <w:t>•</w:t>
      </w:r>
      <w:r w:rsidRPr="00F8275B">
        <w:rPr>
          <w:lang w:val="es-ES"/>
        </w:rPr>
        <w:tab/>
      </w:r>
      <w:r w:rsidRPr="00F8275B">
        <w:rPr>
          <w:b/>
          <w:bCs/>
          <w:lang w:val="es-ES"/>
        </w:rPr>
        <w:t>Creación de economías circulares sobre residuos electrónicos a escala internacional.</w:t>
      </w:r>
    </w:p>
    <w:p w14:paraId="5CD86766" w14:textId="77777777" w:rsidR="00CE6D77" w:rsidRPr="00F8275B" w:rsidRDefault="00CE6D77" w:rsidP="00CE6D77">
      <w:pPr>
        <w:pStyle w:val="enumlev1"/>
        <w:rPr>
          <w:b/>
          <w:bCs/>
          <w:lang w:val="es-ES"/>
        </w:rPr>
      </w:pPr>
      <w:r w:rsidRPr="00F8275B">
        <w:rPr>
          <w:lang w:val="es-ES"/>
        </w:rPr>
        <w:t>•</w:t>
      </w:r>
      <w:r w:rsidRPr="00F8275B">
        <w:rPr>
          <w:lang w:val="es-ES"/>
        </w:rPr>
        <w:tab/>
      </w:r>
      <w:r w:rsidRPr="00F8275B">
        <w:rPr>
          <w:b/>
          <w:bCs/>
          <w:lang w:val="es-ES"/>
        </w:rPr>
        <w:t>Cambio climático.</w:t>
      </w:r>
    </w:p>
    <w:p w14:paraId="75039CBA" w14:textId="77777777" w:rsidR="00CE6D77" w:rsidRPr="00F8275B" w:rsidRDefault="00CE6D77" w:rsidP="00CE6D77">
      <w:pPr>
        <w:pStyle w:val="enumlev1"/>
        <w:rPr>
          <w:b/>
          <w:bCs/>
          <w:lang w:val="es-ES"/>
        </w:rPr>
      </w:pPr>
      <w:r w:rsidRPr="00F8275B">
        <w:rPr>
          <w:lang w:val="es-ES"/>
        </w:rPr>
        <w:t>•</w:t>
      </w:r>
      <w:r w:rsidRPr="00F8275B">
        <w:rPr>
          <w:lang w:val="es-ES"/>
        </w:rPr>
        <w:tab/>
      </w:r>
      <w:r w:rsidRPr="00F8275B">
        <w:rPr>
          <w:b/>
          <w:bCs/>
          <w:lang w:val="es-ES"/>
        </w:rPr>
        <w:t>TIC: reducción del riesgo, mejora de las medidas de respuesta frente a situaciones de crisis, alertas tempranas y telecomunicaciones de emergencia.</w:t>
      </w:r>
    </w:p>
    <w:p w14:paraId="0AE79E6F" w14:textId="593759F4" w:rsidR="00D14E78" w:rsidRPr="00F8275B" w:rsidRDefault="00D14E78" w:rsidP="00CE6D77">
      <w:pPr>
        <w:rPr>
          <w:lang w:val="es-ES"/>
        </w:rPr>
      </w:pPr>
      <w:bookmarkStart w:id="73" w:name="_Toc37943340"/>
      <w:bookmarkStart w:id="74" w:name="_Toc37943341"/>
      <w:bookmarkStart w:id="75" w:name="_Toc37943342"/>
      <w:bookmarkStart w:id="76" w:name="_Toc37943343"/>
      <w:bookmarkStart w:id="77" w:name="_Toc37860460"/>
      <w:bookmarkStart w:id="78" w:name="_Toc37861221"/>
      <w:bookmarkStart w:id="79" w:name="_Toc37943344"/>
      <w:bookmarkStart w:id="80" w:name="Section_3_1_2"/>
      <w:bookmarkStart w:id="81" w:name="Section_1_6"/>
      <w:bookmarkEnd w:id="73"/>
      <w:bookmarkEnd w:id="74"/>
      <w:bookmarkEnd w:id="75"/>
      <w:bookmarkEnd w:id="76"/>
      <w:r w:rsidRPr="00F8275B">
        <w:rPr>
          <w:lang w:val="es-ES"/>
        </w:rPr>
        <w:t xml:space="preserve">Esta información también se encuentra disponible en la página web sobre la </w:t>
      </w:r>
      <w:hyperlink r:id="rId60" w:history="1">
        <w:r w:rsidRPr="00195870">
          <w:rPr>
            <w:rStyle w:val="Hyperlink"/>
            <w:lang w:val="es-ES"/>
          </w:rPr>
          <w:t>Creación de una economía circular para los residuos electrónicos y la ecologización de la transformación digital</w:t>
        </w:r>
      </w:hyperlink>
      <w:r w:rsidRPr="00F8275B">
        <w:rPr>
          <w:lang w:val="es-ES"/>
        </w:rPr>
        <w:t>.</w:t>
      </w:r>
    </w:p>
    <w:p w14:paraId="26A08242" w14:textId="3FA8D3A0" w:rsidR="00CE6D77" w:rsidRPr="00F8275B" w:rsidRDefault="00CE6D77" w:rsidP="00CE6D77">
      <w:pPr>
        <w:rPr>
          <w:u w:val="single"/>
          <w:lang w:val="es-ES"/>
        </w:rPr>
      </w:pPr>
      <w:r w:rsidRPr="00F8275B">
        <w:rPr>
          <w:u w:val="single"/>
          <w:lang w:val="es-ES"/>
        </w:rPr>
        <w:t>Normas para la sostenibilidad ambiental</w:t>
      </w:r>
    </w:p>
    <w:p w14:paraId="76B1ED06" w14:textId="77777777" w:rsidR="00CE6D77" w:rsidRPr="00F8275B" w:rsidRDefault="00CE6D77" w:rsidP="00CE6D77">
      <w:pPr>
        <w:rPr>
          <w:bCs/>
          <w:lang w:val="es-ES"/>
        </w:rPr>
      </w:pPr>
      <w:r w:rsidRPr="00F8275B">
        <w:rPr>
          <w:lang w:val="es-ES"/>
        </w:rPr>
        <w:t>Las normas de la UIT abordan tres esferas clave de la sostenibilidad ambiental: la medición, la eficiencia energética y la economía circular.</w:t>
      </w:r>
    </w:p>
    <w:p w14:paraId="22DEF139" w14:textId="6699B346" w:rsidR="00CE6D77" w:rsidRPr="00F8275B" w:rsidRDefault="00CE6D77" w:rsidP="00CE6D77">
      <w:pPr>
        <w:rPr>
          <w:lang w:val="es-ES"/>
        </w:rPr>
      </w:pPr>
      <w:r w:rsidRPr="00F8275B">
        <w:rPr>
          <w:lang w:val="es-ES"/>
        </w:rPr>
        <w:t>Las normas de la UIT proporcionan herramientas para supervisar los avances hacia las emisiones netas cero, tanto para las propias tecnologías digitales como para su contribución a la reducción de emisiones en otras industrias.</w:t>
      </w:r>
      <w:r w:rsidR="007905BE" w:rsidRPr="00F8275B">
        <w:rPr>
          <w:lang w:val="es-ES"/>
        </w:rPr>
        <w:t xml:space="preserve"> Por ejemplo, se está llevando a cabo una labor importante sobre las repercusiones de las TIC en la biodiversidad.</w:t>
      </w:r>
    </w:p>
    <w:p w14:paraId="5DD8DCDD" w14:textId="515A6074" w:rsidR="00CE6D77" w:rsidRPr="00F8275B" w:rsidRDefault="00CE6D77" w:rsidP="00CE6D77">
      <w:pPr>
        <w:rPr>
          <w:lang w:val="es-ES"/>
        </w:rPr>
      </w:pPr>
      <w:r w:rsidRPr="00F8275B">
        <w:rPr>
          <w:lang w:val="es-ES"/>
        </w:rPr>
        <w:lastRenderedPageBreak/>
        <w:t>Las normas de la UIT definen la manera en que los macrodatos y la IA pueden facilitar el control inteligente de la energía de manera que se dé prioridad a las fuentes de energía renovables y baja en carbono. Las normas de la UIT también apoyan la introducción de nuevas soluciones de refrigeración de los centros de datos y proporcionan las mejores prácticas para los centros de datos ecológicos.</w:t>
      </w:r>
      <w:r w:rsidR="007905BE" w:rsidRPr="00F8275B">
        <w:rPr>
          <w:lang w:val="es-ES"/>
        </w:rPr>
        <w:t xml:space="preserve"> Las normas de la UIT </w:t>
      </w:r>
      <w:r w:rsidR="00A55B05" w:rsidRPr="00F8275B">
        <w:rPr>
          <w:lang w:val="es-ES"/>
        </w:rPr>
        <w:t>también</w:t>
      </w:r>
      <w:r w:rsidR="007905BE" w:rsidRPr="00F8275B">
        <w:rPr>
          <w:lang w:val="es-ES"/>
        </w:rPr>
        <w:t xml:space="preserve"> están facilita</w:t>
      </w:r>
      <w:r w:rsidR="00AA2CC7" w:rsidRPr="00F8275B">
        <w:rPr>
          <w:lang w:val="es-ES"/>
        </w:rPr>
        <w:t>n</w:t>
      </w:r>
      <w:r w:rsidR="007905BE" w:rsidRPr="00F8275B">
        <w:rPr>
          <w:lang w:val="es-ES"/>
        </w:rPr>
        <w:t>do la evaluación de las emisiones de GEI de los programas informáticos y las reuniones virtuales.</w:t>
      </w:r>
    </w:p>
    <w:p w14:paraId="502DD2A0" w14:textId="1662A9F1" w:rsidR="007905BE" w:rsidRPr="00F8275B" w:rsidRDefault="00CE6D77" w:rsidP="007905BE">
      <w:pPr>
        <w:rPr>
          <w:lang w:val="es-ES"/>
        </w:rPr>
      </w:pPr>
      <w:r w:rsidRPr="00F8275B">
        <w:rPr>
          <w:lang w:val="es-ES"/>
        </w:rPr>
        <w:t xml:space="preserve">Las normas de la UIT para la economía circular proporcionan herramientas para mejorar la eficiencia de los materiales, limitar los residuos electrónicos y eliminarlos de manera sostenible. </w:t>
      </w:r>
      <w:r w:rsidR="007905BE" w:rsidRPr="00F8275B">
        <w:rPr>
          <w:lang w:val="es-ES"/>
        </w:rPr>
        <w:t xml:space="preserve">Ya se encuentra disponible una nueva norma sobre las oportunidades relativas al pasaporte digital mundial de productos sostenibles para lograr una economía circular y se están realizando trabajos </w:t>
      </w:r>
      <w:r w:rsidR="003E0428" w:rsidRPr="00F8275B">
        <w:rPr>
          <w:lang w:val="es-ES"/>
        </w:rPr>
        <w:t>adicionales al respecto.</w:t>
      </w:r>
    </w:p>
    <w:p w14:paraId="621E37F9" w14:textId="3B7EFDB8" w:rsidR="003E0428" w:rsidRPr="00F8275B" w:rsidRDefault="003E0428" w:rsidP="007905BE">
      <w:pPr>
        <w:rPr>
          <w:lang w:val="es-ES"/>
        </w:rPr>
      </w:pPr>
      <w:r w:rsidRPr="00F8275B">
        <w:rPr>
          <w:lang w:val="es-ES"/>
        </w:rPr>
        <w:t>Además, se están preparando puntuaciones de evaluación para valorar la circularidad de los productos de TIC como los teléfonos inteligentes.</w:t>
      </w:r>
    </w:p>
    <w:p w14:paraId="3F0865F9" w14:textId="77777777" w:rsidR="00CE6D77" w:rsidRPr="00F8275B" w:rsidRDefault="00CE6D77" w:rsidP="00CE6D77">
      <w:pPr>
        <w:pStyle w:val="Headingb"/>
        <w:rPr>
          <w:lang w:val="es-ES"/>
        </w:rPr>
      </w:pPr>
      <w:r w:rsidRPr="00F8275B">
        <w:rPr>
          <w:lang w:val="es-ES"/>
        </w:rPr>
        <w:t>Acción Digital Verde en la COP28</w:t>
      </w:r>
    </w:p>
    <w:p w14:paraId="0AB9E167" w14:textId="40DCF74A" w:rsidR="003E0428" w:rsidRPr="00F8275B" w:rsidRDefault="003E0428" w:rsidP="00CE6D77">
      <w:pPr>
        <w:pStyle w:val="Headingb"/>
        <w:rPr>
          <w:b w:val="0"/>
          <w:lang w:val="es-ES"/>
        </w:rPr>
      </w:pPr>
      <w:r w:rsidRPr="00F8275B">
        <w:rPr>
          <w:b w:val="0"/>
          <w:lang w:val="es-ES"/>
        </w:rPr>
        <w:t>Véase la Sección</w:t>
      </w:r>
      <w:r w:rsidR="00A752F3" w:rsidRPr="00F8275B">
        <w:rPr>
          <w:b w:val="0"/>
          <w:lang w:val="es-ES"/>
        </w:rPr>
        <w:t> </w:t>
      </w:r>
      <w:r w:rsidRPr="00F8275B">
        <w:rPr>
          <w:b w:val="0"/>
          <w:lang w:val="es-ES"/>
        </w:rPr>
        <w:t>6.</w:t>
      </w:r>
    </w:p>
    <w:p w14:paraId="2695844F" w14:textId="1808ECB6" w:rsidR="00CE6D77" w:rsidRPr="00F8275B" w:rsidRDefault="00CE6D77" w:rsidP="00CE6D77">
      <w:pPr>
        <w:pStyle w:val="Headingb"/>
        <w:rPr>
          <w:lang w:val="es-ES"/>
        </w:rPr>
      </w:pPr>
      <w:r w:rsidRPr="00F8275B">
        <w:rPr>
          <w:lang w:val="es-ES"/>
        </w:rPr>
        <w:t>Transformación digital para ciudades y comunidades inteligentes</w:t>
      </w:r>
    </w:p>
    <w:p w14:paraId="510199AC" w14:textId="3112D787" w:rsidR="00CE6D77" w:rsidRPr="00F8275B" w:rsidRDefault="00CE6D77" w:rsidP="00CE6D77">
      <w:pPr>
        <w:rPr>
          <w:lang w:val="es-ES"/>
        </w:rPr>
      </w:pPr>
      <w:r w:rsidRPr="00F8275B">
        <w:rPr>
          <w:lang w:val="es-ES"/>
        </w:rPr>
        <w:t xml:space="preserve">La iniciativa </w:t>
      </w:r>
      <w:hyperlink r:id="rId61" w:history="1">
        <w:r w:rsidRPr="00F8275B">
          <w:rPr>
            <w:rStyle w:val="Hyperlink"/>
            <w:lang w:val="es-ES"/>
          </w:rPr>
          <w:t>Unidos por las ciudades inteligentes y sostenibles (U4SSC)</w:t>
        </w:r>
      </w:hyperlink>
      <w:r w:rsidRPr="00F8275B">
        <w:rPr>
          <w:lang w:val="es-ES"/>
        </w:rPr>
        <w:t xml:space="preserve"> cuenta con el apoyo de 19</w:t>
      </w:r>
      <w:r w:rsidR="00A043CB" w:rsidRPr="00F8275B">
        <w:rPr>
          <w:lang w:val="es-ES"/>
        </w:rPr>
        <w:t> </w:t>
      </w:r>
      <w:r w:rsidRPr="00F8275B">
        <w:rPr>
          <w:lang w:val="es-ES"/>
        </w:rPr>
        <w:t>organismos de las Naciones Unidas y obra en favor de la consecución del Objetivo de Desarrollo Sostenible</w:t>
      </w:r>
      <w:r w:rsidR="00A043CB" w:rsidRPr="00F8275B">
        <w:rPr>
          <w:lang w:val="es-ES"/>
        </w:rPr>
        <w:t> </w:t>
      </w:r>
      <w:r w:rsidRPr="00F8275B">
        <w:rPr>
          <w:lang w:val="es-ES"/>
        </w:rPr>
        <w:t>11 ("Lograr que las ciudades y los asentamientos humanos sean inclusivos, seguros, resilientes y sostenibles"). Más de 150</w:t>
      </w:r>
      <w:r w:rsidR="00A043CB" w:rsidRPr="00F8275B">
        <w:rPr>
          <w:lang w:val="es-ES"/>
        </w:rPr>
        <w:t> </w:t>
      </w:r>
      <w:r w:rsidRPr="00F8275B">
        <w:rPr>
          <w:lang w:val="es-ES"/>
        </w:rPr>
        <w:t xml:space="preserve">ciudades han adoptado </w:t>
      </w:r>
      <w:hyperlink r:id="rId62" w:history="1">
        <w:r w:rsidRPr="00F8275B">
          <w:rPr>
            <w:rStyle w:val="Hyperlink"/>
            <w:lang w:val="es-ES"/>
          </w:rPr>
          <w:t>indicadores fundamentales de rendimiento U4SSC</w:t>
        </w:r>
      </w:hyperlink>
      <w:r w:rsidRPr="00F8275B">
        <w:rPr>
          <w:lang w:val="es-ES"/>
        </w:rPr>
        <w:t xml:space="preserve"> basados en normas de la UIT. Los resultados de estas evaluaciones se dan a conocer en las </w:t>
      </w:r>
      <w:hyperlink r:id="rId63" w:history="1">
        <w:r w:rsidR="001B6B57" w:rsidRPr="00F8275B">
          <w:rPr>
            <w:rStyle w:val="Hyperlink"/>
            <w:lang w:val="es-ES"/>
          </w:rPr>
          <w:t>instantáneas, fichas técnicas, informes de verificación y estudios de caso sobre las ciudades</w:t>
        </w:r>
      </w:hyperlink>
      <w:r w:rsidR="001B6B57" w:rsidRPr="00F8275B">
        <w:rPr>
          <w:lang w:val="es-ES"/>
        </w:rPr>
        <w:t>.</w:t>
      </w:r>
    </w:p>
    <w:p w14:paraId="4571468F" w14:textId="394BFBCA" w:rsidR="00CE6D77" w:rsidRPr="00F8275B" w:rsidRDefault="00CE6D77" w:rsidP="00CE6D77">
      <w:pPr>
        <w:rPr>
          <w:lang w:val="es-ES"/>
        </w:rPr>
      </w:pPr>
      <w:r w:rsidRPr="00F8275B">
        <w:rPr>
          <w:lang w:val="es-ES"/>
        </w:rPr>
        <w:t xml:space="preserve">La </w:t>
      </w:r>
      <w:hyperlink r:id="rId64" w:history="1">
        <w:r w:rsidRPr="00F8275B">
          <w:rPr>
            <w:rStyle w:val="Hyperlink"/>
            <w:lang w:val="es-ES"/>
          </w:rPr>
          <w:t>séptima reunión de U4SSC</w:t>
        </w:r>
      </w:hyperlink>
      <w:r w:rsidRPr="00F8275B">
        <w:rPr>
          <w:lang w:val="es-ES"/>
        </w:rPr>
        <w:t xml:space="preserve"> tuvo lugar en línea el 20 de junio de 2023. Algunos aspectos importantes abordados en la reunión fueron el nombramiento del nuevo </w:t>
      </w:r>
      <w:hyperlink r:id="rId65" w:history="1">
        <w:r w:rsidRPr="00F8275B">
          <w:rPr>
            <w:rStyle w:val="Hyperlink"/>
            <w:lang w:val="es-ES"/>
          </w:rPr>
          <w:t>equipo de dirección de la U4SSC</w:t>
        </w:r>
      </w:hyperlink>
      <w:r w:rsidRPr="00F8275B">
        <w:rPr>
          <w:lang w:val="es-ES"/>
        </w:rPr>
        <w:t xml:space="preserve"> y el anuncio de un nuevo centro nacional de la U4SSC en Kyebi (Ghana).</w:t>
      </w:r>
    </w:p>
    <w:p w14:paraId="25ACA515" w14:textId="74352CCF" w:rsidR="00CE6D77" w:rsidRPr="00F8275B" w:rsidRDefault="00CE6D77" w:rsidP="00CE458D">
      <w:pPr>
        <w:spacing w:after="120"/>
        <w:rPr>
          <w:lang w:val="es-ES"/>
        </w:rPr>
      </w:pPr>
      <w:r w:rsidRPr="00F8275B">
        <w:rPr>
          <w:lang w:val="es-ES"/>
        </w:rPr>
        <w:t xml:space="preserve">Véanse los </w:t>
      </w:r>
      <w:hyperlink r:id="rId66" w:history="1">
        <w:r w:rsidRPr="00F8275B">
          <w:rPr>
            <w:rStyle w:val="Hyperlink"/>
            <w:lang w:val="es-ES"/>
          </w:rPr>
          <w:t>informes de la U4SSC</w:t>
        </w:r>
      </w:hyperlink>
      <w:r w:rsidRPr="00F8275B">
        <w:rPr>
          <w:lang w:val="es-ES"/>
        </w:rPr>
        <w:t xml:space="preserve"> y los </w:t>
      </w:r>
      <w:hyperlink r:id="rId67" w:history="1">
        <w:r w:rsidRPr="00F8275B">
          <w:rPr>
            <w:rStyle w:val="Hyperlink"/>
            <w:lang w:val="es-ES"/>
          </w:rPr>
          <w:t>informes de la UIT</w:t>
        </w:r>
      </w:hyperlink>
      <w:r w:rsidRPr="00F8275B">
        <w:rPr>
          <w:lang w:val="es-ES"/>
        </w:rPr>
        <w:t xml:space="preserve"> sobre las ciudades inteligentes. Véanse también los </w:t>
      </w:r>
      <w:hyperlink r:id="rId68" w:history="1">
        <w:r w:rsidRPr="00F8275B">
          <w:rPr>
            <w:rStyle w:val="Hyperlink"/>
            <w:lang w:val="es-ES"/>
          </w:rPr>
          <w:t>Diálogos sobre la Transformación Digital de la UIT</w:t>
        </w:r>
      </w:hyperlink>
      <w:r w:rsidRPr="00F8275B">
        <w:rPr>
          <w:lang w:val="es-ES"/>
        </w:rPr>
        <w:t>.</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1"/>
      </w:tblGrid>
      <w:tr w:rsidR="003E0428" w:rsidRPr="00F8275B" w14:paraId="49AE916E" w14:textId="77777777" w:rsidTr="008D048D">
        <w:trPr>
          <w:cantSplit/>
          <w:jc w:val="center"/>
        </w:trPr>
        <w:tc>
          <w:tcPr>
            <w:tcW w:w="9061" w:type="dxa"/>
          </w:tcPr>
          <w:p w14:paraId="3D5C710C" w14:textId="06E84658" w:rsidR="003E0428" w:rsidRPr="00F8275B" w:rsidRDefault="003E0428" w:rsidP="00242F5A">
            <w:pPr>
              <w:jc w:val="center"/>
              <w:rPr>
                <w:b/>
                <w:bCs/>
                <w:sz w:val="28"/>
                <w:szCs w:val="28"/>
                <w:lang w:val="es-ES"/>
              </w:rPr>
            </w:pPr>
            <w:bookmarkStart w:id="82" w:name="_Toc1657215939"/>
            <w:bookmarkStart w:id="83" w:name="_Toc164862530"/>
            <w:bookmarkStart w:id="84" w:name="_Toc165024953"/>
            <w:r w:rsidRPr="00F8275B">
              <w:rPr>
                <w:b/>
                <w:bCs/>
                <w:sz w:val="28"/>
                <w:szCs w:val="28"/>
                <w:lang w:val="es-ES"/>
              </w:rPr>
              <w:lastRenderedPageBreak/>
              <w:t>Historia de impacto</w:t>
            </w:r>
          </w:p>
          <w:p w14:paraId="56D32B4B" w14:textId="640014D3" w:rsidR="003E0428" w:rsidRPr="00F8275B" w:rsidRDefault="003E0428" w:rsidP="00CE458D">
            <w:pPr>
              <w:pStyle w:val="Headingb"/>
              <w:rPr>
                <w:lang w:val="es-ES"/>
              </w:rPr>
            </w:pPr>
            <w:r w:rsidRPr="00F8275B">
              <w:rPr>
                <w:lang w:val="es-ES"/>
              </w:rPr>
              <w:t>Smart Seas para las comunidades de pescadores del Caribe</w:t>
            </w:r>
          </w:p>
          <w:p w14:paraId="7E30D0D5" w14:textId="689154CF" w:rsidR="003E0428" w:rsidRPr="00F8275B" w:rsidRDefault="003E0428" w:rsidP="00CE458D">
            <w:pPr>
              <w:rPr>
                <w:lang w:val="es-ES"/>
              </w:rPr>
            </w:pPr>
            <w:r w:rsidRPr="00F8275B">
              <w:rPr>
                <w:lang w:val="es-ES"/>
              </w:rPr>
              <w:t>Las comunidades de la pesca artesanal del Caribe necesitan herramientas digitales y conectividad para mantener el contacto y permanecer seguras en el mar. La herramienta Smart Seas para la resiliencia ante las catástrofes dirigida por la UIT en asociación con el Organismo de las Telecomunicaciones de Trinidad y T</w:t>
            </w:r>
            <w:r w:rsidR="003C203B" w:rsidRPr="00F8275B">
              <w:rPr>
                <w:lang w:val="es-ES"/>
              </w:rPr>
              <w:t>a</w:t>
            </w:r>
            <w:r w:rsidRPr="00F8275B">
              <w:rPr>
                <w:lang w:val="es-ES"/>
              </w:rPr>
              <w:t>bago (TATT) y la Unión de Telecomunicaciones del Caribe (CTU) aborda las vulnerabilidades a las que se enfrentan los pescadores artesanales, que son esenciales para la economía y la seguridad alimentaria de la región pero están muy expuestos</w:t>
            </w:r>
            <w:r w:rsidR="00A55B05" w:rsidRPr="00F8275B">
              <w:rPr>
                <w:lang w:val="es-ES"/>
              </w:rPr>
              <w:t xml:space="preserve"> </w:t>
            </w:r>
            <w:r w:rsidRPr="00F8275B">
              <w:rPr>
                <w:lang w:val="es-ES"/>
              </w:rPr>
              <w:t>a los peligros del mar, como las tormentas tropicales y la piratería. El proyecto se está llevando a cabo en Barbados, Granada y</w:t>
            </w:r>
            <w:r w:rsidR="00A55B05" w:rsidRPr="00F8275B">
              <w:rPr>
                <w:lang w:val="es-ES"/>
              </w:rPr>
              <w:t xml:space="preserve"> </w:t>
            </w:r>
            <w:r w:rsidRPr="00F8275B">
              <w:rPr>
                <w:lang w:val="es-ES"/>
              </w:rPr>
              <w:t>San Vicente y las Granadinas, así como en Trinidad y T</w:t>
            </w:r>
            <w:r w:rsidR="00AB5621" w:rsidRPr="00F8275B">
              <w:rPr>
                <w:lang w:val="es-ES"/>
              </w:rPr>
              <w:t>a</w:t>
            </w:r>
            <w:r w:rsidRPr="00F8275B">
              <w:rPr>
                <w:lang w:val="es-ES"/>
              </w:rPr>
              <w:t>bago.</w:t>
            </w:r>
          </w:p>
          <w:p w14:paraId="31C86D7F" w14:textId="1A87D7A2" w:rsidR="003E0428" w:rsidRPr="00F8275B" w:rsidRDefault="00534F60" w:rsidP="00CE458D">
            <w:pPr>
              <w:rPr>
                <w:lang w:val="es-ES"/>
              </w:rPr>
            </w:pPr>
            <w:hyperlink r:id="rId69" w:history="1">
              <w:r w:rsidR="00AB5621" w:rsidRPr="00F8275B">
                <w:rPr>
                  <w:rStyle w:val="Hyperlink"/>
                  <w:lang w:val="es-ES"/>
                </w:rPr>
                <w:t>Más información sobre el proyecto Smart Seas</w:t>
              </w:r>
            </w:hyperlink>
          </w:p>
          <w:p w14:paraId="10F2B24B" w14:textId="200A7EC8" w:rsidR="003E0428" w:rsidRPr="00F8275B" w:rsidRDefault="00534F60" w:rsidP="00CE458D">
            <w:pPr>
              <w:spacing w:after="120"/>
              <w:rPr>
                <w:lang w:val="es-ES"/>
              </w:rPr>
            </w:pPr>
            <w:hyperlink r:id="rId70" w:history="1">
              <w:r w:rsidR="003E0428" w:rsidRPr="00F8275B">
                <w:rPr>
                  <w:rStyle w:val="Hyperlink"/>
                  <w:lang w:val="es-ES"/>
                </w:rPr>
                <w:t>Reproducir el vídeo</w:t>
              </w:r>
            </w:hyperlink>
          </w:p>
        </w:tc>
      </w:tr>
    </w:tbl>
    <w:p w14:paraId="6B45D4E4" w14:textId="5B1D6F3A" w:rsidR="00CE6D77" w:rsidRPr="00F8275B" w:rsidRDefault="00CE6D77" w:rsidP="00CE6D77">
      <w:pPr>
        <w:pStyle w:val="Heading2"/>
        <w:rPr>
          <w:lang w:val="es-ES"/>
        </w:rPr>
      </w:pPr>
      <w:bookmarkStart w:id="85" w:name="_Toc166580884"/>
      <w:r w:rsidRPr="00F8275B">
        <w:rPr>
          <w:lang w:val="es-ES"/>
        </w:rPr>
        <w:t>4.</w:t>
      </w:r>
      <w:r w:rsidR="003E0428" w:rsidRPr="00F8275B">
        <w:rPr>
          <w:lang w:val="es-ES"/>
        </w:rPr>
        <w:t>4</w:t>
      </w:r>
      <w:r w:rsidRPr="00F8275B">
        <w:rPr>
          <w:lang w:val="es-ES"/>
        </w:rPr>
        <w:tab/>
        <w:t xml:space="preserve">Ciberseguridad: </w:t>
      </w:r>
      <w:r w:rsidR="00D14E78" w:rsidRPr="00F8275B">
        <w:rPr>
          <w:lang w:val="es-ES"/>
        </w:rPr>
        <w:t xml:space="preserve">Creación </w:t>
      </w:r>
      <w:r w:rsidRPr="00F8275B">
        <w:rPr>
          <w:lang w:val="es-ES"/>
        </w:rPr>
        <w:t>de confianza y seguridad en las TIC</w:t>
      </w:r>
      <w:bookmarkEnd w:id="77"/>
      <w:bookmarkEnd w:id="78"/>
      <w:bookmarkEnd w:id="79"/>
      <w:bookmarkEnd w:id="80"/>
      <w:bookmarkEnd w:id="81"/>
      <w:bookmarkEnd w:id="82"/>
      <w:bookmarkEnd w:id="83"/>
      <w:bookmarkEnd w:id="84"/>
      <w:bookmarkEnd w:id="85"/>
    </w:p>
    <w:p w14:paraId="71052CDB" w14:textId="77777777" w:rsidR="00CE6D77" w:rsidRPr="00F8275B" w:rsidRDefault="00CE6D77" w:rsidP="00CE6D77">
      <w:pPr>
        <w:rPr>
          <w:lang w:val="es-ES"/>
        </w:rPr>
      </w:pPr>
      <w:bookmarkStart w:id="86" w:name="_Toc37860461"/>
      <w:bookmarkStart w:id="87" w:name="_Toc37861222"/>
      <w:bookmarkStart w:id="88" w:name="_Toc37943345"/>
      <w:bookmarkStart w:id="89" w:name="Section_1_7"/>
      <w:r w:rsidRPr="00F8275B">
        <w:rPr>
          <w:lang w:val="es-ES"/>
        </w:rPr>
        <w:t>La UIT trabaja en la creación de confianza y seguridad en el uso de las tecnologías nuevas y emergentes, en particular mediante el apoyo a los países para elaborar estrategias nacionales y constituir equipos de intervención en caso de incidentes informáticos (EIII). El programa de protección de la infancia en línea de la UIT ayuda a crear conciencia sobre los peligros en línea y a facilitar la creación de un entorno seguro para los jóvenes usuarios de las tecnologías digitales.</w:t>
      </w:r>
    </w:p>
    <w:p w14:paraId="6E96BB7A" w14:textId="41418359" w:rsidR="00CE6D77" w:rsidRPr="00F8275B" w:rsidRDefault="00CE6D77" w:rsidP="00CE6D77">
      <w:pPr>
        <w:rPr>
          <w:lang w:val="es-ES"/>
        </w:rPr>
      </w:pPr>
      <w:r w:rsidRPr="00F8275B">
        <w:rPr>
          <w:lang w:val="es-ES"/>
        </w:rPr>
        <w:t xml:space="preserve">En el </w:t>
      </w:r>
      <w:r w:rsidR="00A043CB" w:rsidRPr="00F8275B">
        <w:rPr>
          <w:lang w:val="es-ES"/>
        </w:rPr>
        <w:t>Documento </w:t>
      </w:r>
      <w:hyperlink r:id="rId71" w:history="1">
        <w:r w:rsidRPr="00F8275B">
          <w:rPr>
            <w:rStyle w:val="Hyperlink"/>
            <w:lang w:val="es-ES"/>
          </w:rPr>
          <w:t>C24/</w:t>
        </w:r>
        <w:r w:rsidR="003E0428" w:rsidRPr="00F8275B">
          <w:rPr>
            <w:rStyle w:val="Hyperlink"/>
            <w:lang w:val="es-ES"/>
          </w:rPr>
          <w:t>18</w:t>
        </w:r>
      </w:hyperlink>
      <w:r w:rsidRPr="00F8275B">
        <w:rPr>
          <w:lang w:val="es-ES"/>
        </w:rPr>
        <w:t xml:space="preserve"> se resumen las actividades realizadas por la UIT en 2023-2024 en relación con la Resolución</w:t>
      </w:r>
      <w:r w:rsidR="00A043CB" w:rsidRPr="00F8275B">
        <w:rPr>
          <w:lang w:val="es-ES"/>
        </w:rPr>
        <w:t> </w:t>
      </w:r>
      <w:r w:rsidRPr="00F8275B">
        <w:rPr>
          <w:lang w:val="es-ES"/>
        </w:rPr>
        <w:t>130 (Rev.</w:t>
      </w:r>
      <w:r w:rsidR="00A043CB" w:rsidRPr="00F8275B">
        <w:rPr>
          <w:lang w:val="es-ES"/>
        </w:rPr>
        <w:t> </w:t>
      </w:r>
      <w:r w:rsidRPr="00F8275B">
        <w:rPr>
          <w:lang w:val="es-ES"/>
        </w:rPr>
        <w:t>Bucarest, 2022), la función de la UIT como único organismo facilitador de la Línea de Acción C5 de la CMSI, y otras decisiones adoptadas por los miembros sobre el fortalecimiento del papel de la UIT en la creación de confianza y seguridad en la utilización de las TIC.</w:t>
      </w:r>
      <w:r w:rsidR="003E0428" w:rsidRPr="00F8275B">
        <w:rPr>
          <w:lang w:val="es-ES"/>
        </w:rPr>
        <w:t xml:space="preserve"> Véase también la página sobre las </w:t>
      </w:r>
      <w:hyperlink r:id="rId72" w:history="1">
        <w:r w:rsidR="003E0428" w:rsidRPr="00F8275B">
          <w:rPr>
            <w:rStyle w:val="Hyperlink"/>
            <w:lang w:val="es-ES"/>
          </w:rPr>
          <w:t>actividades de la UIT en materia de ciberseguridad</w:t>
        </w:r>
      </w:hyperlink>
      <w:r w:rsidR="003E0428" w:rsidRPr="00F8275B">
        <w:rPr>
          <w:lang w:val="es-ES"/>
        </w:rPr>
        <w:t>.</w:t>
      </w:r>
    </w:p>
    <w:p w14:paraId="27A32325" w14:textId="3B64A5F7" w:rsidR="00CE6D77" w:rsidRPr="00F8275B" w:rsidRDefault="00CE6D77" w:rsidP="00CE6D77">
      <w:pPr>
        <w:rPr>
          <w:lang w:val="es-ES"/>
        </w:rPr>
      </w:pPr>
      <w:r w:rsidRPr="00F8275B">
        <w:rPr>
          <w:lang w:val="es-ES"/>
        </w:rPr>
        <w:t>Se han identificado avances en la preparación de las administraciones para hacer frente a las ciberamenazas (126</w:t>
      </w:r>
      <w:r w:rsidR="00A043CB" w:rsidRPr="00F8275B">
        <w:rPr>
          <w:lang w:val="es-ES"/>
        </w:rPr>
        <w:t> </w:t>
      </w:r>
      <w:r w:rsidRPr="00F8275B">
        <w:rPr>
          <w:lang w:val="es-ES"/>
        </w:rPr>
        <w:t>países tenían EIII en 2023, en comparación con los 109 registrados en</w:t>
      </w:r>
      <w:r w:rsidR="001B6B57" w:rsidRPr="00F8275B">
        <w:rPr>
          <w:lang w:val="es-ES"/>
        </w:rPr>
        <w:t> </w:t>
      </w:r>
      <w:r w:rsidRPr="00F8275B">
        <w:rPr>
          <w:lang w:val="es-ES"/>
        </w:rPr>
        <w:t>2020; y 127 tenían Estrategias y Planes de Acción Nacionales en materia de Ciberseguridad, en comparación con los 107</w:t>
      </w:r>
      <w:r w:rsidR="00A043CB" w:rsidRPr="00F8275B">
        <w:rPr>
          <w:lang w:val="es-ES"/>
        </w:rPr>
        <w:t> </w:t>
      </w:r>
      <w:r w:rsidRPr="00F8275B">
        <w:rPr>
          <w:lang w:val="es-ES"/>
        </w:rPr>
        <w:t>registrados en 2020), así como en materia de planes nacionales para las telecomunicaciones de emergencia (el 83% de los países disponían de estos planes a finales de 2023, en comparación con el 25% de países que los tenían en 2020).</w:t>
      </w:r>
    </w:p>
    <w:p w14:paraId="3888049B" w14:textId="6CFEA3BD" w:rsidR="00CE6D77" w:rsidRPr="00F8275B" w:rsidRDefault="003E0428" w:rsidP="00CE6D77">
      <w:pPr>
        <w:pStyle w:val="Heading2"/>
        <w:rPr>
          <w:lang w:val="es-ES"/>
        </w:rPr>
      </w:pPr>
      <w:bookmarkStart w:id="90" w:name="_Toc217486234"/>
      <w:bookmarkStart w:id="91" w:name="_Toc164862531"/>
      <w:bookmarkStart w:id="92" w:name="_Toc165024954"/>
      <w:bookmarkStart w:id="93" w:name="_Toc166580885"/>
      <w:r w:rsidRPr="00F8275B">
        <w:rPr>
          <w:lang w:val="es-ES"/>
        </w:rPr>
        <w:lastRenderedPageBreak/>
        <w:t>4.5</w:t>
      </w:r>
      <w:r w:rsidR="00CE6D77" w:rsidRPr="00F8275B">
        <w:rPr>
          <w:lang w:val="es-ES"/>
        </w:rPr>
        <w:tab/>
        <w:t>Inclusión digital: garantizar la igualdad de acceso y utilización de las tecnologías para todos</w:t>
      </w:r>
      <w:bookmarkEnd w:id="86"/>
      <w:bookmarkEnd w:id="87"/>
      <w:bookmarkEnd w:id="88"/>
      <w:bookmarkEnd w:id="89"/>
      <w:bookmarkEnd w:id="90"/>
      <w:bookmarkEnd w:id="91"/>
      <w:bookmarkEnd w:id="92"/>
      <w:bookmarkEnd w:id="93"/>
    </w:p>
    <w:p w14:paraId="552570B2" w14:textId="77777777" w:rsidR="00CE6D77" w:rsidRPr="00F8275B" w:rsidRDefault="00CE6D77" w:rsidP="008D048D">
      <w:pPr>
        <w:keepNext/>
        <w:keepLines/>
        <w:rPr>
          <w:lang w:val="es-ES"/>
        </w:rPr>
      </w:pPr>
      <w:r w:rsidRPr="00F8275B">
        <w:rPr>
          <w:lang w:val="es-ES"/>
        </w:rPr>
        <w:t>La UIT promueve activamente la igualdad de género y se esfuerza por reducir las brechas de género en el acceso digital en todo el mundo. Determinadas iniciativas específicas incorporan las perspectivas de los jóvenes en todas las esferas de la labor de la UIT, atendiendo a la vez las necesidades y perspectivas de los pueblos indígenas, las personas de edad y otros grupos vulnerables de la población. De conformidad con los principios de las Naciones Unidas, la UIT también apoya el acceso digital de las personas con discapacidad mediante normas inclusivas, orientaciones políticas, actividades de sensibilización y educación.</w:t>
      </w:r>
    </w:p>
    <w:p w14:paraId="186133F5" w14:textId="483A90B5" w:rsidR="00CE6D77" w:rsidRPr="00F8275B" w:rsidRDefault="00CE6D77" w:rsidP="00CE6D77">
      <w:pPr>
        <w:pStyle w:val="Heading3"/>
        <w:rPr>
          <w:lang w:val="es-ES"/>
        </w:rPr>
      </w:pPr>
      <w:bookmarkStart w:id="94" w:name="_Toc165024955"/>
      <w:r w:rsidRPr="00F8275B">
        <w:rPr>
          <w:lang w:val="es-ES"/>
        </w:rPr>
        <w:t>4.</w:t>
      </w:r>
      <w:r w:rsidR="003E0428" w:rsidRPr="00F8275B">
        <w:rPr>
          <w:lang w:val="es-ES"/>
        </w:rPr>
        <w:t>5</w:t>
      </w:r>
      <w:r w:rsidRPr="00F8275B">
        <w:rPr>
          <w:lang w:val="es-ES"/>
        </w:rPr>
        <w:t>.1</w:t>
      </w:r>
      <w:r w:rsidRPr="00F8275B">
        <w:rPr>
          <w:lang w:val="es-ES"/>
        </w:rPr>
        <w:tab/>
        <w:t>Género</w:t>
      </w:r>
      <w:bookmarkEnd w:id="94"/>
    </w:p>
    <w:p w14:paraId="641308EE" w14:textId="1340FCEF" w:rsidR="00CE6D77" w:rsidRPr="00F8275B" w:rsidRDefault="00CE6D77" w:rsidP="00CE6D77">
      <w:pPr>
        <w:rPr>
          <w:lang w:val="es-ES"/>
        </w:rPr>
      </w:pPr>
      <w:r w:rsidRPr="00F8275B">
        <w:rPr>
          <w:lang w:val="es-ES"/>
        </w:rPr>
        <w:t>En el Informe</w:t>
      </w:r>
      <w:r w:rsidR="00A043CB" w:rsidRPr="00F8275B">
        <w:rPr>
          <w:lang w:val="es-ES"/>
        </w:rPr>
        <w:t> </w:t>
      </w:r>
      <w:hyperlink r:id="rId73" w:history="1">
        <w:r w:rsidRPr="00F8275B">
          <w:rPr>
            <w:rStyle w:val="Hyperlink"/>
            <w:lang w:val="es-ES"/>
          </w:rPr>
          <w:t>C24/6</w:t>
        </w:r>
      </w:hyperlink>
      <w:r w:rsidRPr="00F8275B">
        <w:rPr>
          <w:u w:val="single"/>
          <w:lang w:val="es-ES"/>
        </w:rPr>
        <w:t xml:space="preserve"> </w:t>
      </w:r>
      <w:r w:rsidRPr="00F8275B">
        <w:rPr>
          <w:lang w:val="es-ES"/>
        </w:rPr>
        <w:t>se ofrecen detalles adicionales sobre las actividades relacionadas con el género.</w:t>
      </w:r>
    </w:p>
    <w:p w14:paraId="494A84E0" w14:textId="79781AC2" w:rsidR="00CE6D77" w:rsidRPr="00F8275B" w:rsidRDefault="00CE6D77" w:rsidP="00CE6D77">
      <w:pPr>
        <w:rPr>
          <w:lang w:val="es-ES"/>
        </w:rPr>
      </w:pPr>
      <w:r w:rsidRPr="00F8275B">
        <w:rPr>
          <w:lang w:val="es-ES"/>
        </w:rPr>
        <w:t>Los avances relativos a la reducción de la brecha digital de género siguen siendo irregulares. A pesar de que se hayan producido ligeros incrementos respecto de las cifras de 2022, las mujeres siguen siendo una parte desproporcionada de la población mundial sin acceso a Internet, superando en número a los no usuarios de género masculino en un 17%. En cuanto a la propiedad de teléfonos, la probabilidad de poseer un teléfono móvil es un 8% inferior en las mujeres que en los hombres, ya que estas superan en un 35% al número de hombres que no poseen dicho dispositivo.</w:t>
      </w:r>
    </w:p>
    <w:p w14:paraId="4AD86D3A" w14:textId="77777777" w:rsidR="00CE6D77" w:rsidRPr="00F8275B" w:rsidRDefault="00CE6D77" w:rsidP="00CE6D77">
      <w:pPr>
        <w:rPr>
          <w:lang w:val="es-ES"/>
        </w:rPr>
      </w:pPr>
      <w:r w:rsidRPr="00F8275B">
        <w:rPr>
          <w:lang w:val="es-ES"/>
        </w:rPr>
        <w:t>La UIT trabaja activamente para reducir esta disparidad, en particular en las profesiones de las TIC. Se alienta a las mujeres y las jóvenes a que opten por carreras y estudios de TIC, y a que accedan a actividades de capacitación y mentoría sobre las tecnologías digitales por conducto de iniciativas como el Día Internacional de las Niñas en las TIC, EQUALS, y Her Cyber Track.</w:t>
      </w:r>
    </w:p>
    <w:p w14:paraId="6BE31A77" w14:textId="77777777" w:rsidR="00CE6D77" w:rsidRPr="00F8275B" w:rsidRDefault="00CE6D77" w:rsidP="00CE6D77">
      <w:pPr>
        <w:rPr>
          <w:lang w:val="es-ES"/>
        </w:rPr>
      </w:pPr>
      <w:r w:rsidRPr="00F8275B">
        <w:rPr>
          <w:lang w:val="es-ES"/>
        </w:rPr>
        <w:t>Algunos de los esfuerzos en materia de formación y capacitación son las dos nuevas actividades de formación en línea autogestionadas: una sobre el análisis de género para la inclusión digital y, la otra, el Manual sobre la incorporación de la perspectiva de género en las políticas digitales, diseñado para apoyar la inclusión de la igualdad de género en la formulación de políticas. En el sitio web puede consultarse una lista de actividades de formación relacionadas con el género.</w:t>
      </w:r>
    </w:p>
    <w:p w14:paraId="027B439E" w14:textId="58EEB91F" w:rsidR="00CE6D77" w:rsidRPr="00F8275B" w:rsidRDefault="00CE6D77" w:rsidP="008D048D">
      <w:pPr>
        <w:rPr>
          <w:lang w:val="es-ES"/>
        </w:rPr>
      </w:pPr>
      <w:r w:rsidRPr="00F8275B">
        <w:rPr>
          <w:lang w:val="es-ES"/>
        </w:rPr>
        <w:t>Las comunidades de "Red de mujeres" (NOW) de la UIT para cada sector (UIT</w:t>
      </w:r>
      <w:r w:rsidR="001B6B57" w:rsidRPr="00F8275B">
        <w:rPr>
          <w:lang w:val="es-ES"/>
        </w:rPr>
        <w:noBreakHyphen/>
      </w:r>
      <w:r w:rsidRPr="00F8275B">
        <w:rPr>
          <w:lang w:val="es-ES"/>
        </w:rPr>
        <w:t>R, UIT</w:t>
      </w:r>
      <w:r w:rsidR="001B6B57" w:rsidRPr="00F8275B">
        <w:rPr>
          <w:lang w:val="es-ES"/>
        </w:rPr>
        <w:noBreakHyphen/>
      </w:r>
      <w:r w:rsidRPr="00F8275B">
        <w:rPr>
          <w:lang w:val="es-ES"/>
        </w:rPr>
        <w:t>T y UIT</w:t>
      </w:r>
      <w:r w:rsidR="001A500C" w:rsidRPr="00F8275B">
        <w:rPr>
          <w:lang w:val="es-ES"/>
        </w:rPr>
        <w:noBreakHyphen/>
      </w:r>
      <w:r w:rsidRPr="00F8275B">
        <w:rPr>
          <w:lang w:val="es-ES"/>
        </w:rPr>
        <w:t>D) se centran en la representatividad de las mujeres en las labores y la toma de decisiones de la UIT, creando un entorno propicio para las delegadas. NOW4WRC23 desempeñó un papel importante en la Resolución</w:t>
      </w:r>
      <w:r w:rsidR="00A043CB" w:rsidRPr="00F8275B">
        <w:rPr>
          <w:lang w:val="es-ES"/>
        </w:rPr>
        <w:t> </w:t>
      </w:r>
      <w:r w:rsidRPr="00F8275B">
        <w:rPr>
          <w:lang w:val="es-ES"/>
        </w:rPr>
        <w:t xml:space="preserve">72, recientemente aprobada por el UIT-R, mediante la promoción de la igualdad de género y la reducción de la brecha de participación. Las mujeres representaron el 22% de los participantes en la AR-CMR, lo que constituye un aumento con respecto al 18% registrado en el evento anterior de 2019. La Red de Mujeres </w:t>
      </w:r>
      <w:r w:rsidR="00D14E78" w:rsidRPr="00F8275B">
        <w:rPr>
          <w:lang w:val="es-ES"/>
        </w:rPr>
        <w:t xml:space="preserve">en el Sector de Normalización de la UIT (NOW en el UIT-T) </w:t>
      </w:r>
      <w:r w:rsidRPr="00F8275B">
        <w:rPr>
          <w:lang w:val="es-ES"/>
        </w:rPr>
        <w:t>está acelerando sus esfuerzos para participar en la AMNT más adelante en el año.</w:t>
      </w:r>
    </w:p>
    <w:p w14:paraId="4DDDA597" w14:textId="1593550E" w:rsidR="00CE6D77" w:rsidRPr="00F8275B" w:rsidRDefault="00CE6D77" w:rsidP="00B76C0F">
      <w:pPr>
        <w:keepNext/>
        <w:keepLines/>
        <w:rPr>
          <w:lang w:val="es-ES"/>
        </w:rPr>
      </w:pPr>
      <w:r w:rsidRPr="00F8275B">
        <w:rPr>
          <w:lang w:val="es-ES"/>
        </w:rPr>
        <w:lastRenderedPageBreak/>
        <w:t>La UIT presenta anualmente un informe al Plan de Acción para Todo el Sistema de las Naciones Unidas sobre la Igualdad de Género y el Empoderamiento de las Mujeres (ONU</w:t>
      </w:r>
      <w:r w:rsidR="00A043CB" w:rsidRPr="00F8275B">
        <w:rPr>
          <w:lang w:val="es-ES"/>
        </w:rPr>
        <w:noBreakHyphen/>
      </w:r>
      <w:r w:rsidRPr="00F8275B">
        <w:rPr>
          <w:lang w:val="es-ES"/>
        </w:rPr>
        <w:t>SWAP) sobre la base de 17</w:t>
      </w:r>
      <w:r w:rsidR="00A043CB" w:rsidRPr="00F8275B">
        <w:rPr>
          <w:lang w:val="es-ES"/>
        </w:rPr>
        <w:t> </w:t>
      </w:r>
      <w:r w:rsidRPr="00F8275B">
        <w:rPr>
          <w:lang w:val="es-ES"/>
        </w:rPr>
        <w:t>indicadores de rendimiento. El informe de cumplimiento ONU</w:t>
      </w:r>
      <w:r w:rsidR="00A043CB" w:rsidRPr="00F8275B">
        <w:rPr>
          <w:lang w:val="es-ES"/>
        </w:rPr>
        <w:noBreakHyphen/>
      </w:r>
      <w:r w:rsidRPr="00F8275B">
        <w:rPr>
          <w:lang w:val="es-ES"/>
        </w:rPr>
        <w:t>SWAP de 2022 refleja los desafíos afrontados a la hora de llevar a cabo las actividades sin recursos adicionales.</w:t>
      </w:r>
    </w:p>
    <w:p w14:paraId="4B267D9B" w14:textId="6011C7F7" w:rsidR="00CE6D77" w:rsidRPr="00F8275B" w:rsidRDefault="00CE6D77" w:rsidP="00CE6D77">
      <w:pPr>
        <w:rPr>
          <w:lang w:val="es-ES"/>
        </w:rPr>
      </w:pPr>
      <w:r w:rsidRPr="00F8275B">
        <w:rPr>
          <w:lang w:val="es-ES"/>
        </w:rPr>
        <w:t xml:space="preserve">Se ha logrado una representación igualitaria del personal en el grado D2, aunque la representación general de la mujer en los puestos directivos (P5-D1-D2) sigue siendo un desafío. En el </w:t>
      </w:r>
      <w:r w:rsidR="00A043CB" w:rsidRPr="00F8275B">
        <w:rPr>
          <w:lang w:val="es-ES"/>
        </w:rPr>
        <w:t>Documento </w:t>
      </w:r>
      <w:r w:rsidRPr="00F8275B">
        <w:rPr>
          <w:lang w:val="es-ES"/>
        </w:rPr>
        <w:t>C24 se proporciona información detallada sobre los esfuerzos realizados por los Recursos Humanos para abordar esta cuestión. Se hace hincapié en la responsabilidad de los directivos y en el fomento de una cultura institucional saludable para atraer y retener los mejores talentos.</w:t>
      </w:r>
    </w:p>
    <w:p w14:paraId="1EAD756F" w14:textId="1DC7ABD1" w:rsidR="00CE6D77" w:rsidRPr="00F8275B" w:rsidRDefault="00CE6D77" w:rsidP="00CE6D77">
      <w:pPr>
        <w:rPr>
          <w:lang w:val="es-ES"/>
        </w:rPr>
      </w:pPr>
      <w:r w:rsidRPr="00F8275B">
        <w:rPr>
          <w:lang w:val="es-ES"/>
        </w:rPr>
        <w:t xml:space="preserve">Puede encontrarse más información al respecto en </w:t>
      </w:r>
      <w:hyperlink r:id="rId74" w:history="1">
        <w:r w:rsidR="001A500C" w:rsidRPr="00F8275B">
          <w:rPr>
            <w:rStyle w:val="Hyperlink"/>
            <w:lang w:val="es-ES"/>
          </w:rPr>
          <w:t>www.itu.int/gender</w:t>
        </w:r>
      </w:hyperlink>
      <w:r w:rsidRPr="00F8275B">
        <w:rPr>
          <w:lang w:val="es-ES"/>
        </w:rPr>
        <w:t xml:space="preserve"> y </w:t>
      </w:r>
      <w:hyperlink r:id="rId75" w:history="1">
        <w:r w:rsidR="001A500C" w:rsidRPr="00F8275B">
          <w:rPr>
            <w:rStyle w:val="Hyperlink"/>
            <w:lang w:val="es-ES"/>
          </w:rPr>
          <w:t>www.itu.int/genderdashboard</w:t>
        </w:r>
      </w:hyperlink>
      <w:r w:rsidRPr="00F8275B">
        <w:rPr>
          <w:lang w:val="es-ES"/>
        </w:rPr>
        <w:t>.</w:t>
      </w:r>
    </w:p>
    <w:p w14:paraId="7F7ED9CB" w14:textId="37C480E6" w:rsidR="00CE6D77" w:rsidRPr="00F8275B" w:rsidRDefault="00CE6D77" w:rsidP="00CE6D77">
      <w:pPr>
        <w:rPr>
          <w:lang w:val="es-ES"/>
        </w:rPr>
      </w:pPr>
      <w:r w:rsidRPr="00F8275B">
        <w:rPr>
          <w:lang w:val="es-ES"/>
        </w:rPr>
        <w:t>NoW en el UIT-T y la campaña NOW4WTSA24, lanzada en el Desayuno de la Red de Mujeres celebrado en el GANT en enero de 2024, están alentando a la comunidad de la UIT a nombrar a más mujeres para cargos directivos del UIT-T y como delegadas y jefas de delegaciones para la AMNT-24.</w:t>
      </w:r>
    </w:p>
    <w:p w14:paraId="407642F9" w14:textId="1AEDF25B" w:rsidR="00CE6D77" w:rsidRPr="00F8275B" w:rsidRDefault="00CE6D77" w:rsidP="00CE6D77">
      <w:pPr>
        <w:rPr>
          <w:lang w:val="es-ES"/>
        </w:rPr>
      </w:pPr>
      <w:r w:rsidRPr="00F8275B">
        <w:rPr>
          <w:lang w:val="es-ES"/>
        </w:rPr>
        <w:t>La campaña NOW4WTSA24 tiene también por objeto que la participación de la mujer en la</w:t>
      </w:r>
      <w:r w:rsidR="001A500C" w:rsidRPr="00F8275B">
        <w:rPr>
          <w:lang w:val="es-ES"/>
        </w:rPr>
        <w:t> </w:t>
      </w:r>
      <w:r w:rsidRPr="00F8275B">
        <w:rPr>
          <w:lang w:val="es-ES"/>
        </w:rPr>
        <w:t>AMNT sea de más del 35%, teniendo en cuenta que dicha participación fue del 32% en la</w:t>
      </w:r>
      <w:r w:rsidR="001A500C" w:rsidRPr="00F8275B">
        <w:rPr>
          <w:lang w:val="es-ES"/>
        </w:rPr>
        <w:t> </w:t>
      </w:r>
      <w:r w:rsidRPr="00F8275B">
        <w:rPr>
          <w:lang w:val="es-ES"/>
        </w:rPr>
        <w:t>AMNT de 2020.</w:t>
      </w:r>
    </w:p>
    <w:p w14:paraId="13F4189C" w14:textId="77777777" w:rsidR="00CE6D77" w:rsidRPr="00F8275B" w:rsidRDefault="00CE6D77" w:rsidP="00CE6D77">
      <w:pPr>
        <w:rPr>
          <w:lang w:val="es-ES"/>
        </w:rPr>
      </w:pPr>
      <w:r w:rsidRPr="00F8275B">
        <w:rPr>
          <w:lang w:val="es-ES"/>
        </w:rPr>
        <w:t>Las actividades de NoW en el UIT-T también incluyen un programa de formación para ayudar a las mujeres a maximizar el valor de su participación en la AMNT y la labor de normalización de la UIT.</w:t>
      </w:r>
    </w:p>
    <w:p w14:paraId="1660DD75" w14:textId="77171B5E" w:rsidR="00CE6D77" w:rsidRPr="00F8275B" w:rsidRDefault="00CE6D77" w:rsidP="00CE6D77">
      <w:pPr>
        <w:rPr>
          <w:lang w:val="es-ES"/>
        </w:rPr>
      </w:pPr>
      <w:r w:rsidRPr="00F8275B">
        <w:rPr>
          <w:lang w:val="es-ES"/>
        </w:rPr>
        <w:t>Aproximadamente el 28% de los expertos en normalización del UIT-T son actualmente mujeres, y estas ostentan en torno al 25% de los cargos directivos del UIT-T.</w:t>
      </w:r>
    </w:p>
    <w:p w14:paraId="1D1CA19B" w14:textId="247976CB" w:rsidR="00CE6D77" w:rsidRPr="00F8275B" w:rsidRDefault="0010223E" w:rsidP="00CE6D77">
      <w:pPr>
        <w:pStyle w:val="Heading3"/>
        <w:rPr>
          <w:lang w:val="es-ES"/>
        </w:rPr>
      </w:pPr>
      <w:bookmarkStart w:id="95" w:name="_Toc165024956"/>
      <w:r w:rsidRPr="00F8275B">
        <w:rPr>
          <w:lang w:val="es-ES"/>
        </w:rPr>
        <w:t>4.5</w:t>
      </w:r>
      <w:r w:rsidR="00CE6D77" w:rsidRPr="00F8275B">
        <w:rPr>
          <w:lang w:val="es-ES"/>
        </w:rPr>
        <w:t>.2</w:t>
      </w:r>
      <w:r w:rsidR="00CE6D77" w:rsidRPr="00F8275B">
        <w:rPr>
          <w:lang w:val="es-ES"/>
        </w:rPr>
        <w:tab/>
        <w:t>Jóvenes</w:t>
      </w:r>
      <w:bookmarkEnd w:id="95"/>
    </w:p>
    <w:p w14:paraId="05867609" w14:textId="77777777" w:rsidR="00AF4E63" w:rsidRPr="00F8275B" w:rsidRDefault="00AF4E63" w:rsidP="00E503AF">
      <w:pPr>
        <w:rPr>
          <w:sz w:val="22"/>
          <w:szCs w:val="22"/>
          <w:lang w:val="es-ES"/>
        </w:rPr>
      </w:pPr>
      <w:r w:rsidRPr="00F8275B">
        <w:rPr>
          <w:lang w:val="es-ES"/>
        </w:rPr>
        <w:t>En 2023 y 2024, la Secretaría de la UIT siguió trabajando a favor de la aplicación de la Resolución 198 (Rev. Bucarest, 2022) de la Conferencia de Plenipotenciarios, sobre el empoderamiento de la juventud a través de las telecomunicaciones y las tecnologías de la información y la comunicación, y velando por que se incorpore una perspectiva centrada en la juventud en los programas de trabajo, los métodos de gestión y las actividades de desarrollo de recursos humanos de la UIT. A fin de empoderar a los jóvenes funcionarios de la UIT, se creó un Grupo de Tareas Especiales para la Juventud. Esta iniciativa dirigida por el personal abarca aproximadamente unos 20 funcionarios de todos los sectores y la Secretaría General (SG).</w:t>
      </w:r>
    </w:p>
    <w:p w14:paraId="28FEE71B" w14:textId="38F13E2B" w:rsidR="00AF4E63" w:rsidRPr="00F8275B" w:rsidRDefault="00AF4E63" w:rsidP="00E503AF">
      <w:pPr>
        <w:rPr>
          <w:color w:val="242424"/>
          <w:sz w:val="22"/>
          <w:szCs w:val="22"/>
          <w:lang w:val="es-ES"/>
        </w:rPr>
      </w:pPr>
      <w:r w:rsidRPr="00F8275B">
        <w:rPr>
          <w:lang w:val="es-ES"/>
        </w:rPr>
        <w:t xml:space="preserve">A fin de fomentar e incorporar actividades relacionadas con los jóvenes, se han emprendido diversas iniciativas, algunos de cuyos aspectos esenciales se exponen a continuación: se creó la </w:t>
      </w:r>
      <w:hyperlink r:id="rId76" w:history="1">
        <w:r w:rsidRPr="00F8275B">
          <w:rPr>
            <w:rStyle w:val="Hyperlink"/>
            <w:lang w:val="es-ES"/>
          </w:rPr>
          <w:t>Junta de Jóvenes Asesores de la Secretaria General de la UIT</w:t>
        </w:r>
      </w:hyperlink>
      <w:r w:rsidRPr="00F8275B">
        <w:rPr>
          <w:lang w:val="es-ES"/>
        </w:rPr>
        <w:t xml:space="preserve">, como una iniciativa dinámica y con visión de futuro que empodera a los jóvenes para formar el futuro de la conectividad mundial, y se preparó el </w:t>
      </w:r>
      <w:hyperlink r:id="rId77" w:history="1">
        <w:r w:rsidRPr="00F8275B">
          <w:rPr>
            <w:rStyle w:val="Hyperlink"/>
            <w:lang w:val="es-ES"/>
          </w:rPr>
          <w:t>programa de jóvenes líderes de la iniciativa Generation Connect (GCYLP)</w:t>
        </w:r>
      </w:hyperlink>
      <w:r w:rsidRPr="00F8275B">
        <w:rPr>
          <w:lang w:val="es-ES"/>
        </w:rPr>
        <w:t xml:space="preserve"> como un programa de liderazgo para empoderar e inspirar a los jóvenes generadores del cambio digital. A través del programa GCYLP, se proporcionará orientación, capacitación y apoyo financiero a 30 jóvenes becarios cada año, permitiéndoles implementar </w:t>
      </w:r>
      <w:r w:rsidRPr="00F8275B">
        <w:rPr>
          <w:lang w:val="es-ES"/>
        </w:rPr>
        <w:lastRenderedPageBreak/>
        <w:t>de manera práctica sus propios proyectos de desarrollo digital en sus diversas comunidades en todo el mundo.</w:t>
      </w:r>
    </w:p>
    <w:p w14:paraId="55F4C2C9" w14:textId="5591BACB" w:rsidR="00AF4E63" w:rsidRPr="00F8275B" w:rsidRDefault="00AF4E63" w:rsidP="00B76C0F">
      <w:pPr>
        <w:rPr>
          <w:sz w:val="22"/>
          <w:szCs w:val="22"/>
          <w:lang w:val="es-ES"/>
        </w:rPr>
      </w:pPr>
      <w:r w:rsidRPr="00F8275B">
        <w:rPr>
          <w:lang w:val="es-ES"/>
        </w:rPr>
        <w:t>En 2023 y 2024, la UIT aumentó la participación de los jóvenes en eventos e iniciativas de la UIT, como la Cumbre "AI for Good", los foros regionales de desarrollo, las sesiones de las Comisiones de Estudio, los premios EQUALS in Tech, el Día de las Niñas en las TIC, entre otros. La</w:t>
      </w:r>
      <w:r w:rsidR="00507A14" w:rsidRPr="00F8275B">
        <w:rPr>
          <w:lang w:val="es-ES"/>
        </w:rPr>
        <w:t>s Oficinas de Desarrollo y Normalización de la UIT (</w:t>
      </w:r>
      <w:r w:rsidRPr="00F8275B">
        <w:rPr>
          <w:lang w:val="es-ES"/>
        </w:rPr>
        <w:t>BDT y TSB</w:t>
      </w:r>
      <w:r w:rsidR="00507A14" w:rsidRPr="00F8275B">
        <w:rPr>
          <w:lang w:val="es-ES"/>
        </w:rPr>
        <w:t>)</w:t>
      </w:r>
      <w:r w:rsidRPr="00F8275B">
        <w:rPr>
          <w:lang w:val="es-ES"/>
        </w:rPr>
        <w:t xml:space="preserve"> estuvieron a la cabeza de la participación e</w:t>
      </w:r>
      <w:r w:rsidR="00507A14" w:rsidRPr="00F8275B">
        <w:rPr>
          <w:lang w:val="es-ES"/>
        </w:rPr>
        <w:t>fectiva de los jóvenes en la IA;</w:t>
      </w:r>
      <w:r w:rsidRPr="00F8275B">
        <w:rPr>
          <w:lang w:val="es-ES"/>
        </w:rPr>
        <w:t xml:space="preserve"> crearon un Grupo Consultivo de AI for Good-Generation Connect; desarrollaron conjuntamente el seminario web Neural Network: </w:t>
      </w:r>
      <w:hyperlink r:id="rId78" w:history="1">
        <w:r w:rsidRPr="00F8275B">
          <w:rPr>
            <w:rStyle w:val="Hyperlink"/>
            <w:lang w:val="es-ES"/>
          </w:rPr>
          <w:t>Cómo cambiará ChatGPT las aulas: debate entre profesores y alumnos</w:t>
        </w:r>
      </w:hyperlink>
      <w:r w:rsidRPr="00F8275B">
        <w:rPr>
          <w:lang w:val="es-ES"/>
        </w:rPr>
        <w:t xml:space="preserve">; crearon conjuntamente la </w:t>
      </w:r>
      <w:hyperlink r:id="rId79" w:history="1">
        <w:r w:rsidRPr="00F8275B">
          <w:rPr>
            <w:rStyle w:val="Hyperlink"/>
            <w:lang w:val="es-ES"/>
          </w:rPr>
          <w:t>encuesta mundial de AI for Good y Generation Connect sobre IA y juventud</w:t>
        </w:r>
      </w:hyperlink>
      <w:r w:rsidRPr="00F8275B">
        <w:rPr>
          <w:lang w:val="es-ES"/>
        </w:rPr>
        <w:t xml:space="preserve">; cocrearon la sesión titulada: </w:t>
      </w:r>
      <w:hyperlink r:id="rId80" w:history="1">
        <w:r w:rsidRPr="00F8275B">
          <w:rPr>
            <w:rStyle w:val="Hyperlink"/>
            <w:lang w:val="es-ES"/>
          </w:rPr>
          <w:t>El impacto de la IA en los jóvenes: oportunidades y desafíos</w:t>
        </w:r>
      </w:hyperlink>
      <w:r w:rsidRPr="00F8275B">
        <w:rPr>
          <w:lang w:val="es-ES"/>
        </w:rPr>
        <w:t xml:space="preserve"> en la Cumbre </w:t>
      </w:r>
      <w:r w:rsidR="00507A14" w:rsidRPr="00F8275B">
        <w:rPr>
          <w:lang w:val="es-ES"/>
        </w:rPr>
        <w:t xml:space="preserve">Mundial de AI for Good de 2023; y </w:t>
      </w:r>
      <w:r w:rsidRPr="00F8275B">
        <w:rPr>
          <w:lang w:val="es-ES"/>
        </w:rPr>
        <w:t xml:space="preserve">organizaron la sesión conjunta de AI for Good y Generation Connect sobre </w:t>
      </w:r>
      <w:r w:rsidRPr="00F8275B">
        <w:rPr>
          <w:i/>
          <w:iCs/>
          <w:lang w:val="es-ES"/>
        </w:rPr>
        <w:t xml:space="preserve">AI for </w:t>
      </w:r>
      <w:r w:rsidR="00A55B05" w:rsidRPr="00F8275B">
        <w:rPr>
          <w:i/>
          <w:iCs/>
          <w:lang w:val="es-ES"/>
        </w:rPr>
        <w:t>Good</w:t>
      </w:r>
      <w:r w:rsidRPr="00F8275B">
        <w:rPr>
          <w:i/>
          <w:iCs/>
          <w:lang w:val="es-ES"/>
        </w:rPr>
        <w:t xml:space="preserve"> e ingeniería rápida</w:t>
      </w:r>
      <w:r w:rsidRPr="00F8275B">
        <w:rPr>
          <w:lang w:val="es-ES"/>
        </w:rPr>
        <w:t>, impartida en el Misk Global Forum de 2023 en Riyadh (Arabia Saudita).</w:t>
      </w:r>
    </w:p>
    <w:p w14:paraId="29E179E7" w14:textId="40384C11" w:rsidR="00AF4E63" w:rsidRPr="00F8275B" w:rsidRDefault="00AF4E63" w:rsidP="00E503AF">
      <w:pPr>
        <w:rPr>
          <w:sz w:val="22"/>
          <w:szCs w:val="22"/>
          <w:lang w:val="es-ES"/>
        </w:rPr>
      </w:pPr>
      <w:r w:rsidRPr="00F8275B">
        <w:rPr>
          <w:lang w:val="es-ES"/>
        </w:rPr>
        <w:t>La Secretaría de la UIT también está trabajando para estrechar las relaciones con las instituciones académicas en términos de apoyo a la investigación y participación de los estudiantes. Puede encontrarse más información sobre las iniciativas relacionadas con la juventud en el Documento</w:t>
      </w:r>
      <w:r w:rsidR="00E503AF" w:rsidRPr="00F8275B">
        <w:rPr>
          <w:lang w:val="es-ES"/>
        </w:rPr>
        <w:t> </w:t>
      </w:r>
      <w:hyperlink r:id="rId81" w:history="1">
        <w:r w:rsidRPr="00F8275B">
          <w:rPr>
            <w:rStyle w:val="Hyperlink"/>
            <w:lang w:val="es-ES"/>
          </w:rPr>
          <w:t>C24/31</w:t>
        </w:r>
      </w:hyperlink>
      <w:r w:rsidRPr="00F8275B">
        <w:rPr>
          <w:lang w:val="es-ES"/>
        </w:rPr>
        <w:t xml:space="preserve"> del Consejo de la UIT.</w:t>
      </w:r>
    </w:p>
    <w:p w14:paraId="4A0E6770" w14:textId="5BEDB490" w:rsidR="00AF4E63" w:rsidRPr="00F8275B" w:rsidRDefault="00AF4E63" w:rsidP="00E503AF">
      <w:pPr>
        <w:spacing w:after="120"/>
        <w:rPr>
          <w:sz w:val="22"/>
          <w:szCs w:val="22"/>
          <w:lang w:val="es-ES"/>
        </w:rPr>
      </w:pPr>
      <w:r w:rsidRPr="00F8275B">
        <w:rPr>
          <w:lang w:val="es-ES"/>
        </w:rPr>
        <w:t>En el Documento</w:t>
      </w:r>
      <w:r w:rsidR="00E503AF" w:rsidRPr="00F8275B">
        <w:rPr>
          <w:lang w:val="es-ES"/>
        </w:rPr>
        <w:t> </w:t>
      </w:r>
      <w:hyperlink r:id="rId82" w:history="1">
        <w:r w:rsidRPr="00F8275B">
          <w:rPr>
            <w:rStyle w:val="Hyperlink"/>
            <w:lang w:val="es-ES"/>
          </w:rPr>
          <w:t>C24/32</w:t>
        </w:r>
      </w:hyperlink>
      <w:r w:rsidRPr="00F8275B">
        <w:rPr>
          <w:lang w:val="es-ES"/>
        </w:rPr>
        <w:t xml:space="preserve"> figura </w:t>
      </w:r>
      <w:r w:rsidR="00507A14" w:rsidRPr="00F8275B">
        <w:rPr>
          <w:lang w:val="es-ES"/>
        </w:rPr>
        <w:t xml:space="preserve">información sobre los preparativos </w:t>
      </w:r>
      <w:r w:rsidRPr="00F8275B">
        <w:rPr>
          <w:lang w:val="es-ES"/>
        </w:rPr>
        <w:t>de la Cumbre Mundial de la Juventud de la UIT.</w:t>
      </w:r>
    </w:p>
    <w:tbl>
      <w:tblPr>
        <w:tblStyle w:val="TableGridLight1"/>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061"/>
      </w:tblGrid>
      <w:tr w:rsidR="00AF4E63" w:rsidRPr="00F8275B" w14:paraId="05A251FC" w14:textId="77777777" w:rsidTr="00E503AF">
        <w:trPr>
          <w:jc w:val="center"/>
        </w:trPr>
        <w:tc>
          <w:tcPr>
            <w:tcW w:w="9061" w:type="dxa"/>
          </w:tcPr>
          <w:p w14:paraId="7AA9CCF4" w14:textId="77777777" w:rsidR="00AF4E63" w:rsidRPr="00F8275B" w:rsidRDefault="00AF4E63" w:rsidP="00242F5A">
            <w:pPr>
              <w:jc w:val="center"/>
              <w:rPr>
                <w:b/>
                <w:bCs/>
                <w:sz w:val="28"/>
                <w:szCs w:val="28"/>
                <w:lang w:val="es-ES"/>
              </w:rPr>
            </w:pPr>
            <w:r w:rsidRPr="00F8275B">
              <w:rPr>
                <w:b/>
                <w:bCs/>
                <w:sz w:val="28"/>
                <w:szCs w:val="28"/>
                <w:lang w:val="es-ES"/>
              </w:rPr>
              <w:t>Historia de impacto</w:t>
            </w:r>
          </w:p>
          <w:p w14:paraId="36816BF5" w14:textId="77777777" w:rsidR="00AF4E63" w:rsidRPr="00F8275B" w:rsidRDefault="00AF4E63" w:rsidP="00E503AF">
            <w:pPr>
              <w:pStyle w:val="Headingb"/>
              <w:rPr>
                <w:rFonts w:eastAsia="DengXian" w:cs="Calibri"/>
                <w:szCs w:val="24"/>
                <w:lang w:val="es-ES"/>
                <w14:ligatures w14:val="standardContextual"/>
              </w:rPr>
            </w:pPr>
            <w:r w:rsidRPr="00F8275B">
              <w:rPr>
                <w:lang w:val="es-ES"/>
              </w:rPr>
              <w:t>Aprendizaje electrónico en las zonas rurales de Zimbabwe</w:t>
            </w:r>
          </w:p>
          <w:p w14:paraId="1E176E1F" w14:textId="77777777" w:rsidR="00AF4E63" w:rsidRPr="00F8275B" w:rsidRDefault="00AF4E63" w:rsidP="00E503AF">
            <w:pPr>
              <w:rPr>
                <w:rFonts w:eastAsia="DengXian" w:cs="Calibri"/>
                <w:sz w:val="22"/>
                <w:lang w:val="es-ES"/>
                <w14:ligatures w14:val="standardContextual"/>
              </w:rPr>
            </w:pPr>
            <w:r w:rsidRPr="00F8275B">
              <w:rPr>
                <w:lang w:val="es-ES"/>
              </w:rPr>
              <w:t>Un nuevo proyecto de aprendizaje electrónico de la UIT llevado a cabo en el centro de secundaria de Ndlovu, en Victoria Falls (Zimbabwe), tiene por objeto abrir nuevas oportunidades y horizontes dotando a los niños de competencias digitales, y manteniendo la seguridad de los niños en línea. En la inauguración del proyecto realizada en abril de 2023, los padres y docentes de la comunidad rural de Zimbabwe compartieron sus esperanzas y sueños para el futuro digital de la próxima generación.</w:t>
            </w:r>
          </w:p>
          <w:p w14:paraId="03E8661E" w14:textId="16E85D75" w:rsidR="00AF4E63" w:rsidRPr="00F8275B" w:rsidRDefault="00534F60" w:rsidP="00E503AF">
            <w:pPr>
              <w:spacing w:after="120"/>
              <w:rPr>
                <w:rFonts w:asciiTheme="minorHAnsi" w:hAnsiTheme="minorHAnsi" w:cstheme="minorHAnsi"/>
                <w:sz w:val="22"/>
                <w:lang w:val="es-ES"/>
              </w:rPr>
            </w:pPr>
            <w:hyperlink r:id="rId83" w:history="1">
              <w:r w:rsidR="00AB5621" w:rsidRPr="00F8275B">
                <w:rPr>
                  <w:rStyle w:val="Hyperlink"/>
                  <w:lang w:val="es-ES"/>
                </w:rPr>
                <w:t>Más información sobre las aspiraciones digitales de la comunidad</w:t>
              </w:r>
            </w:hyperlink>
          </w:p>
        </w:tc>
      </w:tr>
    </w:tbl>
    <w:p w14:paraId="6E707173" w14:textId="71DBB908" w:rsidR="00CE6D77" w:rsidRPr="00F8275B" w:rsidRDefault="00AF4E63" w:rsidP="00E503AF">
      <w:pPr>
        <w:pStyle w:val="Normalaftertitle"/>
        <w:rPr>
          <w:lang w:val="es-ES"/>
        </w:rPr>
      </w:pPr>
      <w:r w:rsidRPr="00F8275B">
        <w:rPr>
          <w:lang w:val="es-ES"/>
        </w:rPr>
        <w:t>Además, e</w:t>
      </w:r>
      <w:r w:rsidR="00CE6D77" w:rsidRPr="00F8275B">
        <w:rPr>
          <w:lang w:val="es-ES"/>
        </w:rPr>
        <w:t xml:space="preserve">l </w:t>
      </w:r>
      <w:hyperlink r:id="rId84" w:history="1">
        <w:r w:rsidR="00CE6D77" w:rsidRPr="00F8275B">
          <w:rPr>
            <w:rStyle w:val="Hyperlink"/>
            <w:i/>
            <w:iCs/>
            <w:lang w:val="es-ES"/>
          </w:rPr>
          <w:t>Caleidoscopio de la UIT 2024: Innovación y transformación digital para un mundo sostenible</w:t>
        </w:r>
      </w:hyperlink>
      <w:r w:rsidR="00CE6D77" w:rsidRPr="00F8275B">
        <w:rPr>
          <w:lang w:val="es-ES"/>
        </w:rPr>
        <w:t xml:space="preserve"> tendrá lugar del 21 al 23 de octubre en Nueva Delhi (India), paralelamente a la </w:t>
      </w:r>
      <w:hyperlink r:id="rId85" w:history="1">
        <w:r w:rsidR="00CE6D77" w:rsidRPr="00F8275B">
          <w:rPr>
            <w:rStyle w:val="Hyperlink"/>
            <w:lang w:val="es-ES"/>
          </w:rPr>
          <w:t>Asamblea Mundial de Normalización de las Telecomunicaciones</w:t>
        </w:r>
      </w:hyperlink>
      <w:r w:rsidR="00CE6D77" w:rsidRPr="00F8275B">
        <w:rPr>
          <w:lang w:val="es-ES"/>
        </w:rPr>
        <w:t>. El Caleidoscopio de 2024 incluirá una sesión especial sobre la implicación de un mayor número de jóvenes en la labor de normalización y la manera en que la UIT puede apoyar a la siguiente generación de generadores de consensos.</w:t>
      </w:r>
    </w:p>
    <w:p w14:paraId="6ABD472E" w14:textId="6390FAF3" w:rsidR="00CE6D77" w:rsidRPr="00F8275B" w:rsidRDefault="00CE6D77" w:rsidP="00CE6D77">
      <w:pPr>
        <w:rPr>
          <w:lang w:val="es-ES"/>
        </w:rPr>
      </w:pPr>
      <w:r w:rsidRPr="00F8275B">
        <w:rPr>
          <w:lang w:val="es-ES"/>
        </w:rPr>
        <w:t>Las actividades del Sector de Desarrollo de la UIT (UIT-D) que abarcan la juventud se describen en el informe de la Oficina de Desarrollo de las T</w:t>
      </w:r>
      <w:r w:rsidR="00507A14" w:rsidRPr="00F8275B">
        <w:rPr>
          <w:lang w:val="es-ES"/>
        </w:rPr>
        <w:t>elecomunicaciones (BDT) al GADT.</w:t>
      </w:r>
    </w:p>
    <w:p w14:paraId="7A609A08" w14:textId="2A727F22" w:rsidR="00CE6D77" w:rsidRPr="00F8275B" w:rsidRDefault="00CE6D77" w:rsidP="00CE6D77">
      <w:pPr>
        <w:pStyle w:val="Heading3"/>
        <w:rPr>
          <w:lang w:val="es-ES"/>
        </w:rPr>
      </w:pPr>
      <w:bookmarkStart w:id="96" w:name="_Toc165024957"/>
      <w:r w:rsidRPr="00F8275B">
        <w:rPr>
          <w:lang w:val="es-ES"/>
        </w:rPr>
        <w:lastRenderedPageBreak/>
        <w:t>4.</w:t>
      </w:r>
      <w:r w:rsidR="00AF4E63" w:rsidRPr="00F8275B">
        <w:rPr>
          <w:lang w:val="es-ES"/>
        </w:rPr>
        <w:t>5</w:t>
      </w:r>
      <w:r w:rsidRPr="00F8275B">
        <w:rPr>
          <w:lang w:val="es-ES"/>
        </w:rPr>
        <w:t>.3</w:t>
      </w:r>
      <w:r w:rsidRPr="00F8275B">
        <w:rPr>
          <w:lang w:val="es-ES"/>
        </w:rPr>
        <w:tab/>
        <w:t>TIC/Accesibilidad</w:t>
      </w:r>
      <w:bookmarkEnd w:id="96"/>
    </w:p>
    <w:p w14:paraId="7A483F57" w14:textId="58F6FBFB" w:rsidR="00AF4E63" w:rsidRPr="00F8275B" w:rsidRDefault="00CE6D77" w:rsidP="008D048D">
      <w:pPr>
        <w:keepNext/>
        <w:keepLines/>
        <w:rPr>
          <w:sz w:val="22"/>
          <w:szCs w:val="22"/>
          <w:lang w:val="es-ES"/>
        </w:rPr>
      </w:pPr>
      <w:r w:rsidRPr="00F8275B">
        <w:rPr>
          <w:lang w:val="es-ES"/>
        </w:rPr>
        <w:t>La UIT se esfuerza por aumentar el acceso a las TIC de las personas con discapacidad mediante la sensibilización acerca de su derecho a acceder a las TIC, la integración de la accesibilidad en la elaboración de normas técnicas internacionales y la educación y formación sobre cuestiones de accesibilidad esenciales.</w:t>
      </w:r>
      <w:r w:rsidR="00AF4E63" w:rsidRPr="00F8275B">
        <w:rPr>
          <w:lang w:val="es-ES"/>
        </w:rPr>
        <w:t xml:space="preserve"> Además, durante el periodo sobre el que se informa, muchos Miembros de la UIT, interesados y participantes aumentaron sus conocimientos en materia de accesibilidad digital/de las TIC a través de diversas actividades. El </w:t>
      </w:r>
      <w:hyperlink r:id="rId86" w:history="1">
        <w:r w:rsidR="00AF4E63" w:rsidRPr="00F8275B">
          <w:rPr>
            <w:rStyle w:val="Hyperlink"/>
            <w:lang w:val="es-ES"/>
          </w:rPr>
          <w:t>UIT-D</w:t>
        </w:r>
      </w:hyperlink>
      <w:r w:rsidR="00AF4E63" w:rsidRPr="00F8275B">
        <w:rPr>
          <w:lang w:val="es-ES"/>
        </w:rPr>
        <w:t xml:space="preserve"> brindó asesoramiento experto sobre accesibilidad de las TIC para ayudar a los Miembros de la UIT en su empeño por fomentar la inclusión digital mediante formaciones ejecutivas para responsables políticos y decisorios regionales.</w:t>
      </w:r>
    </w:p>
    <w:p w14:paraId="56E3A5AD" w14:textId="77777777" w:rsidR="00CE6D77" w:rsidRPr="00F8275B" w:rsidRDefault="00CE6D77" w:rsidP="00CE6D77">
      <w:pPr>
        <w:rPr>
          <w:lang w:val="es-ES"/>
        </w:rPr>
      </w:pPr>
      <w:r w:rsidRPr="00F8275B">
        <w:rPr>
          <w:lang w:val="es-ES"/>
        </w:rPr>
        <w:t xml:space="preserve">Si desea consultar una reseña de todas las actividades de la UIT relativas a la accesibilidad, véase la </w:t>
      </w:r>
      <w:hyperlink r:id="rId87" w:history="1">
        <w:r w:rsidRPr="00F8275B">
          <w:rPr>
            <w:rStyle w:val="Hyperlink"/>
            <w:lang w:val="es-ES"/>
          </w:rPr>
          <w:t>UIT y la Accesibilidad</w:t>
        </w:r>
      </w:hyperlink>
      <w:r w:rsidRPr="00F8275B">
        <w:rPr>
          <w:lang w:val="es-ES"/>
        </w:rPr>
        <w:t>.</w:t>
      </w:r>
    </w:p>
    <w:p w14:paraId="7657BFB3" w14:textId="77777777" w:rsidR="00CE6D77" w:rsidRPr="00F8275B" w:rsidRDefault="00CE6D77" w:rsidP="00CE6D77">
      <w:pPr>
        <w:pStyle w:val="Headingb"/>
        <w:rPr>
          <w:lang w:val="es-ES"/>
        </w:rPr>
      </w:pPr>
      <w:r w:rsidRPr="00F8275B">
        <w:rPr>
          <w:lang w:val="es-ES"/>
        </w:rPr>
        <w:t>UIT-D</w:t>
      </w:r>
    </w:p>
    <w:p w14:paraId="1F623EC6" w14:textId="5241B1C3" w:rsidR="00CE6D77" w:rsidRPr="00F8275B" w:rsidRDefault="00CE6D77" w:rsidP="00CE6D77">
      <w:pPr>
        <w:rPr>
          <w:lang w:val="es-ES"/>
        </w:rPr>
      </w:pPr>
      <w:r w:rsidRPr="00F8275B">
        <w:rPr>
          <w:lang w:val="es-ES"/>
        </w:rPr>
        <w:t>Las actividades del UIT-D relacionadas con la accesibilidad se describen en el informe de la</w:t>
      </w:r>
      <w:r w:rsidR="00A77E1C" w:rsidRPr="00F8275B">
        <w:rPr>
          <w:lang w:val="es-ES"/>
        </w:rPr>
        <w:t> </w:t>
      </w:r>
      <w:r w:rsidR="00507A14" w:rsidRPr="00F8275B">
        <w:rPr>
          <w:lang w:val="es-ES"/>
        </w:rPr>
        <w:t xml:space="preserve">BDT al GADT. </w:t>
      </w:r>
      <w:r w:rsidR="00AF4E63" w:rsidRPr="00F8275B">
        <w:rPr>
          <w:lang w:val="es-ES"/>
        </w:rPr>
        <w:t xml:space="preserve">Véase también la </w:t>
      </w:r>
      <w:hyperlink r:id="rId88" w:history="1">
        <w:r w:rsidR="00AF4E63" w:rsidRPr="00F8275B">
          <w:rPr>
            <w:rStyle w:val="Hyperlink"/>
            <w:lang w:val="es-ES"/>
          </w:rPr>
          <w:t>página web sobre la accesibilidad digital de las</w:t>
        </w:r>
        <w:r w:rsidR="00AB5621" w:rsidRPr="00F8275B">
          <w:rPr>
            <w:rStyle w:val="Hyperlink"/>
            <w:lang w:val="es-ES"/>
          </w:rPr>
          <w:t> </w:t>
        </w:r>
        <w:r w:rsidR="00AF4E63" w:rsidRPr="00F8275B">
          <w:rPr>
            <w:rStyle w:val="Hyperlink"/>
            <w:lang w:val="es-ES"/>
          </w:rPr>
          <w:t>TIC</w:t>
        </w:r>
      </w:hyperlink>
      <w:r w:rsidR="00AF4E63" w:rsidRPr="00F8275B">
        <w:rPr>
          <w:lang w:val="es-ES"/>
        </w:rPr>
        <w:t>.</w:t>
      </w:r>
    </w:p>
    <w:p w14:paraId="170EF871" w14:textId="77777777" w:rsidR="00CE6D77" w:rsidRPr="00F8275B" w:rsidRDefault="00CE6D77" w:rsidP="00CE6D77">
      <w:pPr>
        <w:pStyle w:val="Headingb"/>
        <w:rPr>
          <w:lang w:val="es-ES"/>
        </w:rPr>
      </w:pPr>
      <w:r w:rsidRPr="00F8275B">
        <w:rPr>
          <w:lang w:val="es-ES"/>
        </w:rPr>
        <w:t>UIT-T</w:t>
      </w:r>
    </w:p>
    <w:p w14:paraId="345DB79B" w14:textId="51171B30" w:rsidR="00CE6D77" w:rsidRPr="00F8275B" w:rsidRDefault="00CE6D77" w:rsidP="00CE6D77">
      <w:pPr>
        <w:rPr>
          <w:lang w:val="es-ES"/>
        </w:rPr>
      </w:pPr>
      <w:r w:rsidRPr="00F8275B">
        <w:rPr>
          <w:lang w:val="es-ES"/>
        </w:rPr>
        <w:t>Si desea consultar una reseña de las actividades relativas a la accesibilidad</w:t>
      </w:r>
      <w:r w:rsidR="00507A14" w:rsidRPr="00F8275B">
        <w:rPr>
          <w:lang w:val="es-ES"/>
        </w:rPr>
        <w:t xml:space="preserve"> llevadas a cabo en el Sector de Normalización de la UIT (UIT-T) y la Oficina de Normalización de las Telecomunicaciones (TSB)</w:t>
      </w:r>
      <w:r w:rsidRPr="00F8275B">
        <w:rPr>
          <w:lang w:val="es-ES"/>
        </w:rPr>
        <w:t xml:space="preserve">, véase el </w:t>
      </w:r>
      <w:hyperlink r:id="rId89" w:history="1">
        <w:r w:rsidRPr="00F8275B">
          <w:rPr>
            <w:rStyle w:val="Hyperlink"/>
            <w:lang w:val="es-ES"/>
          </w:rPr>
          <w:t>UIT-T y la Accesibilidad</w:t>
        </w:r>
      </w:hyperlink>
      <w:r w:rsidRPr="00F8275B">
        <w:rPr>
          <w:lang w:val="es-ES"/>
        </w:rPr>
        <w:t>.</w:t>
      </w:r>
    </w:p>
    <w:p w14:paraId="0A5983C3" w14:textId="77777777" w:rsidR="00CE6D77" w:rsidRPr="00F8275B" w:rsidRDefault="00CE6D77" w:rsidP="00CE6D77">
      <w:pPr>
        <w:pStyle w:val="Headingb"/>
        <w:rPr>
          <w:lang w:val="es-ES"/>
        </w:rPr>
      </w:pPr>
      <w:r w:rsidRPr="00F8275B">
        <w:rPr>
          <w:lang w:val="es-ES"/>
        </w:rPr>
        <w:t>UIT-R</w:t>
      </w:r>
    </w:p>
    <w:p w14:paraId="27208A23" w14:textId="7E069F5C" w:rsidR="00CE6D77" w:rsidRPr="00F8275B" w:rsidRDefault="00CE6D77" w:rsidP="00CE6D77">
      <w:pPr>
        <w:rPr>
          <w:lang w:val="es-ES"/>
        </w:rPr>
      </w:pPr>
      <w:r w:rsidRPr="00F8275B">
        <w:rPr>
          <w:lang w:val="es-ES"/>
        </w:rPr>
        <w:t>En 2023 se revisaron y aprobaron cinco publicaciones del UIT-R que tienen en cuenta diversos aspectos de la accesibilidad. Estas surgieron en respuesta a la Resolución</w:t>
      </w:r>
      <w:r w:rsidR="00A77E1C" w:rsidRPr="00F8275B">
        <w:rPr>
          <w:lang w:val="es-ES"/>
        </w:rPr>
        <w:t> </w:t>
      </w:r>
      <w:hyperlink r:id="rId90" w:history="1">
        <w:r w:rsidRPr="00F8275B">
          <w:rPr>
            <w:rStyle w:val="Hyperlink"/>
            <w:lang w:val="es-ES"/>
          </w:rPr>
          <w:t>UIT-R 67-2</w:t>
        </w:r>
      </w:hyperlink>
      <w:r w:rsidRPr="00F8275B">
        <w:rPr>
          <w:lang w:val="es-ES"/>
        </w:rPr>
        <w:t xml:space="preserve"> sobre la "accesibilidad de las telecomunicaciones/TIC para las personas con discapacidad y las personas con necesidades especiales" (aprobada por la AR-23 el 17/11/2023); y la Recomendación</w:t>
      </w:r>
      <w:r w:rsidR="00A77E1C" w:rsidRPr="00F8275B">
        <w:rPr>
          <w:lang w:val="es-ES"/>
        </w:rPr>
        <w:t> </w:t>
      </w:r>
      <w:hyperlink r:id="rId91" w:history="1">
        <w:r w:rsidRPr="00F8275B">
          <w:rPr>
            <w:rStyle w:val="Hyperlink"/>
            <w:lang w:val="es-ES"/>
          </w:rPr>
          <w:t>UIT-R BT.1702-3</w:t>
        </w:r>
      </w:hyperlink>
      <w:r w:rsidRPr="00F8275B">
        <w:rPr>
          <w:lang w:val="es-ES"/>
        </w:rPr>
        <w:t xml:space="preserve"> sobre "directrices para la reducción de los ataques epilépticos fotosensibles causados por la televisión" (aprobada el 22/11/2023 – grupo responsable CE</w:t>
      </w:r>
      <w:r w:rsidR="00A77E1C" w:rsidRPr="00F8275B">
        <w:rPr>
          <w:lang w:val="es-ES"/>
        </w:rPr>
        <w:t> </w:t>
      </w:r>
      <w:r w:rsidRPr="00F8275B">
        <w:rPr>
          <w:lang w:val="es-ES"/>
        </w:rPr>
        <w:t>6 (GT</w:t>
      </w:r>
      <w:r w:rsidR="00A77E1C" w:rsidRPr="00F8275B">
        <w:rPr>
          <w:lang w:val="es-ES"/>
        </w:rPr>
        <w:t> </w:t>
      </w:r>
      <w:r w:rsidRPr="00F8275B">
        <w:rPr>
          <w:lang w:val="es-ES"/>
        </w:rPr>
        <w:t>6C)).</w:t>
      </w:r>
    </w:p>
    <w:p w14:paraId="26602055" w14:textId="62B94548" w:rsidR="00CE6D77" w:rsidRPr="00F8275B" w:rsidRDefault="00CE6D77" w:rsidP="00CE6D77">
      <w:pPr>
        <w:rPr>
          <w:lang w:val="es-ES"/>
        </w:rPr>
      </w:pPr>
      <w:r w:rsidRPr="00F8275B">
        <w:rPr>
          <w:lang w:val="es-ES"/>
        </w:rPr>
        <w:t xml:space="preserve">Puede consultarse información adicional sobre la labor del UIT-R acerca de las cuestiones de accesibilidad </w:t>
      </w:r>
      <w:hyperlink r:id="rId92" w:history="1">
        <w:r w:rsidR="00AF4E63" w:rsidRPr="00F8275B">
          <w:rPr>
            <w:rStyle w:val="Hyperlink"/>
            <w:lang w:val="es-ES"/>
          </w:rPr>
          <w:t>aquí</w:t>
        </w:r>
      </w:hyperlink>
      <w:r w:rsidRPr="00F8275B">
        <w:rPr>
          <w:lang w:val="es-ES"/>
        </w:rPr>
        <w:t>.</w:t>
      </w:r>
    </w:p>
    <w:p w14:paraId="50C51885" w14:textId="534E38BB" w:rsidR="00CE6D77" w:rsidRPr="00F8275B" w:rsidRDefault="00CE6D77" w:rsidP="00CE6D77">
      <w:pPr>
        <w:pStyle w:val="Heading3"/>
        <w:rPr>
          <w:lang w:val="es-ES"/>
        </w:rPr>
      </w:pPr>
      <w:bookmarkStart w:id="97" w:name="_Toc165024958"/>
      <w:r w:rsidRPr="00F8275B">
        <w:rPr>
          <w:lang w:val="es-ES"/>
        </w:rPr>
        <w:t>4.</w:t>
      </w:r>
      <w:r w:rsidR="00AF4E63" w:rsidRPr="00F8275B">
        <w:rPr>
          <w:lang w:val="es-ES"/>
        </w:rPr>
        <w:t>5</w:t>
      </w:r>
      <w:r w:rsidRPr="00F8275B">
        <w:rPr>
          <w:lang w:val="es-ES"/>
        </w:rPr>
        <w:t>.4</w:t>
      </w:r>
      <w:r w:rsidRPr="00F8275B">
        <w:rPr>
          <w:lang w:val="es-ES"/>
        </w:rPr>
        <w:tab/>
        <w:t>Pueblos indígenas</w:t>
      </w:r>
      <w:bookmarkEnd w:id="97"/>
    </w:p>
    <w:p w14:paraId="344A96A3" w14:textId="3ADC62DC" w:rsidR="00CE6D77" w:rsidRPr="00F8275B" w:rsidRDefault="00CE6D77" w:rsidP="00CE6D77">
      <w:pPr>
        <w:rPr>
          <w:lang w:val="es-ES"/>
        </w:rPr>
      </w:pPr>
      <w:r w:rsidRPr="00F8275B">
        <w:rPr>
          <w:lang w:val="es-ES"/>
        </w:rPr>
        <w:t>Las actividades del UIT-D relacionadas con las necesidades de los pueblos indígenas se describen en el info</w:t>
      </w:r>
      <w:r w:rsidR="00507A14" w:rsidRPr="00F8275B">
        <w:rPr>
          <w:lang w:val="es-ES"/>
        </w:rPr>
        <w:t>rme al GADT.</w:t>
      </w:r>
    </w:p>
    <w:p w14:paraId="2C81A968" w14:textId="7B9D048D" w:rsidR="00CE6D77" w:rsidRPr="00F8275B" w:rsidRDefault="00CE6D77" w:rsidP="00CE6D77">
      <w:pPr>
        <w:pStyle w:val="Heading3"/>
        <w:rPr>
          <w:lang w:val="es-ES"/>
        </w:rPr>
      </w:pPr>
      <w:bookmarkStart w:id="98" w:name="_Toc165024959"/>
      <w:r w:rsidRPr="00F8275B">
        <w:rPr>
          <w:lang w:val="es-ES"/>
        </w:rPr>
        <w:t>4.</w:t>
      </w:r>
      <w:r w:rsidR="00AF4E63" w:rsidRPr="00F8275B">
        <w:rPr>
          <w:lang w:val="es-ES"/>
        </w:rPr>
        <w:t>5</w:t>
      </w:r>
      <w:r w:rsidRPr="00F8275B">
        <w:rPr>
          <w:lang w:val="es-ES"/>
        </w:rPr>
        <w:t>.5</w:t>
      </w:r>
      <w:r w:rsidRPr="00F8275B">
        <w:rPr>
          <w:lang w:val="es-ES"/>
        </w:rPr>
        <w:tab/>
        <w:t>Personas de edad</w:t>
      </w:r>
      <w:bookmarkEnd w:id="98"/>
    </w:p>
    <w:p w14:paraId="054CCB7C" w14:textId="77777777" w:rsidR="00CE6D77" w:rsidRPr="00F8275B" w:rsidRDefault="00CE6D77" w:rsidP="00CE6D77">
      <w:pPr>
        <w:rPr>
          <w:lang w:val="es-ES"/>
        </w:rPr>
      </w:pPr>
      <w:r w:rsidRPr="00F8275B">
        <w:rPr>
          <w:lang w:val="es-ES"/>
        </w:rPr>
        <w:t xml:space="preserve">En un informe sobre </w:t>
      </w:r>
      <w:hyperlink r:id="rId93" w:history="1">
        <w:r w:rsidRPr="00F8275B">
          <w:rPr>
            <w:rStyle w:val="Hyperlink"/>
            <w:lang w:val="es-ES"/>
          </w:rPr>
          <w:t>la función de las tecnologías digitales en el envejecimiento y la salud</w:t>
        </w:r>
      </w:hyperlink>
      <w:r w:rsidRPr="00F8275B">
        <w:rPr>
          <w:lang w:val="es-ES"/>
        </w:rPr>
        <w:t xml:space="preserve"> (de abril de 2023), elaborado por la UIT y la Organización Panamericana de la Salud, se describen oportunidades para mejorar las vidas de las personas de edad con la ayuda de soluciones tecnológicas inclusivas.</w:t>
      </w:r>
    </w:p>
    <w:p w14:paraId="6E26F935" w14:textId="2C7156E4" w:rsidR="00CE6D77" w:rsidRPr="00F8275B" w:rsidRDefault="00CE6D77" w:rsidP="00CE6D77">
      <w:pPr>
        <w:rPr>
          <w:lang w:val="es-ES"/>
        </w:rPr>
      </w:pPr>
      <w:r w:rsidRPr="00F8275B">
        <w:rPr>
          <w:lang w:val="es-ES"/>
        </w:rPr>
        <w:t>Las actividades del UIT-D relacionadas con la población de edad se describen en el informe al</w:t>
      </w:r>
      <w:r w:rsidR="00A77E1C" w:rsidRPr="00F8275B">
        <w:rPr>
          <w:lang w:val="es-ES"/>
        </w:rPr>
        <w:t> </w:t>
      </w:r>
      <w:r w:rsidR="00507A14" w:rsidRPr="00F8275B">
        <w:rPr>
          <w:lang w:val="es-ES"/>
        </w:rPr>
        <w:t>GADT.</w:t>
      </w:r>
    </w:p>
    <w:p w14:paraId="68336A0D" w14:textId="7F9971D7" w:rsidR="00CE6D77" w:rsidRPr="00F8275B" w:rsidRDefault="00CE6D77" w:rsidP="00CE6D77">
      <w:pPr>
        <w:pStyle w:val="Heading3"/>
        <w:rPr>
          <w:lang w:val="es-ES"/>
        </w:rPr>
      </w:pPr>
      <w:bookmarkStart w:id="99" w:name="_Toc165024960"/>
      <w:r w:rsidRPr="00F8275B">
        <w:rPr>
          <w:lang w:val="es-ES"/>
        </w:rPr>
        <w:lastRenderedPageBreak/>
        <w:t>4.</w:t>
      </w:r>
      <w:r w:rsidR="00AF4E63" w:rsidRPr="00F8275B">
        <w:rPr>
          <w:lang w:val="es-ES"/>
        </w:rPr>
        <w:t>5</w:t>
      </w:r>
      <w:r w:rsidRPr="00F8275B">
        <w:rPr>
          <w:lang w:val="es-ES"/>
        </w:rPr>
        <w:t>.6</w:t>
      </w:r>
      <w:r w:rsidRPr="00F8275B">
        <w:rPr>
          <w:lang w:val="es-ES"/>
        </w:rPr>
        <w:tab/>
        <w:t>Reducción de la brecha de normalización</w:t>
      </w:r>
      <w:bookmarkEnd w:id="99"/>
    </w:p>
    <w:p w14:paraId="1778620C" w14:textId="4E7FEA96" w:rsidR="00CE6D77" w:rsidRPr="00F8275B" w:rsidRDefault="00CE6D77" w:rsidP="00CE6D77">
      <w:pPr>
        <w:rPr>
          <w:lang w:val="es-ES"/>
        </w:rPr>
      </w:pPr>
      <w:r w:rsidRPr="00F8275B">
        <w:rPr>
          <w:lang w:val="es-ES"/>
        </w:rPr>
        <w:t xml:space="preserve">El </w:t>
      </w:r>
      <w:hyperlink r:id="rId94" w:history="1">
        <w:r w:rsidRPr="00F8275B">
          <w:rPr>
            <w:rStyle w:val="Hyperlink"/>
            <w:lang w:val="es-ES"/>
          </w:rPr>
          <w:t>programa Reducción de la brecha de normalización (BSG) de la UIT</w:t>
        </w:r>
      </w:hyperlink>
      <w:r w:rsidRPr="00F8275B">
        <w:rPr>
          <w:lang w:val="es-ES"/>
        </w:rPr>
        <w:t xml:space="preserve"> tiene por objeto mejorar la capacidad de todos los países, en particular los países en desarrollo, para participar en la elaboración y aplicación de normas UIT</w:t>
      </w:r>
      <w:r w:rsidR="00A77E1C" w:rsidRPr="00F8275B">
        <w:rPr>
          <w:lang w:val="es-ES"/>
        </w:rPr>
        <w:noBreakHyphen/>
      </w:r>
      <w:r w:rsidRPr="00F8275B">
        <w:rPr>
          <w:lang w:val="es-ES"/>
        </w:rPr>
        <w:t>T. El Ministerio de Asuntos Internos y Comunicaciones de Japón (MIC) financió el programa BSG en 2023.</w:t>
      </w:r>
    </w:p>
    <w:p w14:paraId="00561A5D" w14:textId="063156A5" w:rsidR="00CE6D77" w:rsidRPr="00F8275B" w:rsidRDefault="00CE6D77" w:rsidP="00247EE7">
      <w:pPr>
        <w:spacing w:after="120"/>
        <w:rPr>
          <w:lang w:val="es-ES"/>
        </w:rPr>
      </w:pPr>
      <w:r w:rsidRPr="00F8275B">
        <w:rPr>
          <w:lang w:val="es-ES"/>
        </w:rPr>
        <w:t>Las actividades de formación práctica para mejorar la eficacia de las Comisiones de Estudio ofrecen orientación sobre las competencias prácticas útiles para participar en la labor de normalización de la UIT. Las becas ofrecen apoyo financiero a los delegados de los países en desarrollo que cumplen los requisitos. Los grupos regionales de las Comisiones de Estudio del UIT</w:t>
      </w:r>
      <w:r w:rsidR="00A77E1C" w:rsidRPr="00F8275B">
        <w:rPr>
          <w:lang w:val="es-ES"/>
        </w:rPr>
        <w:noBreakHyphen/>
      </w:r>
      <w:r w:rsidRPr="00F8275B">
        <w:rPr>
          <w:lang w:val="es-ES"/>
        </w:rPr>
        <w:t>T contribuyen a velar por la aplicación mundial de las normas de la UIT. Un curso de formación en línea ofrece orientaciones sobre el método de trabajo aplicado a la labor de normalización de la UIT. En los foros regionales e interregionales se abordan los métodos de trabajo y temas en estudio. En las Directrices de la UIT para las Secretarías Nacionales de Normalización se exponen los métodos para crear marcos nacionales con el fin de lograr una participación efectiva en la labor de normalización de la UIT.</w:t>
      </w:r>
    </w:p>
    <w:tbl>
      <w:tblPr>
        <w:tblStyle w:val="TableGridLigh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061"/>
      </w:tblGrid>
      <w:tr w:rsidR="00AF4E63" w:rsidRPr="00F8275B" w14:paraId="241DA291" w14:textId="77777777" w:rsidTr="00247EE7">
        <w:tc>
          <w:tcPr>
            <w:tcW w:w="9061" w:type="dxa"/>
          </w:tcPr>
          <w:p w14:paraId="67CC7E9D" w14:textId="77777777" w:rsidR="00AF4E63" w:rsidRPr="00F8275B" w:rsidRDefault="00AF4E63" w:rsidP="00242F5A">
            <w:pPr>
              <w:jc w:val="center"/>
              <w:rPr>
                <w:b/>
                <w:bCs/>
                <w:sz w:val="28"/>
                <w:szCs w:val="28"/>
                <w:lang w:val="es-ES"/>
              </w:rPr>
            </w:pPr>
            <w:r w:rsidRPr="00F8275B">
              <w:rPr>
                <w:b/>
                <w:bCs/>
                <w:sz w:val="28"/>
                <w:szCs w:val="28"/>
                <w:lang w:val="es-ES"/>
              </w:rPr>
              <w:t>Historia de impacto</w:t>
            </w:r>
          </w:p>
          <w:p w14:paraId="5D9B1319" w14:textId="77777777" w:rsidR="00AF4E63" w:rsidRPr="00F8275B" w:rsidRDefault="00AF4E63" w:rsidP="00247EE7">
            <w:pPr>
              <w:pStyle w:val="Headingb"/>
              <w:rPr>
                <w:lang w:val="es-ES"/>
              </w:rPr>
            </w:pPr>
            <w:r w:rsidRPr="00F8275B">
              <w:rPr>
                <w:lang w:val="es-ES"/>
              </w:rPr>
              <w:t>Consultas nacionales sobre Alertas Tempranas para Todos</w:t>
            </w:r>
          </w:p>
          <w:p w14:paraId="21389461" w14:textId="32655873" w:rsidR="00AF4E63" w:rsidRPr="00F8275B" w:rsidRDefault="00AF4E63" w:rsidP="00247EE7">
            <w:pPr>
              <w:rPr>
                <w:lang w:val="es-ES"/>
              </w:rPr>
            </w:pPr>
            <w:r w:rsidRPr="00F8275B">
              <w:rPr>
                <w:lang w:val="es-ES"/>
              </w:rPr>
              <w:t xml:space="preserve">Han comenzado las consultas nacionales en relación con la iniciativa Alertas Tempranas para Todos (EW4All) del Secretario General de las Naciones Unidas, con talleres dirigidos por la UIT en que se </w:t>
            </w:r>
            <w:r w:rsidR="00A55B05" w:rsidRPr="00F8275B">
              <w:rPr>
                <w:lang w:val="es-ES"/>
              </w:rPr>
              <w:t>destaca</w:t>
            </w:r>
            <w:r w:rsidRPr="00F8275B">
              <w:rPr>
                <w:lang w:val="es-ES"/>
              </w:rPr>
              <w:t xml:space="preserve"> la función esencial de los sistemas de alerta temprana para la prevención de los desastres, con miras a salvar vidas enviando alertas oportunas antes de la aparición de los desastres. Las consultas nacionales se han centrado en la colaboración entre múltiples partes interesadas para fortalecer las capacidades de respuesta de emergencia, en cuyo marco los participantes identifican las deficiencias y formulan planes estratégicos para mejorar la infraestructura de alerta temprana y fomentar la resiliencia ante los desastres naturales. En función de las necesidades y riesgos de cada país, los debates ayudaron a identificar las deficiencias en materia de infraestructura, preparar planes de respuesta, fortalecer los sistemas de alerta temprana de peligros múltiples y hacer frente a los desafíos relacionados con el clima y los desastres. Los primeros talleres tuvieron lugar en Comoras, Camboya, la República Democrática Popular Lao, Nepal, Madagascar, Maldivas, Tayikistán, Etiopía, Barbados, Somalia, Uganda, Bangladesh, y Mozambique, Sudán del Sur, Haití, Antigua y Barbuda, y Mauricio, y siguen celebrándose talleres nacionales de EW4All en todo el mundo en 2024.</w:t>
            </w:r>
          </w:p>
          <w:p w14:paraId="47CD2552" w14:textId="605C72F8" w:rsidR="00AF4E63" w:rsidRPr="00F8275B" w:rsidRDefault="00534F60" w:rsidP="00247EE7">
            <w:pPr>
              <w:spacing w:after="120"/>
              <w:rPr>
                <w:lang w:val="es-ES"/>
              </w:rPr>
            </w:pPr>
            <w:hyperlink r:id="rId95" w:history="1">
              <w:r w:rsidR="00AF4E63" w:rsidRPr="00F8275B">
                <w:rPr>
                  <w:rStyle w:val="Hyperlink"/>
                  <w:lang w:val="es-ES"/>
                </w:rPr>
                <w:t>Más información sobre los talleres de consulta de la UIT sobre EW4All</w:t>
              </w:r>
            </w:hyperlink>
          </w:p>
        </w:tc>
      </w:tr>
    </w:tbl>
    <w:p w14:paraId="02EFC09A" w14:textId="77777777" w:rsidR="0080647C" w:rsidRPr="00F8275B" w:rsidRDefault="0080647C" w:rsidP="0080647C">
      <w:pPr>
        <w:pStyle w:val="Heading1"/>
        <w:rPr>
          <w:lang w:val="es-ES"/>
        </w:rPr>
      </w:pPr>
      <w:bookmarkStart w:id="100" w:name="_Toc164862533"/>
      <w:bookmarkStart w:id="101" w:name="_Toc165024962"/>
      <w:bookmarkStart w:id="102" w:name="_Toc166580886"/>
      <w:r w:rsidRPr="00F8275B">
        <w:rPr>
          <w:lang w:val="es-ES"/>
        </w:rPr>
        <w:lastRenderedPageBreak/>
        <w:t>5</w:t>
      </w:r>
      <w:r w:rsidRPr="00F8275B">
        <w:rPr>
          <w:lang w:val="es-ES"/>
        </w:rPr>
        <w:tab/>
        <w:t>Normalización: Base para facilitar el desarrollo de las tecnologías actuales y futuras</w:t>
      </w:r>
      <w:bookmarkEnd w:id="100"/>
      <w:bookmarkEnd w:id="101"/>
      <w:bookmarkEnd w:id="102"/>
    </w:p>
    <w:p w14:paraId="42BC73A4" w14:textId="77777777" w:rsidR="0080647C" w:rsidRPr="00F8275B" w:rsidRDefault="0080647C" w:rsidP="00832CD0">
      <w:pPr>
        <w:keepNext/>
        <w:keepLines/>
        <w:rPr>
          <w:lang w:val="es-ES"/>
        </w:rPr>
      </w:pPr>
      <w:r w:rsidRPr="00F8275B">
        <w:rPr>
          <w:lang w:val="es-ES"/>
        </w:rPr>
        <w:t>Las tecnologías inclusivas, construidas con arreglo a especificaciones universales, funcionan adecuadamente para todas las personas, con un compromiso inquebrantable con la interoperabilidad, la accesibilidad, la seguridad, la asequibilidad y la sostenibilidad que garantiza que las normas de la UIT funcionen en todo el mundo. Por conducto de las normas técnicas de la UIT, los dispositivos locales se comunican fácilmente con las redes mundiales. Las conexiones seguras, dentro del alcance de todas las personas, ofrecen a las comunidades acceso a información esencial y ayudan a reducir los efectos del cambio climático.</w:t>
      </w:r>
    </w:p>
    <w:p w14:paraId="52AD2E0D" w14:textId="77777777" w:rsidR="0080647C" w:rsidRPr="00F8275B" w:rsidRDefault="0080647C" w:rsidP="0080647C">
      <w:pPr>
        <w:rPr>
          <w:lang w:val="es-ES"/>
        </w:rPr>
      </w:pPr>
      <w:r w:rsidRPr="00F8275B">
        <w:rPr>
          <w:lang w:val="es-ES"/>
        </w:rPr>
        <w:t xml:space="preserve">Las normas de la UIT son desarrolladas por el Sector de Normalización de las Telecomunicaciones y el Sector de Radiocomunicaciones de la UIT, y se publican, respectivamente, como </w:t>
      </w:r>
      <w:hyperlink r:id="rId96" w:history="1">
        <w:r w:rsidRPr="00F8275B">
          <w:rPr>
            <w:rStyle w:val="Hyperlink"/>
            <w:lang w:val="es-ES"/>
          </w:rPr>
          <w:t>Recomendaciones UIT</w:t>
        </w:r>
        <w:r w:rsidRPr="00F8275B">
          <w:rPr>
            <w:rStyle w:val="Hyperlink"/>
            <w:lang w:val="es-ES"/>
          </w:rPr>
          <w:noBreakHyphen/>
          <w:t>T</w:t>
        </w:r>
      </w:hyperlink>
      <w:r w:rsidRPr="00F8275B">
        <w:rPr>
          <w:lang w:val="es-ES"/>
        </w:rPr>
        <w:t xml:space="preserve"> y </w:t>
      </w:r>
      <w:hyperlink r:id="rId97" w:history="1">
        <w:r w:rsidRPr="00F8275B">
          <w:rPr>
            <w:rStyle w:val="Hyperlink"/>
            <w:lang w:val="es-ES"/>
          </w:rPr>
          <w:t>Recomendaciones UIT</w:t>
        </w:r>
        <w:r w:rsidRPr="00F8275B">
          <w:rPr>
            <w:rStyle w:val="Hyperlink"/>
            <w:lang w:val="es-ES"/>
          </w:rPr>
          <w:noBreakHyphen/>
          <w:t>R</w:t>
        </w:r>
      </w:hyperlink>
      <w:r w:rsidRPr="00F8275B">
        <w:rPr>
          <w:lang w:val="es-ES"/>
        </w:rPr>
        <w:t>.</w:t>
      </w:r>
    </w:p>
    <w:p w14:paraId="58CC808A" w14:textId="77777777" w:rsidR="0080647C" w:rsidRPr="00F8275B" w:rsidRDefault="0080647C" w:rsidP="0080647C">
      <w:pPr>
        <w:pStyle w:val="Headingb"/>
        <w:rPr>
          <w:lang w:val="es-ES"/>
        </w:rPr>
      </w:pPr>
      <w:r w:rsidRPr="00F8275B">
        <w:rPr>
          <w:lang w:val="es-ES"/>
        </w:rPr>
        <w:t>Recomendaciones UIT</w:t>
      </w:r>
      <w:r w:rsidRPr="00F8275B">
        <w:rPr>
          <w:lang w:val="es-ES"/>
        </w:rPr>
        <w:noBreakHyphen/>
        <w:t>T</w:t>
      </w:r>
    </w:p>
    <w:p w14:paraId="386C037A" w14:textId="4C92A7A0" w:rsidR="0080647C" w:rsidRPr="00F8275B" w:rsidRDefault="0080647C" w:rsidP="0080647C">
      <w:pPr>
        <w:rPr>
          <w:lang w:val="es-ES"/>
        </w:rPr>
      </w:pPr>
      <w:r w:rsidRPr="00F8275B">
        <w:rPr>
          <w:lang w:val="es-ES"/>
        </w:rPr>
        <w:t xml:space="preserve">En el Sector de Normalización de las Telecomunicaciones de la UIT (UIT-T), los Estados Miembros de la organización aprobaron </w:t>
      </w:r>
      <w:hyperlink r:id="rId98" w:history="1">
        <w:r w:rsidRPr="00F8275B">
          <w:rPr>
            <w:rStyle w:val="Hyperlink"/>
            <w:lang w:val="es-ES"/>
          </w:rPr>
          <w:t>286 Recomendaciones UIT-T nuevas y revisadas y textos conexos</w:t>
        </w:r>
      </w:hyperlink>
      <w:r w:rsidRPr="00F8275B">
        <w:rPr>
          <w:lang w:val="es-ES"/>
        </w:rPr>
        <w:t xml:space="preserve"> en el periodo sobre el que se informa (a fecha de 28 de febrero de 2024). Todas las decisiones de este tipo que están actualmente en vigor pueden consultarse en el </w:t>
      </w:r>
      <w:hyperlink r:id="rId99" w:history="1">
        <w:r w:rsidRPr="00F8275B">
          <w:rPr>
            <w:rStyle w:val="Hyperlink"/>
            <w:lang w:val="es-ES"/>
          </w:rPr>
          <w:t>catálogo de Recomendaciones UIT-T</w:t>
        </w:r>
      </w:hyperlink>
      <w:r w:rsidRPr="00F8275B">
        <w:rPr>
          <w:lang w:val="es-ES"/>
        </w:rPr>
        <w:t xml:space="preserve">. Los resúmenes ejecutivos de las reuniones de las Comisiones de Estudio pueden consultarse en las </w:t>
      </w:r>
      <w:hyperlink r:id="rId100" w:history="1">
        <w:r w:rsidRPr="00F8275B">
          <w:rPr>
            <w:rStyle w:val="Hyperlink"/>
            <w:lang w:val="es-ES"/>
          </w:rPr>
          <w:t>páginas web</w:t>
        </w:r>
      </w:hyperlink>
      <w:r w:rsidRPr="00F8275B">
        <w:rPr>
          <w:lang w:val="es-ES"/>
        </w:rPr>
        <w:t xml:space="preserve"> de las Comisiones de Estudio del UIT</w:t>
      </w:r>
      <w:r w:rsidRPr="00F8275B">
        <w:rPr>
          <w:lang w:val="es-ES"/>
        </w:rPr>
        <w:noBreakHyphen/>
        <w:t>T.</w:t>
      </w:r>
    </w:p>
    <w:p w14:paraId="22CE34E4" w14:textId="4744F6FB" w:rsidR="0080647C" w:rsidRPr="00F8275B" w:rsidRDefault="00C257DD" w:rsidP="0080647C">
      <w:pPr>
        <w:rPr>
          <w:lang w:val="es-ES"/>
        </w:rPr>
      </w:pPr>
      <w:r w:rsidRPr="00F8275B">
        <w:rPr>
          <w:lang w:val="es-ES"/>
        </w:rPr>
        <w:t>Cinco</w:t>
      </w:r>
      <w:r w:rsidR="0080647C" w:rsidRPr="00F8275B">
        <w:rPr>
          <w:lang w:val="es-ES"/>
        </w:rPr>
        <w:t xml:space="preserve"> Grupos Temáticos del UIT-T siguen en funciones. Los Grupos Temáticos sientan las bases de la labor de normalización conexa de las Comisiones de Estudio del UIT-T. La información sobre las actividades de los Grupos Temáticos y sus resultados puede consultarse en las </w:t>
      </w:r>
      <w:hyperlink r:id="rId101" w:history="1">
        <w:r w:rsidR="0080647C" w:rsidRPr="00F8275B">
          <w:rPr>
            <w:rStyle w:val="Hyperlink"/>
            <w:lang w:val="es-ES"/>
          </w:rPr>
          <w:t>páginas web</w:t>
        </w:r>
      </w:hyperlink>
      <w:r w:rsidR="0080647C" w:rsidRPr="00F8275B">
        <w:rPr>
          <w:lang w:val="es-ES"/>
        </w:rPr>
        <w:t xml:space="preserve"> de los Grupos Temáticos del UIT</w:t>
      </w:r>
      <w:r w:rsidR="0080647C" w:rsidRPr="00F8275B">
        <w:rPr>
          <w:lang w:val="es-ES"/>
        </w:rPr>
        <w:noBreakHyphen/>
        <w:t>T.</w:t>
      </w:r>
    </w:p>
    <w:p w14:paraId="5BCFD2F0" w14:textId="77777777" w:rsidR="0080647C" w:rsidRPr="00F8275B" w:rsidRDefault="0080647C" w:rsidP="0080647C">
      <w:pPr>
        <w:pStyle w:val="Headingb"/>
        <w:rPr>
          <w:lang w:val="es-ES"/>
        </w:rPr>
      </w:pPr>
      <w:r w:rsidRPr="00F8275B">
        <w:rPr>
          <w:lang w:val="es-ES"/>
        </w:rPr>
        <w:t>Recomendaciones UIT-R</w:t>
      </w:r>
    </w:p>
    <w:p w14:paraId="4EDC1F4C" w14:textId="77777777" w:rsidR="0080647C" w:rsidRPr="00F8275B" w:rsidRDefault="0080647C" w:rsidP="0080647C">
      <w:pPr>
        <w:rPr>
          <w:u w:val="single"/>
          <w:lang w:val="es-ES"/>
        </w:rPr>
      </w:pPr>
      <w:r w:rsidRPr="00F8275B">
        <w:rPr>
          <w:lang w:val="es-ES"/>
        </w:rPr>
        <w:t xml:space="preserve">Durante el periodo comprendido entre mayo de 2023 y diciembre de 2023, el Sector de Radiocomunicaciones de la UIT (UIT-R) aprobó más de 80 Recomendaciones UIT-R nuevas o revisadas. Véase el conjunto completo de </w:t>
      </w:r>
      <w:hyperlink r:id="rId102" w:history="1">
        <w:r w:rsidRPr="00F8275B">
          <w:rPr>
            <w:rStyle w:val="Hyperlink"/>
            <w:lang w:val="es-ES"/>
          </w:rPr>
          <w:t>Recomendaciones UIT</w:t>
        </w:r>
        <w:r w:rsidRPr="00F8275B">
          <w:rPr>
            <w:rStyle w:val="Hyperlink"/>
            <w:lang w:val="es-ES"/>
          </w:rPr>
          <w:noBreakHyphen/>
          <w:t>R</w:t>
        </w:r>
      </w:hyperlink>
      <w:r w:rsidRPr="00F8275B">
        <w:rPr>
          <w:lang w:val="es-ES"/>
        </w:rPr>
        <w:t>.</w:t>
      </w:r>
    </w:p>
    <w:p w14:paraId="6DA985D7" w14:textId="77777777" w:rsidR="0080647C" w:rsidRPr="00F8275B" w:rsidRDefault="0080647C" w:rsidP="0080647C">
      <w:pPr>
        <w:rPr>
          <w:lang w:val="es-ES"/>
        </w:rPr>
      </w:pPr>
      <w:r w:rsidRPr="00F8275B">
        <w:rPr>
          <w:lang w:val="es-ES"/>
        </w:rPr>
        <w:t>En 2023, la UIT recibió el Premio Emmy de Ingeniería, Ciencia y Tecnología por la elaboración de la norma de radiocomunicaciones para la televisión de elevada gama dinámica (TV-EGD). Otorgado por la Academia de la Televisión, el premio reconoce los esfuerzos pioneros de los ingenieros y especialistas de la Comisión de Estudios 6 del UIT-R para crear una norma mundial de TV-EGD que ofrezca a los telespectadores una experiencia visual mejorada. Este constituye el tercer Premio Emmy otorgado a las Comisiones de Estudio del UIT-R y el sexto Emmy para la UIT en general.</w:t>
      </w:r>
    </w:p>
    <w:p w14:paraId="023E1783" w14:textId="2C5A1672" w:rsidR="00CE6D77" w:rsidRPr="00F8275B" w:rsidRDefault="0080647C" w:rsidP="00CE6D77">
      <w:pPr>
        <w:pStyle w:val="Heading2"/>
        <w:rPr>
          <w:lang w:val="es-ES"/>
        </w:rPr>
      </w:pPr>
      <w:bookmarkStart w:id="103" w:name="_Toc37860463"/>
      <w:bookmarkStart w:id="104" w:name="_Toc37861224"/>
      <w:bookmarkStart w:id="105" w:name="_Toc37943347"/>
      <w:bookmarkStart w:id="106" w:name="_Toc115929182"/>
      <w:bookmarkStart w:id="107" w:name="_Toc164862532"/>
      <w:bookmarkStart w:id="108" w:name="_Toc165024961"/>
      <w:bookmarkStart w:id="109" w:name="_Toc166580887"/>
      <w:bookmarkStart w:id="110" w:name="Section_1_9"/>
      <w:r w:rsidRPr="00F8275B">
        <w:rPr>
          <w:lang w:val="es-ES"/>
        </w:rPr>
        <w:lastRenderedPageBreak/>
        <w:t>6</w:t>
      </w:r>
      <w:r w:rsidR="00CE6D77" w:rsidRPr="00F8275B">
        <w:rPr>
          <w:lang w:val="es-ES"/>
        </w:rPr>
        <w:tab/>
        <w:t>Alianzas estratégicas para el desarrollo sostenible</w:t>
      </w:r>
      <w:bookmarkEnd w:id="103"/>
      <w:bookmarkEnd w:id="104"/>
      <w:bookmarkEnd w:id="105"/>
      <w:bookmarkEnd w:id="106"/>
      <w:bookmarkEnd w:id="107"/>
      <w:bookmarkEnd w:id="108"/>
      <w:bookmarkEnd w:id="109"/>
    </w:p>
    <w:bookmarkEnd w:id="110"/>
    <w:p w14:paraId="2318B923" w14:textId="77777777" w:rsidR="00CE6D77" w:rsidRPr="00F8275B" w:rsidRDefault="00CE6D77" w:rsidP="00CE6D77">
      <w:pPr>
        <w:pStyle w:val="Headingb"/>
        <w:rPr>
          <w:lang w:val="es-ES"/>
        </w:rPr>
      </w:pPr>
      <w:r w:rsidRPr="00F8275B">
        <w:rPr>
          <w:lang w:val="es-ES"/>
        </w:rPr>
        <w:t>Partner2Connect</w:t>
      </w:r>
    </w:p>
    <w:p w14:paraId="06832C94" w14:textId="3DC089A5" w:rsidR="00CE6D77" w:rsidRPr="00F8275B" w:rsidRDefault="00CE6D77" w:rsidP="00832CD0">
      <w:pPr>
        <w:keepNext/>
        <w:keepLines/>
        <w:rPr>
          <w:lang w:val="es-ES"/>
        </w:rPr>
      </w:pPr>
      <w:r w:rsidRPr="00F8275B">
        <w:rPr>
          <w:lang w:val="es-ES"/>
        </w:rPr>
        <w:t xml:space="preserve">La </w:t>
      </w:r>
      <w:hyperlink r:id="rId103" w:history="1">
        <w:r w:rsidRPr="00F8275B">
          <w:rPr>
            <w:rStyle w:val="Hyperlink"/>
            <w:lang w:val="es-ES"/>
          </w:rPr>
          <w:t>Coalición Digital Partner2Connect (P2C)</w:t>
        </w:r>
      </w:hyperlink>
      <w:r w:rsidRPr="00F8275B">
        <w:rPr>
          <w:lang w:val="es-ES"/>
        </w:rPr>
        <w:t xml:space="preserve"> es la plataforma mundial de partes interesadas de la UIT para movilizar recursos, alianzas y compromisos con el fin de fomentar la conectividad universal efectiva y la transformación digital sostenible. En la </w:t>
      </w:r>
      <w:hyperlink r:id="rId104" w:history="1">
        <w:r w:rsidRPr="00F8275B">
          <w:rPr>
            <w:rStyle w:val="Hyperlink"/>
            <w:lang w:val="es-ES"/>
          </w:rPr>
          <w:t>reunión anual celebrada en Ginebra en diciembre de 2023</w:t>
        </w:r>
      </w:hyperlink>
      <w:r w:rsidRPr="00F8275B">
        <w:rPr>
          <w:lang w:val="es-ES"/>
        </w:rPr>
        <w:t>, P2C comunicó un incremento del 53% del número de promesas de contribución presentadas en comparación con las cifras del informe anual de</w:t>
      </w:r>
      <w:r w:rsidR="001C7358">
        <w:rPr>
          <w:lang w:val="es-ES"/>
        </w:rPr>
        <w:t> </w:t>
      </w:r>
      <w:r w:rsidRPr="00F8275B">
        <w:rPr>
          <w:lang w:val="es-ES"/>
        </w:rPr>
        <w:t>2022, y un aumento de casi el 55% del número de entidades que se habían sumado a la Coalición. En 2023, P2C movilizó fondos adicionales a razón de 7</w:t>
      </w:r>
      <w:r w:rsidR="00A77E1C" w:rsidRPr="00F8275B">
        <w:rPr>
          <w:lang w:val="es-ES"/>
        </w:rPr>
        <w:t> </w:t>
      </w:r>
      <w:r w:rsidRPr="00F8275B">
        <w:rPr>
          <w:lang w:val="es-ES"/>
        </w:rPr>
        <w:t>000</w:t>
      </w:r>
      <w:r w:rsidR="00A77E1C" w:rsidRPr="00F8275B">
        <w:rPr>
          <w:lang w:val="es-ES"/>
        </w:rPr>
        <w:t> </w:t>
      </w:r>
      <w:r w:rsidRPr="00F8275B">
        <w:rPr>
          <w:lang w:val="es-ES"/>
        </w:rPr>
        <w:t>millones</w:t>
      </w:r>
      <w:r w:rsidR="00A77E1C" w:rsidRPr="00F8275B">
        <w:rPr>
          <w:lang w:val="es-ES"/>
        </w:rPr>
        <w:t> </w:t>
      </w:r>
      <w:r w:rsidRPr="00F8275B">
        <w:rPr>
          <w:lang w:val="es-ES"/>
        </w:rPr>
        <w:t xml:space="preserve">USD en concepto de proyectos de conectividad mundial y puso en marcha campañas de promesas a fin de atender las necesidades de conectividad de los ciudadanos de los PMA y las personas desplazadas, con el objetivo de allanar el camino hacia la transformación digital sostenible. Respecto de la ejecución de las promesas, en 2023, el 35% de todos los donantes informaron acerca del 33% de todas las promesas. El 73% de todas las promesas de las que se informó se estaban ejecutando y el 12% ya se habían ejecutado. Los datos del </w:t>
      </w:r>
      <w:hyperlink r:id="rId105" w:history="1">
        <w:r w:rsidRPr="00F8275B">
          <w:rPr>
            <w:rStyle w:val="Hyperlink"/>
            <w:lang w:val="es-ES"/>
          </w:rPr>
          <w:t>Informe Anual de P2C de</w:t>
        </w:r>
        <w:r w:rsidR="001B6B57" w:rsidRPr="00F8275B">
          <w:rPr>
            <w:rStyle w:val="Hyperlink"/>
            <w:lang w:val="es-ES"/>
          </w:rPr>
          <w:t> </w:t>
        </w:r>
        <w:r w:rsidRPr="00F8275B">
          <w:rPr>
            <w:rStyle w:val="Hyperlink"/>
            <w:lang w:val="es-ES"/>
          </w:rPr>
          <w:t>2023</w:t>
        </w:r>
      </w:hyperlink>
      <w:r w:rsidRPr="00F8275B">
        <w:rPr>
          <w:lang w:val="es-ES"/>
        </w:rPr>
        <w:t xml:space="preserve"> también indican que ya se han gastado aproximadamente 4</w:t>
      </w:r>
      <w:r w:rsidR="00A77E1C" w:rsidRPr="00F8275B">
        <w:rPr>
          <w:lang w:val="es-ES"/>
        </w:rPr>
        <w:t> </w:t>
      </w:r>
      <w:r w:rsidRPr="00F8275B">
        <w:rPr>
          <w:lang w:val="es-ES"/>
        </w:rPr>
        <w:t>800</w:t>
      </w:r>
      <w:r w:rsidR="00A77E1C" w:rsidRPr="00F8275B">
        <w:rPr>
          <w:lang w:val="es-ES"/>
        </w:rPr>
        <w:t> </w:t>
      </w:r>
      <w:r w:rsidRPr="00F8275B">
        <w:rPr>
          <w:lang w:val="es-ES"/>
        </w:rPr>
        <w:t>millones</w:t>
      </w:r>
      <w:r w:rsidR="00A77E1C" w:rsidRPr="00F8275B">
        <w:rPr>
          <w:lang w:val="es-ES"/>
        </w:rPr>
        <w:t> </w:t>
      </w:r>
      <w:r w:rsidRPr="00F8275B">
        <w:rPr>
          <w:lang w:val="es-ES"/>
        </w:rPr>
        <w:t>USD en la ejecución de esas 275</w:t>
      </w:r>
      <w:r w:rsidR="001B6B57" w:rsidRPr="00F8275B">
        <w:rPr>
          <w:lang w:val="es-ES"/>
        </w:rPr>
        <w:t> </w:t>
      </w:r>
      <w:r w:rsidRPr="00F8275B">
        <w:rPr>
          <w:lang w:val="es-ES"/>
        </w:rPr>
        <w:t>promesas de las que se informó.</w:t>
      </w:r>
    </w:p>
    <w:p w14:paraId="7151D82E" w14:textId="059A936F" w:rsidR="00CE6D77" w:rsidRPr="00F8275B" w:rsidRDefault="00CE6D77" w:rsidP="00CE6D77">
      <w:pPr>
        <w:rPr>
          <w:lang w:val="es-ES"/>
        </w:rPr>
      </w:pPr>
      <w:r w:rsidRPr="00F8275B">
        <w:rPr>
          <w:lang w:val="es-ES"/>
        </w:rPr>
        <w:t>A finales de 2023, P2C había movilizado 845</w:t>
      </w:r>
      <w:r w:rsidR="00A77E1C" w:rsidRPr="00F8275B">
        <w:rPr>
          <w:lang w:val="es-ES"/>
        </w:rPr>
        <w:t> </w:t>
      </w:r>
      <w:r w:rsidRPr="00F8275B">
        <w:rPr>
          <w:lang w:val="es-ES"/>
        </w:rPr>
        <w:t>promesas de un valor de 36</w:t>
      </w:r>
      <w:r w:rsidR="00A77E1C" w:rsidRPr="00F8275B">
        <w:rPr>
          <w:lang w:val="es-ES"/>
        </w:rPr>
        <w:t> </w:t>
      </w:r>
      <w:r w:rsidRPr="00F8275B">
        <w:rPr>
          <w:lang w:val="es-ES"/>
        </w:rPr>
        <w:t>780</w:t>
      </w:r>
      <w:r w:rsidR="00A77E1C" w:rsidRPr="00F8275B">
        <w:rPr>
          <w:lang w:val="es-ES"/>
        </w:rPr>
        <w:t> </w:t>
      </w:r>
      <w:r w:rsidRPr="00F8275B">
        <w:rPr>
          <w:lang w:val="es-ES"/>
        </w:rPr>
        <w:t>millones</w:t>
      </w:r>
      <w:r w:rsidR="00A77E1C" w:rsidRPr="00F8275B">
        <w:rPr>
          <w:lang w:val="es-ES"/>
        </w:rPr>
        <w:t> </w:t>
      </w:r>
      <w:r w:rsidRPr="00F8275B">
        <w:rPr>
          <w:lang w:val="es-ES"/>
        </w:rPr>
        <w:t>USD procedentes de 408 entidades que representaban a 138</w:t>
      </w:r>
      <w:r w:rsidR="00A77E1C" w:rsidRPr="00F8275B">
        <w:rPr>
          <w:lang w:val="es-ES"/>
        </w:rPr>
        <w:t> </w:t>
      </w:r>
      <w:r w:rsidRPr="00F8275B">
        <w:rPr>
          <w:lang w:val="es-ES"/>
        </w:rPr>
        <w:t xml:space="preserve">países de todo el mundo. El primer trimestre de 2024 comenzó con excelentes noticias para la Coalición. En el marco del Mobile World Congress en Barcelona se </w:t>
      </w:r>
      <w:hyperlink r:id="rId106" w:history="1">
        <w:r w:rsidRPr="00F8275B">
          <w:rPr>
            <w:rStyle w:val="Hyperlink"/>
            <w:lang w:val="es-ES"/>
          </w:rPr>
          <w:t>anunciaron</w:t>
        </w:r>
      </w:hyperlink>
      <w:r w:rsidRPr="00F8275B">
        <w:rPr>
          <w:lang w:val="es-ES"/>
        </w:rPr>
        <w:t xml:space="preserve"> promesas de conectividad de un valor de 9</w:t>
      </w:r>
      <w:r w:rsidR="00A77E1C" w:rsidRPr="00F8275B">
        <w:rPr>
          <w:lang w:val="es-ES"/>
        </w:rPr>
        <w:t> </w:t>
      </w:r>
      <w:r w:rsidRPr="00F8275B">
        <w:rPr>
          <w:lang w:val="es-ES"/>
        </w:rPr>
        <w:t>000</w:t>
      </w:r>
      <w:r w:rsidR="00A77E1C" w:rsidRPr="00F8275B">
        <w:rPr>
          <w:lang w:val="es-ES"/>
        </w:rPr>
        <w:t> </w:t>
      </w:r>
      <w:r w:rsidRPr="00F8275B">
        <w:rPr>
          <w:lang w:val="es-ES"/>
        </w:rPr>
        <w:t>millones</w:t>
      </w:r>
      <w:r w:rsidR="00A77E1C" w:rsidRPr="00F8275B">
        <w:rPr>
          <w:lang w:val="es-ES"/>
        </w:rPr>
        <w:t> </w:t>
      </w:r>
      <w:r w:rsidRPr="00F8275B">
        <w:rPr>
          <w:lang w:val="es-ES"/>
        </w:rPr>
        <w:t>USD, lo que hizo que el valor total de las promesas ascendiese a unos 46</w:t>
      </w:r>
      <w:r w:rsidR="00A77E1C" w:rsidRPr="00F8275B">
        <w:rPr>
          <w:lang w:val="es-ES"/>
        </w:rPr>
        <w:t> </w:t>
      </w:r>
      <w:r w:rsidRPr="00F8275B">
        <w:rPr>
          <w:lang w:val="es-ES"/>
        </w:rPr>
        <w:t>000</w:t>
      </w:r>
      <w:r w:rsidR="00A77E1C" w:rsidRPr="00F8275B">
        <w:rPr>
          <w:lang w:val="es-ES"/>
        </w:rPr>
        <w:t> </w:t>
      </w:r>
      <w:r w:rsidRPr="00F8275B">
        <w:rPr>
          <w:lang w:val="es-ES"/>
        </w:rPr>
        <w:t>millones</w:t>
      </w:r>
      <w:r w:rsidR="00A77E1C" w:rsidRPr="00F8275B">
        <w:rPr>
          <w:lang w:val="es-ES"/>
        </w:rPr>
        <w:t> </w:t>
      </w:r>
      <w:r w:rsidRPr="00F8275B">
        <w:rPr>
          <w:lang w:val="es-ES"/>
        </w:rPr>
        <w:t>USD. Actualmente, la plataforma ha recibido 875</w:t>
      </w:r>
      <w:r w:rsidR="00A77E1C" w:rsidRPr="00F8275B">
        <w:rPr>
          <w:lang w:val="es-ES"/>
        </w:rPr>
        <w:t> </w:t>
      </w:r>
      <w:r w:rsidRPr="00F8275B">
        <w:rPr>
          <w:lang w:val="es-ES"/>
        </w:rPr>
        <w:t>promesas de 426</w:t>
      </w:r>
      <w:r w:rsidR="00A77E1C" w:rsidRPr="00F8275B">
        <w:rPr>
          <w:lang w:val="es-ES"/>
        </w:rPr>
        <w:t> </w:t>
      </w:r>
      <w:r w:rsidRPr="00F8275B">
        <w:rPr>
          <w:lang w:val="es-ES"/>
        </w:rPr>
        <w:t>entidades de 141</w:t>
      </w:r>
      <w:r w:rsidR="00A77E1C" w:rsidRPr="00F8275B">
        <w:rPr>
          <w:lang w:val="es-ES"/>
        </w:rPr>
        <w:t> </w:t>
      </w:r>
      <w:r w:rsidRPr="00F8275B">
        <w:rPr>
          <w:lang w:val="es-ES"/>
        </w:rPr>
        <w:t>países.</w:t>
      </w:r>
    </w:p>
    <w:p w14:paraId="6BDF5DEC" w14:textId="77777777" w:rsidR="00CE6D77" w:rsidRPr="00F8275B" w:rsidRDefault="00CE6D77" w:rsidP="00CE6D77">
      <w:pPr>
        <w:pStyle w:val="Headingb"/>
        <w:rPr>
          <w:lang w:val="es-ES"/>
        </w:rPr>
      </w:pPr>
      <w:r w:rsidRPr="00F8275B">
        <w:rPr>
          <w:lang w:val="es-ES"/>
        </w:rPr>
        <w:t>ODS Digital – Promoción de soluciones para acelerar el progreso</w:t>
      </w:r>
    </w:p>
    <w:p w14:paraId="73231D0B" w14:textId="1E6C50EE" w:rsidR="00CE6D77" w:rsidRPr="00F8275B" w:rsidRDefault="00CE6D77" w:rsidP="00CE6D77">
      <w:pPr>
        <w:rPr>
          <w:lang w:val="es-ES"/>
        </w:rPr>
      </w:pPr>
      <w:r w:rsidRPr="00F8275B">
        <w:rPr>
          <w:lang w:val="es-ES"/>
        </w:rPr>
        <w:t xml:space="preserve">Las tecnologías digitales son fundamentales para la consecución de los </w:t>
      </w:r>
      <w:hyperlink r:id="rId107" w:history="1">
        <w:r w:rsidRPr="00F8275B">
          <w:rPr>
            <w:rStyle w:val="Hyperlink"/>
            <w:lang w:val="es-ES"/>
          </w:rPr>
          <w:t>Objetivos de Desarrollo Sostenible de las Naciones Unidas</w:t>
        </w:r>
      </w:hyperlink>
      <w:r w:rsidRPr="00F8275B">
        <w:rPr>
          <w:lang w:val="es-ES"/>
        </w:rPr>
        <w:t xml:space="preserve"> (ODS). Era el momento, antes de la Cumbre de</w:t>
      </w:r>
      <w:r w:rsidR="001B6B57" w:rsidRPr="00F8275B">
        <w:rPr>
          <w:lang w:val="es-ES"/>
        </w:rPr>
        <w:t> </w:t>
      </w:r>
      <w:r w:rsidRPr="00F8275B">
        <w:rPr>
          <w:lang w:val="es-ES"/>
        </w:rPr>
        <w:t>ODS Digital de 2023, de hacer el balance de los logros, las deficiencias y las oportunidades, catalizar las acciones e intensificar el apoyo digital para el cumplimiento de la Agenda 2030.</w:t>
      </w:r>
    </w:p>
    <w:p w14:paraId="251E2802" w14:textId="77777777" w:rsidR="00CE6D77" w:rsidRPr="00F8275B" w:rsidRDefault="00CE6D77" w:rsidP="00CE6D77">
      <w:pPr>
        <w:rPr>
          <w:lang w:val="es-ES"/>
        </w:rPr>
      </w:pPr>
      <w:r w:rsidRPr="00F8275B">
        <w:rPr>
          <w:lang w:val="es-ES"/>
        </w:rPr>
        <w:t>El 17 de septiembre de 2023, la UIT trabajó con el Programa de las Naciones Unidas para el Desarrollo (PNUD) y diversos socios colaboradores para organizar el "ODS Digital" en la sede de las Naciones Unidas en Nueva York.</w:t>
      </w:r>
    </w:p>
    <w:p w14:paraId="10F195B1" w14:textId="491B824A" w:rsidR="00CE6D77" w:rsidRPr="00F8275B" w:rsidRDefault="00CE6D77" w:rsidP="00CE6D77">
      <w:pPr>
        <w:rPr>
          <w:lang w:val="es-ES"/>
        </w:rPr>
      </w:pPr>
      <w:r w:rsidRPr="00F8275B">
        <w:rPr>
          <w:lang w:val="es-ES"/>
        </w:rPr>
        <w:t xml:space="preserve">Como parte de la </w:t>
      </w:r>
      <w:hyperlink r:id="rId108" w:history="1">
        <w:r w:rsidRPr="00F8275B">
          <w:rPr>
            <w:rStyle w:val="Hyperlink"/>
            <w:lang w:val="es-ES"/>
          </w:rPr>
          <w:t>Semana de Acción por los ODS</w:t>
        </w:r>
      </w:hyperlink>
      <w:r w:rsidRPr="00F8275B">
        <w:rPr>
          <w:lang w:val="es-ES"/>
        </w:rPr>
        <w:t xml:space="preserve">, el evento se centró en aportar soluciones digitales en materia de ODS a fin de ampliar su uso, entre otras cosas por conducto de las nuevas </w:t>
      </w:r>
      <w:hyperlink r:id="rId109" w:history="1">
        <w:r w:rsidRPr="00F8275B">
          <w:rPr>
            <w:rStyle w:val="Hyperlink"/>
            <w:lang w:val="es-ES"/>
          </w:rPr>
          <w:t>iniciativas de gran impacto</w:t>
        </w:r>
      </w:hyperlink>
      <w:r w:rsidRPr="00F8275B">
        <w:rPr>
          <w:lang w:val="es-ES"/>
        </w:rPr>
        <w:t xml:space="preserve"> en aras de la transformación digital inclusiva y sostenible.</w:t>
      </w:r>
    </w:p>
    <w:p w14:paraId="1F086D49" w14:textId="77777777" w:rsidR="00CE6D77" w:rsidRPr="00F8275B" w:rsidRDefault="00CE6D77" w:rsidP="00A77E1C">
      <w:pPr>
        <w:pStyle w:val="Headingb"/>
        <w:ind w:left="0" w:firstLine="0"/>
        <w:rPr>
          <w:lang w:val="es-ES"/>
        </w:rPr>
      </w:pPr>
      <w:r w:rsidRPr="00F8275B">
        <w:rPr>
          <w:lang w:val="es-ES"/>
        </w:rPr>
        <w:t>Comisión de la Banda Ancha – Integración de la banda ancha en la agenda política internacional</w:t>
      </w:r>
    </w:p>
    <w:p w14:paraId="21555606" w14:textId="3B520457" w:rsidR="00CE6D77" w:rsidRPr="00F8275B" w:rsidRDefault="00CE6D77" w:rsidP="00CE6D77">
      <w:pPr>
        <w:rPr>
          <w:lang w:val="es-ES"/>
        </w:rPr>
      </w:pPr>
      <w:r w:rsidRPr="00F8275B">
        <w:rPr>
          <w:lang w:val="es-ES"/>
        </w:rPr>
        <w:t>En 2023, en la Comisión de la Banda Ancha participaron más de 100</w:t>
      </w:r>
      <w:r w:rsidR="00A77E1C" w:rsidRPr="00F8275B">
        <w:rPr>
          <w:lang w:val="es-ES"/>
        </w:rPr>
        <w:t> </w:t>
      </w:r>
      <w:r w:rsidRPr="00F8275B">
        <w:rPr>
          <w:lang w:val="es-ES"/>
        </w:rPr>
        <w:t>asociados diversos, entre ellos más de 50</w:t>
      </w:r>
      <w:r w:rsidR="00A77E1C" w:rsidRPr="00F8275B">
        <w:rPr>
          <w:lang w:val="es-ES"/>
        </w:rPr>
        <w:t> </w:t>
      </w:r>
      <w:r w:rsidRPr="00F8275B">
        <w:rPr>
          <w:lang w:val="es-ES"/>
        </w:rPr>
        <w:t xml:space="preserve">Comisionados (incluidos </w:t>
      </w:r>
      <w:r w:rsidR="001B6B57" w:rsidRPr="00F8275B">
        <w:rPr>
          <w:lang w:val="es-ES"/>
        </w:rPr>
        <w:t>nueve</w:t>
      </w:r>
      <w:r w:rsidRPr="00F8275B">
        <w:rPr>
          <w:lang w:val="es-ES"/>
        </w:rPr>
        <w:t xml:space="preserve"> que se incorporaron en 2024), más de 40</w:t>
      </w:r>
      <w:r w:rsidR="00A77E1C" w:rsidRPr="00F8275B">
        <w:rPr>
          <w:lang w:val="es-ES"/>
        </w:rPr>
        <w:t> </w:t>
      </w:r>
      <w:r w:rsidRPr="00F8275B">
        <w:rPr>
          <w:lang w:val="es-ES"/>
        </w:rPr>
        <w:t xml:space="preserve">expertos externos de los Grupos de Trabajo y más de </w:t>
      </w:r>
      <w:r w:rsidR="001B6B57" w:rsidRPr="00F8275B">
        <w:rPr>
          <w:lang w:val="es-ES"/>
        </w:rPr>
        <w:t>diez</w:t>
      </w:r>
      <w:r w:rsidRPr="00F8275B">
        <w:rPr>
          <w:lang w:val="es-ES"/>
        </w:rPr>
        <w:t xml:space="preserve"> socios estratégicos.</w:t>
      </w:r>
    </w:p>
    <w:p w14:paraId="61D1E91D" w14:textId="3B17DA25" w:rsidR="00CE6D77" w:rsidRPr="00F8275B" w:rsidRDefault="00CE6D77" w:rsidP="00832CD0">
      <w:pPr>
        <w:keepNext/>
        <w:keepLines/>
        <w:rPr>
          <w:lang w:val="es-ES"/>
        </w:rPr>
      </w:pPr>
      <w:r w:rsidRPr="00F8275B">
        <w:rPr>
          <w:lang w:val="es-ES"/>
        </w:rPr>
        <w:lastRenderedPageBreak/>
        <w:t>La Comisión constituida y sus miembros participaron en más de 30</w:t>
      </w:r>
      <w:r w:rsidR="001B6B57" w:rsidRPr="00F8275B">
        <w:rPr>
          <w:lang w:val="es-ES"/>
        </w:rPr>
        <w:t> </w:t>
      </w:r>
      <w:r w:rsidRPr="00F8275B">
        <w:rPr>
          <w:lang w:val="es-ES"/>
        </w:rPr>
        <w:t xml:space="preserve">eventos de promoción internacionales, elaboraron </w:t>
      </w:r>
      <w:r w:rsidR="001B6B57" w:rsidRPr="00F8275B">
        <w:rPr>
          <w:lang w:val="es-ES"/>
        </w:rPr>
        <w:t>ocho</w:t>
      </w:r>
      <w:r w:rsidRPr="00F8275B">
        <w:rPr>
          <w:lang w:val="es-ES"/>
        </w:rPr>
        <w:t xml:space="preserve"> publicaciones sobre el liderazgo intelectual, pusieron en marcha </w:t>
      </w:r>
      <w:r w:rsidR="001B6B57" w:rsidRPr="00F8275B">
        <w:rPr>
          <w:lang w:val="es-ES"/>
        </w:rPr>
        <w:t>tres</w:t>
      </w:r>
      <w:r w:rsidRPr="00F8275B">
        <w:rPr>
          <w:lang w:val="es-ES"/>
        </w:rPr>
        <w:t xml:space="preserve"> campañas de promoción originales y completaron </w:t>
      </w:r>
      <w:r w:rsidR="001B6B57" w:rsidRPr="00F8275B">
        <w:rPr>
          <w:lang w:val="es-ES"/>
        </w:rPr>
        <w:t>dos</w:t>
      </w:r>
      <w:r w:rsidRPr="00F8275B">
        <w:rPr>
          <w:lang w:val="es-ES"/>
        </w:rPr>
        <w:t xml:space="preserve"> Grupos de Trabajo dirigidos por Comisionados. La Reunión Anual de Otoño de 2023 sobre el tema "Conectividad digital: una oportunidad transformadora" se celebró en Nueva York el 16 de septiembre bajo los auspicios del septuagésimo octavo periodo de sesiones de la Asamblea General de las Naciones Unidas y el evento "ODS Digital" dirigido por la UIT y el Programa de las Naciones Unidas para el Desarrollo (PNUD).</w:t>
      </w:r>
    </w:p>
    <w:p w14:paraId="4CE8DB92" w14:textId="606497E8" w:rsidR="00CE6D77" w:rsidRPr="00F8275B" w:rsidRDefault="00CE6D77" w:rsidP="00CE6D77">
      <w:pPr>
        <w:rPr>
          <w:lang w:val="es-ES"/>
        </w:rPr>
      </w:pPr>
      <w:r w:rsidRPr="00F8275B">
        <w:rPr>
          <w:lang w:val="es-ES"/>
        </w:rPr>
        <w:t>La Comisión de la Banda Ancha participó en eventos dirigidos por organismos de las Naciones Unidas (entre ellos, la 68ª</w:t>
      </w:r>
      <w:r w:rsidR="00A77E1C" w:rsidRPr="00F8275B">
        <w:rPr>
          <w:lang w:val="es-ES"/>
        </w:rPr>
        <w:t> </w:t>
      </w:r>
      <w:r w:rsidRPr="00F8275B">
        <w:rPr>
          <w:lang w:val="es-ES"/>
        </w:rPr>
        <w:t>sesión de la Comisión de la Condición Jurídica y Social de la Mujer, el Foro de la CMSI de 2023, el Foro CTI de 2023, la Semana del Comercio Electrónico de la UNCTAD de 2023, etc.) y en conferencias del sector privado (en particular, la Cumbre de Líderes de SAMENA de 2023).</w:t>
      </w:r>
    </w:p>
    <w:p w14:paraId="1C3C484F" w14:textId="77777777" w:rsidR="00CE6D77" w:rsidRPr="00F8275B" w:rsidRDefault="00CE6D77" w:rsidP="00CE6D77">
      <w:pPr>
        <w:rPr>
          <w:lang w:val="es-ES"/>
        </w:rPr>
      </w:pPr>
      <w:r w:rsidRPr="00F8275B">
        <w:rPr>
          <w:lang w:val="es-ES"/>
        </w:rPr>
        <w:t>Entre las publicaciones, informes de grupos de trabajo, declaraciones públicas/contribuciones e investigaciones relacionadas con los ODS que se presentaron durante el periodo sobre el que se informa están:</w:t>
      </w:r>
    </w:p>
    <w:p w14:paraId="4FAEB120" w14:textId="2E2D739E" w:rsidR="00CE6D77" w:rsidRPr="00F8275B" w:rsidRDefault="00CE6D77" w:rsidP="00CE6D77">
      <w:pPr>
        <w:rPr>
          <w:lang w:val="es-ES"/>
        </w:rPr>
      </w:pPr>
      <w:r w:rsidRPr="00F8275B">
        <w:rPr>
          <w:lang w:val="es-ES"/>
        </w:rPr>
        <w:t xml:space="preserve">El </w:t>
      </w:r>
      <w:hyperlink r:id="rId110" w:history="1">
        <w:r w:rsidRPr="00F8275B">
          <w:rPr>
            <w:rStyle w:val="Hyperlink"/>
            <w:lang w:val="es-ES"/>
          </w:rPr>
          <w:t>Informe sobre el Estado de la Banda Ancha de 2023</w:t>
        </w:r>
      </w:hyperlink>
      <w:r w:rsidRPr="00F8275B">
        <w:rPr>
          <w:lang w:val="es-ES"/>
        </w:rPr>
        <w:t>, titulado "Conectividad digital: una oportunidad transformadora", que constituye el informe anual de referencia de la Comisión en el que se proporcionan los aspectos fundamentales que se necesitan para dar soporte a la siguiente etapa de la conectividad para la transformación digital.</w:t>
      </w:r>
    </w:p>
    <w:p w14:paraId="7BCDFBD4" w14:textId="77777777" w:rsidR="00CE6D77" w:rsidRPr="00F8275B" w:rsidRDefault="00CE6D77" w:rsidP="00CE6D77">
      <w:pPr>
        <w:rPr>
          <w:lang w:val="es-ES"/>
        </w:rPr>
      </w:pPr>
      <w:r w:rsidRPr="00F8275B">
        <w:rPr>
          <w:lang w:val="es-ES"/>
        </w:rPr>
        <w:t>Las declaraciones públicas formuladas en procesos y eventos de las Naciones Unidas (por ejemplo, el Pacto Digital Mundial, la CMSI y el Foro Político de Alto Nivel sobre el Desarrollo Sostenible de 2023).</w:t>
      </w:r>
    </w:p>
    <w:p w14:paraId="2842E0BD" w14:textId="77777777" w:rsidR="00CE6D77" w:rsidRPr="00F8275B" w:rsidRDefault="00CE6D77" w:rsidP="00CE6D77">
      <w:pPr>
        <w:rPr>
          <w:lang w:val="es-ES"/>
        </w:rPr>
      </w:pPr>
      <w:r w:rsidRPr="00F8275B">
        <w:rPr>
          <w:lang w:val="es-ES"/>
        </w:rPr>
        <w:t>Dos informes de Grupos de Trabajo: el de datos para el aprendizaje, dirigido por la UNESCO, y el de la conectividad para las mipymes, dirigido por la GSMA y el ITC.</w:t>
      </w:r>
    </w:p>
    <w:p w14:paraId="28B47BB8" w14:textId="5128F115" w:rsidR="00CE6D77" w:rsidRPr="00F8275B" w:rsidRDefault="00CE6D77" w:rsidP="00CE6D77">
      <w:pPr>
        <w:rPr>
          <w:lang w:val="es-ES"/>
        </w:rPr>
      </w:pPr>
      <w:r w:rsidRPr="00F8275B">
        <w:rPr>
          <w:lang w:val="es-ES"/>
        </w:rPr>
        <w:t>Comunicación estratégica: la Comisión ha obtenido más de 700</w:t>
      </w:r>
      <w:r w:rsidR="001B6B57" w:rsidRPr="00F8275B">
        <w:rPr>
          <w:lang w:val="es-ES"/>
        </w:rPr>
        <w:t> </w:t>
      </w:r>
      <w:r w:rsidRPr="00F8275B">
        <w:rPr>
          <w:lang w:val="es-ES"/>
        </w:rPr>
        <w:t>suscriptores a su boletín de noticias, y tiene más de 16</w:t>
      </w:r>
      <w:r w:rsidR="00A77E1C" w:rsidRPr="00F8275B">
        <w:rPr>
          <w:lang w:val="es-ES"/>
        </w:rPr>
        <w:t> </w:t>
      </w:r>
      <w:r w:rsidRPr="00F8275B">
        <w:rPr>
          <w:lang w:val="es-ES"/>
        </w:rPr>
        <w:t>000</w:t>
      </w:r>
      <w:r w:rsidR="00A77E1C" w:rsidRPr="00F8275B">
        <w:rPr>
          <w:lang w:val="es-ES"/>
        </w:rPr>
        <w:t> </w:t>
      </w:r>
      <w:r w:rsidRPr="00F8275B">
        <w:rPr>
          <w:lang w:val="es-ES"/>
        </w:rPr>
        <w:t>seguidores en total en sus cuentas de X (Twitter), LinkedIn y Facebook. Más de 31</w:t>
      </w:r>
      <w:r w:rsidR="00A77E1C" w:rsidRPr="00F8275B">
        <w:rPr>
          <w:lang w:val="es-ES"/>
        </w:rPr>
        <w:t> </w:t>
      </w:r>
      <w:r w:rsidRPr="00F8275B">
        <w:rPr>
          <w:lang w:val="es-ES"/>
        </w:rPr>
        <w:t>000</w:t>
      </w:r>
      <w:r w:rsidR="00A77E1C" w:rsidRPr="00F8275B">
        <w:rPr>
          <w:lang w:val="es-ES"/>
        </w:rPr>
        <w:t> </w:t>
      </w:r>
      <w:r w:rsidRPr="00F8275B">
        <w:rPr>
          <w:lang w:val="es-ES"/>
        </w:rPr>
        <w:t>lectores han descargado informes de la Comisión en 2023.</w:t>
      </w:r>
    </w:p>
    <w:p w14:paraId="2EFAF924" w14:textId="2AB5849A" w:rsidR="00CE6D77" w:rsidRPr="00F8275B" w:rsidRDefault="00CE6D77" w:rsidP="00A77E1C">
      <w:pPr>
        <w:pStyle w:val="Headingb"/>
        <w:ind w:left="0" w:firstLine="0"/>
        <w:rPr>
          <w:lang w:val="es-ES"/>
        </w:rPr>
      </w:pPr>
      <w:r w:rsidRPr="00F8275B">
        <w:rPr>
          <w:lang w:val="es-ES"/>
        </w:rPr>
        <w:t>EQUALS – Fomento de acceso, competencias y liderazgo en materia de TIC para mujeres y niñas</w:t>
      </w:r>
    </w:p>
    <w:p w14:paraId="6D34B5DD" w14:textId="0E11D4A8" w:rsidR="00CE6D77" w:rsidRPr="00F8275B" w:rsidRDefault="00CE6D77" w:rsidP="00CE6D77">
      <w:pPr>
        <w:rPr>
          <w:lang w:val="es-ES"/>
        </w:rPr>
      </w:pPr>
      <w:r w:rsidRPr="00F8275B">
        <w:rPr>
          <w:lang w:val="es-ES"/>
        </w:rPr>
        <w:t>Revertir la creciente brecha digital de género: Ofreciendo oportunidades de colaboración; maximizando los efectos y apoyando la ampliación de los proyectos exitosos; creando una plataforma de colaboración en red para los practicantes a fin de aprovechar y fortalecer los esfuerzos actualmente desplegados para reducir la brecha digital de género; y midiendo los avances hacia la consecución de los objetivos en una visión colaborativa como vehículo para acelerar el cumplimiento del Objetivo de Desarrollo Sostenible</w:t>
      </w:r>
      <w:r w:rsidR="001B6B57" w:rsidRPr="00F8275B">
        <w:rPr>
          <w:lang w:val="es-ES"/>
        </w:rPr>
        <w:t> </w:t>
      </w:r>
      <w:r w:rsidRPr="00F8275B">
        <w:rPr>
          <w:lang w:val="es-ES"/>
        </w:rPr>
        <w:t>5 y, en especial, la meta</w:t>
      </w:r>
      <w:r w:rsidR="00CF44BF" w:rsidRPr="00F8275B">
        <w:rPr>
          <w:lang w:val="es-ES"/>
        </w:rPr>
        <w:t> </w:t>
      </w:r>
      <w:r w:rsidRPr="00F8275B">
        <w:rPr>
          <w:lang w:val="es-ES"/>
        </w:rPr>
        <w:t>5B.</w:t>
      </w:r>
    </w:p>
    <w:p w14:paraId="1A31CCAF" w14:textId="1989398F" w:rsidR="00CE6D77" w:rsidRPr="00F8275B" w:rsidRDefault="00CE6D77" w:rsidP="00CE6D77">
      <w:pPr>
        <w:rPr>
          <w:lang w:val="es-ES"/>
        </w:rPr>
      </w:pPr>
      <w:r w:rsidRPr="00F8275B">
        <w:rPr>
          <w:lang w:val="es-ES"/>
        </w:rPr>
        <w:t xml:space="preserve">En 2023 se celebra el décimo aniversario de los </w:t>
      </w:r>
      <w:hyperlink r:id="rId111" w:history="1">
        <w:r w:rsidRPr="00F8275B">
          <w:rPr>
            <w:rStyle w:val="Hyperlink"/>
            <w:lang w:val="es-ES"/>
          </w:rPr>
          <w:t>Premios EQUALS in Tech</w:t>
        </w:r>
      </w:hyperlink>
      <w:r w:rsidRPr="00F8275B">
        <w:rPr>
          <w:lang w:val="es-ES"/>
        </w:rPr>
        <w:t xml:space="preserve"> y los 15</w:t>
      </w:r>
      <w:r w:rsidR="00CF44BF" w:rsidRPr="00F8275B">
        <w:rPr>
          <w:lang w:val="es-ES"/>
        </w:rPr>
        <w:t> </w:t>
      </w:r>
      <w:r w:rsidRPr="00F8275B">
        <w:rPr>
          <w:lang w:val="es-ES"/>
        </w:rPr>
        <w:t>finalistas han sido seleccionados a partir de las 132</w:t>
      </w:r>
      <w:r w:rsidR="00CF44BF" w:rsidRPr="00F8275B">
        <w:rPr>
          <w:lang w:val="es-ES"/>
        </w:rPr>
        <w:t> </w:t>
      </w:r>
      <w:r w:rsidRPr="00F8275B">
        <w:rPr>
          <w:lang w:val="es-ES"/>
        </w:rPr>
        <w:t>iniciativas nominadas de 54</w:t>
      </w:r>
      <w:r w:rsidR="001B6B57" w:rsidRPr="00F8275B">
        <w:rPr>
          <w:lang w:val="es-ES"/>
        </w:rPr>
        <w:t> </w:t>
      </w:r>
      <w:r w:rsidRPr="00F8275B">
        <w:rPr>
          <w:lang w:val="es-ES"/>
        </w:rPr>
        <w:t>países de todo el mundo.</w:t>
      </w:r>
    </w:p>
    <w:p w14:paraId="0386108C" w14:textId="10ACD6D9" w:rsidR="00CE6D77" w:rsidRPr="00F8275B" w:rsidRDefault="00CE6D77" w:rsidP="00CE6D77">
      <w:pPr>
        <w:pStyle w:val="Headingb"/>
        <w:rPr>
          <w:lang w:val="es-ES"/>
        </w:rPr>
      </w:pPr>
      <w:r w:rsidRPr="00F8275B">
        <w:rPr>
          <w:lang w:val="es-ES"/>
        </w:rPr>
        <w:t>Giga – Dedicada desde 2019 a conectar todas las escuelas a Internet</w:t>
      </w:r>
    </w:p>
    <w:p w14:paraId="49357C76" w14:textId="0947CC8D" w:rsidR="00CE6D77" w:rsidRPr="00F8275B" w:rsidRDefault="00CE6D77" w:rsidP="00CE6D77">
      <w:pPr>
        <w:rPr>
          <w:lang w:val="es-ES"/>
        </w:rPr>
      </w:pPr>
      <w:r w:rsidRPr="00F8275B">
        <w:rPr>
          <w:lang w:val="es-ES"/>
        </w:rPr>
        <w:t xml:space="preserve">Desde su puesta en marcha en 2019, </w:t>
      </w:r>
      <w:hyperlink r:id="rId112" w:history="1">
        <w:r w:rsidRPr="00F8275B">
          <w:rPr>
            <w:rStyle w:val="Hyperlink"/>
            <w:lang w:val="es-ES"/>
          </w:rPr>
          <w:t>Giga</w:t>
        </w:r>
      </w:hyperlink>
      <w:r w:rsidRPr="00F8275B">
        <w:rPr>
          <w:lang w:val="es-ES"/>
        </w:rPr>
        <w:t xml:space="preserve"> ha: localizado a más de dos</w:t>
      </w:r>
      <w:r w:rsidR="00D0564D" w:rsidRPr="00F8275B">
        <w:rPr>
          <w:lang w:val="es-ES"/>
        </w:rPr>
        <w:t> </w:t>
      </w:r>
      <w:r w:rsidRPr="00F8275B">
        <w:rPr>
          <w:lang w:val="es-ES"/>
        </w:rPr>
        <w:t>millones de escuelas de 140</w:t>
      </w:r>
      <w:r w:rsidR="00A77E1C" w:rsidRPr="00F8275B">
        <w:rPr>
          <w:lang w:val="es-ES"/>
        </w:rPr>
        <w:t> </w:t>
      </w:r>
      <w:r w:rsidRPr="00F8275B">
        <w:rPr>
          <w:lang w:val="es-ES"/>
        </w:rPr>
        <w:t>países, ha conectado más de 5</w:t>
      </w:r>
      <w:r w:rsidR="00CF44BF" w:rsidRPr="00F8275B">
        <w:rPr>
          <w:lang w:val="es-ES"/>
        </w:rPr>
        <w:t> </w:t>
      </w:r>
      <w:r w:rsidRPr="00F8275B">
        <w:rPr>
          <w:lang w:val="es-ES"/>
        </w:rPr>
        <w:t>561</w:t>
      </w:r>
      <w:r w:rsidR="00CF44BF" w:rsidRPr="00F8275B">
        <w:rPr>
          <w:lang w:val="es-ES"/>
        </w:rPr>
        <w:t> </w:t>
      </w:r>
      <w:r w:rsidRPr="00F8275B">
        <w:rPr>
          <w:lang w:val="es-ES"/>
        </w:rPr>
        <w:t>escuelas, y ha proporcionado conexión a más de dos millones de estudiantes de todo el mundo.</w:t>
      </w:r>
    </w:p>
    <w:p w14:paraId="23F49E26" w14:textId="77777777" w:rsidR="00CE6D77" w:rsidRPr="00F8275B" w:rsidRDefault="00CE6D77" w:rsidP="00CE6D77">
      <w:pPr>
        <w:pStyle w:val="Headingb"/>
        <w:rPr>
          <w:lang w:val="es-ES"/>
        </w:rPr>
      </w:pPr>
      <w:r w:rsidRPr="00F8275B">
        <w:rPr>
          <w:lang w:val="es-ES"/>
        </w:rPr>
        <w:lastRenderedPageBreak/>
        <w:t>AI for Good</w:t>
      </w:r>
    </w:p>
    <w:p w14:paraId="7A63E521" w14:textId="5F94795A" w:rsidR="00CE6D77" w:rsidRPr="00F8275B" w:rsidRDefault="00534F60" w:rsidP="00CE6D77">
      <w:pPr>
        <w:rPr>
          <w:lang w:val="es-ES"/>
        </w:rPr>
      </w:pPr>
      <w:hyperlink r:id="rId113" w:history="1">
        <w:r w:rsidR="00CE6D77" w:rsidRPr="00F8275B">
          <w:rPr>
            <w:rStyle w:val="Hyperlink"/>
            <w:lang w:val="es-ES"/>
          </w:rPr>
          <w:t>AI for Good</w:t>
        </w:r>
      </w:hyperlink>
      <w:r w:rsidR="00CE6D77" w:rsidRPr="00F8275B">
        <w:rPr>
          <w:lang w:val="es-ES"/>
        </w:rPr>
        <w:t xml:space="preserve"> es la principal plataforma para los debates y las exposiciones sobre </w:t>
      </w:r>
      <w:r w:rsidR="00CB6042" w:rsidRPr="00F8275B">
        <w:rPr>
          <w:lang w:val="es-ES"/>
        </w:rPr>
        <w:t>i</w:t>
      </w:r>
      <w:r w:rsidR="00CE6D77" w:rsidRPr="00F8275B">
        <w:rPr>
          <w:lang w:val="es-ES"/>
        </w:rPr>
        <w:t xml:space="preserve">nteligencia </w:t>
      </w:r>
      <w:r w:rsidR="00CB6042" w:rsidRPr="00F8275B">
        <w:rPr>
          <w:lang w:val="es-ES"/>
        </w:rPr>
        <w:t>a</w:t>
      </w:r>
      <w:r w:rsidR="00CE6D77" w:rsidRPr="00F8275B">
        <w:rPr>
          <w:lang w:val="es-ES"/>
        </w:rPr>
        <w:t>rtificial (IA) en el sistema de las Naciones Unidas. AI for Good está dirigida por la UIT y cuenta con el apoyo de 40</w:t>
      </w:r>
      <w:r w:rsidR="00A77E1C" w:rsidRPr="00F8275B">
        <w:rPr>
          <w:lang w:val="es-ES"/>
        </w:rPr>
        <w:t> </w:t>
      </w:r>
      <w:r w:rsidR="00CE6D77" w:rsidRPr="00F8275B">
        <w:rPr>
          <w:lang w:val="es-ES"/>
        </w:rPr>
        <w:t>asociados de las Naciones Unidas y diversos patrocinadores de la industria. Está coorganizada por el Gobierno de Suiza.</w:t>
      </w:r>
    </w:p>
    <w:p w14:paraId="655A0E35" w14:textId="77777777" w:rsidR="00CE6D77" w:rsidRPr="00F8275B" w:rsidRDefault="00CE6D77" w:rsidP="00CE6D77">
      <w:pPr>
        <w:rPr>
          <w:lang w:val="es-ES"/>
        </w:rPr>
      </w:pPr>
      <w:r w:rsidRPr="00F8275B">
        <w:rPr>
          <w:lang w:val="es-ES"/>
        </w:rPr>
        <w:t>AI for Good identifica aplicaciones prácticas de IA para facilitar el cumplimiento de los ODS y fomenta la colaboración de los innovadores en la esfera de la IA con los encargados de la toma de decisiones de los sectores público y privado, con objeto de promover la implantación de soluciones de IA en todo el mundo.</w:t>
      </w:r>
    </w:p>
    <w:p w14:paraId="4AE004C2" w14:textId="0BBFCE54" w:rsidR="00CE6D77" w:rsidRPr="00F8275B" w:rsidRDefault="00CE6D77" w:rsidP="00CE6D77">
      <w:pPr>
        <w:rPr>
          <w:lang w:val="es-ES"/>
        </w:rPr>
      </w:pPr>
      <w:bookmarkStart w:id="111" w:name="_Hlk120615371"/>
      <w:r w:rsidRPr="00F8275B">
        <w:rPr>
          <w:lang w:val="es-ES"/>
        </w:rPr>
        <w:t xml:space="preserve">La </w:t>
      </w:r>
      <w:hyperlink r:id="rId114" w:history="1">
        <w:r w:rsidRPr="00F8275B">
          <w:rPr>
            <w:rStyle w:val="Hyperlink"/>
            <w:lang w:val="es-ES"/>
          </w:rPr>
          <w:t>Cumbre Mundial AI for Good de 2023</w:t>
        </w:r>
      </w:hyperlink>
      <w:r w:rsidRPr="00F8275B">
        <w:rPr>
          <w:lang w:val="es-ES"/>
        </w:rPr>
        <w:t>, celebrada en Ginebra los días 6 y 7 de julio de</w:t>
      </w:r>
      <w:r w:rsidR="001B6B57" w:rsidRPr="00F8275B">
        <w:rPr>
          <w:lang w:val="es-ES"/>
        </w:rPr>
        <w:t> </w:t>
      </w:r>
      <w:r w:rsidRPr="00F8275B">
        <w:rPr>
          <w:lang w:val="es-ES"/>
        </w:rPr>
        <w:t>2023, contó con la participación de expertos de renombre en el campo de la IA y la acción humanitaria y fue la mayor reunión mundial de robots humanoides y especializados. La Cumbre estuvo precedida por talleres sobre aprendizaje automático orientados a expertos, celebrados los días 4 y 5 de julio, que aprovecharon los conocimientos adquiridos en el marco del programa Discovery de AI for Good.</w:t>
      </w:r>
      <w:bookmarkStart w:id="112" w:name="_Hlk120615385"/>
      <w:bookmarkEnd w:id="111"/>
      <w:bookmarkEnd w:id="112"/>
    </w:p>
    <w:p w14:paraId="0F2369D6" w14:textId="254A815F" w:rsidR="00CE6D77" w:rsidRPr="00F8275B" w:rsidRDefault="00CE6D77" w:rsidP="00CE6D77">
      <w:pPr>
        <w:rPr>
          <w:lang w:val="es-ES"/>
        </w:rPr>
      </w:pPr>
      <w:r w:rsidRPr="00F8275B">
        <w:rPr>
          <w:lang w:val="es-ES"/>
        </w:rPr>
        <w:t xml:space="preserve">AI for Good se presenta como una plataforma digital anual dotada de una </w:t>
      </w:r>
      <w:hyperlink r:id="rId115" w:history="1">
        <w:r w:rsidRPr="00F8275B">
          <w:rPr>
            <w:rStyle w:val="Hyperlink"/>
            <w:lang w:val="es-ES"/>
          </w:rPr>
          <w:t>programación</w:t>
        </w:r>
      </w:hyperlink>
      <w:r w:rsidRPr="00F8275B">
        <w:rPr>
          <w:lang w:val="es-ES"/>
        </w:rPr>
        <w:t xml:space="preserve"> casi diaria. La </w:t>
      </w:r>
      <w:hyperlink r:id="rId116" w:history="1">
        <w:r w:rsidRPr="00F8275B">
          <w:rPr>
            <w:rStyle w:val="Hyperlink"/>
            <w:lang w:val="es-ES"/>
          </w:rPr>
          <w:t>Red Neural AI for Good</w:t>
        </w:r>
      </w:hyperlink>
      <w:r w:rsidRPr="00F8275B">
        <w:rPr>
          <w:lang w:val="es-ES"/>
        </w:rPr>
        <w:t xml:space="preserve"> cuenta ahora con más de 25</w:t>
      </w:r>
      <w:r w:rsidR="00A77E1C" w:rsidRPr="00F8275B">
        <w:rPr>
          <w:lang w:val="es-ES"/>
        </w:rPr>
        <w:t> </w:t>
      </w:r>
      <w:r w:rsidRPr="00F8275B">
        <w:rPr>
          <w:lang w:val="es-ES"/>
        </w:rPr>
        <w:t>000</w:t>
      </w:r>
      <w:r w:rsidR="00A77E1C" w:rsidRPr="00F8275B">
        <w:rPr>
          <w:lang w:val="es-ES"/>
        </w:rPr>
        <w:t> </w:t>
      </w:r>
      <w:r w:rsidRPr="00F8275B">
        <w:rPr>
          <w:lang w:val="es-ES"/>
        </w:rPr>
        <w:t>profesionales.</w:t>
      </w:r>
      <w:bookmarkStart w:id="113" w:name="_Hlk120617537"/>
      <w:bookmarkEnd w:id="113"/>
    </w:p>
    <w:p w14:paraId="5C9FE4AC" w14:textId="77777777" w:rsidR="00CE6D77" w:rsidRPr="00F8275B" w:rsidRDefault="00CE6D77" w:rsidP="00CE6D77">
      <w:pPr>
        <w:pStyle w:val="Headingb"/>
        <w:rPr>
          <w:lang w:val="es-ES"/>
        </w:rPr>
      </w:pPr>
      <w:bookmarkStart w:id="114" w:name="_Hlk160127095"/>
      <w:r w:rsidRPr="00F8275B">
        <w:rPr>
          <w:lang w:val="es-ES"/>
        </w:rPr>
        <w:t>IA para la Salud</w:t>
      </w:r>
    </w:p>
    <w:p w14:paraId="7D148195" w14:textId="77777777" w:rsidR="00CE6D77" w:rsidRPr="00F8275B" w:rsidRDefault="00CE6D77" w:rsidP="00CE6D77">
      <w:pPr>
        <w:rPr>
          <w:lang w:val="es-ES"/>
        </w:rPr>
      </w:pPr>
      <w:r w:rsidRPr="00F8275B">
        <w:rPr>
          <w:lang w:val="es-ES"/>
        </w:rPr>
        <w:t xml:space="preserve">La </w:t>
      </w:r>
      <w:hyperlink r:id="rId117" w:history="1">
        <w:r w:rsidRPr="00F8275B">
          <w:rPr>
            <w:rStyle w:val="Hyperlink"/>
            <w:lang w:val="es-ES"/>
          </w:rPr>
          <w:t>iniciativa mundial IA para la Salud</w:t>
        </w:r>
      </w:hyperlink>
      <w:r w:rsidRPr="00F8275B">
        <w:rPr>
          <w:lang w:val="es-ES"/>
        </w:rPr>
        <w:t>, dirigida por la UIT, la OMS y la OMPI, tiene por objeto intensificar la contribución de la IA a la salud y crear un acceso universal a los beneficios resultantes.</w:t>
      </w:r>
    </w:p>
    <w:p w14:paraId="16BC2EF0" w14:textId="77777777" w:rsidR="00CE6D77" w:rsidRPr="00F8275B" w:rsidRDefault="00CE6D77" w:rsidP="00CE6D77">
      <w:pPr>
        <w:rPr>
          <w:bCs/>
          <w:lang w:val="es-ES"/>
        </w:rPr>
      </w:pPr>
      <w:r w:rsidRPr="00F8275B">
        <w:rPr>
          <w:lang w:val="es-ES"/>
        </w:rPr>
        <w:t>La iniciativa mundial tiene el objetivo de elaborar normas técnicas y orientación normativa, facilitar el intercambio de conocimientos y datos, y respaldar las decisiones empíricas sobre la introducción de soluciones de IA en el ámbito de la salud.</w:t>
      </w:r>
    </w:p>
    <w:p w14:paraId="4C615FC3" w14:textId="77777777" w:rsidR="00CE6D77" w:rsidRPr="00F8275B" w:rsidRDefault="00CE6D77" w:rsidP="00CE6D77">
      <w:pPr>
        <w:rPr>
          <w:lang w:val="es-ES"/>
        </w:rPr>
      </w:pPr>
      <w:r w:rsidRPr="00F8275B">
        <w:rPr>
          <w:lang w:val="es-ES"/>
        </w:rPr>
        <w:t>También promoverá mecanismos colaborativos para que las soluciones de IA lleguen a las comunidades insuficientemente atendidas, y su programa de difusión ayudará a los países de ingresos bajos y medianos a adoptar soluciones de IA para la salud.</w:t>
      </w:r>
    </w:p>
    <w:p w14:paraId="4EA3ACFB" w14:textId="77777777" w:rsidR="00CE6D77" w:rsidRPr="00F8275B" w:rsidRDefault="00CE6D77" w:rsidP="00CE6D77">
      <w:pPr>
        <w:rPr>
          <w:lang w:val="es-ES"/>
        </w:rPr>
      </w:pPr>
      <w:r w:rsidRPr="00F8275B">
        <w:rPr>
          <w:lang w:val="es-ES"/>
        </w:rPr>
        <w:t xml:space="preserve">La iniciativa, anunciada en la </w:t>
      </w:r>
      <w:hyperlink r:id="rId118" w:history="1">
        <w:r w:rsidRPr="00F8275B">
          <w:rPr>
            <w:rStyle w:val="Hyperlink"/>
            <w:lang w:val="es-ES"/>
          </w:rPr>
          <w:t>Cumbre Mundial de AI for Good de 2023</w:t>
        </w:r>
      </w:hyperlink>
      <w:r w:rsidRPr="00F8275B">
        <w:rPr>
          <w:lang w:val="es-ES"/>
        </w:rPr>
        <w:t xml:space="preserve">, aprovecha el impulso del </w:t>
      </w:r>
      <w:hyperlink r:id="rId119" w:history="1">
        <w:r w:rsidRPr="00F8275B">
          <w:rPr>
            <w:rStyle w:val="Hyperlink"/>
            <w:lang w:val="es-ES"/>
          </w:rPr>
          <w:t>Grupo Temático de la UIT-OMS sobre IA para la Salud</w:t>
        </w:r>
      </w:hyperlink>
      <w:r w:rsidRPr="00F8275B">
        <w:rPr>
          <w:lang w:val="es-ES"/>
        </w:rPr>
        <w:t>.</w:t>
      </w:r>
    </w:p>
    <w:p w14:paraId="782FFDA9" w14:textId="77777777" w:rsidR="00CE6D77" w:rsidRPr="00F8275B" w:rsidRDefault="00CE6D77" w:rsidP="00CE6D77">
      <w:pPr>
        <w:pStyle w:val="Headingb"/>
        <w:rPr>
          <w:lang w:val="es-ES"/>
        </w:rPr>
      </w:pPr>
      <w:bookmarkStart w:id="115" w:name="_Hlk120017847"/>
      <w:bookmarkEnd w:id="114"/>
      <w:r w:rsidRPr="00F8275B">
        <w:rPr>
          <w:lang w:val="es-ES"/>
        </w:rPr>
        <w:t>Servicios financieros digitales seguros</w:t>
      </w:r>
    </w:p>
    <w:p w14:paraId="64232C7C" w14:textId="77777777" w:rsidR="00CE6D77" w:rsidRPr="00F8275B" w:rsidRDefault="00CE6D77" w:rsidP="00CE6D77">
      <w:pPr>
        <w:rPr>
          <w:lang w:val="es-ES"/>
        </w:rPr>
      </w:pPr>
      <w:r w:rsidRPr="00F8275B">
        <w:rPr>
          <w:lang w:val="es-ES"/>
        </w:rPr>
        <w:t xml:space="preserve">El nuevo </w:t>
      </w:r>
      <w:hyperlink r:id="rId120" w:history="1">
        <w:r w:rsidRPr="00F8275B">
          <w:rPr>
            <w:rStyle w:val="Hyperlink"/>
            <w:lang w:val="es-ES"/>
          </w:rPr>
          <w:t>conjunto de herramientas de evaluación de la resiliencia en materia de ciberseguridad</w:t>
        </w:r>
      </w:hyperlink>
      <w:r w:rsidRPr="00F8275B">
        <w:rPr>
          <w:lang w:val="es-ES"/>
        </w:rPr>
        <w:t xml:space="preserve"> de la UIT proporciona orientaciones de expertos para evaluar y garantizar la protección frente a los riesgos a la ciberseguridad respecto de las infraestructuras esenciales para los servicios financieros digitales. El conjunto de herramientas es un producto del </w:t>
      </w:r>
      <w:hyperlink r:id="rId121" w:history="1">
        <w:r w:rsidRPr="00F8275B">
          <w:rPr>
            <w:rStyle w:val="Hyperlink"/>
            <w:lang w:val="es-ES"/>
          </w:rPr>
          <w:t>Laboratorio de Seguridad para Servicios Financieros Digitales</w:t>
        </w:r>
      </w:hyperlink>
      <w:r w:rsidRPr="00F8275B">
        <w:rPr>
          <w:lang w:val="es-ES"/>
        </w:rPr>
        <w:t xml:space="preserve"> de la UIT, desarrollado con la colaboración de Deloitte Consulting.</w:t>
      </w:r>
    </w:p>
    <w:p w14:paraId="346E870F" w14:textId="75E36B82" w:rsidR="00CE6D77" w:rsidRPr="00F8275B" w:rsidRDefault="00CE6D77" w:rsidP="00CE6D77">
      <w:pPr>
        <w:rPr>
          <w:lang w:val="es-ES"/>
        </w:rPr>
      </w:pPr>
      <w:r w:rsidRPr="00F8275B">
        <w:rPr>
          <w:lang w:val="es-ES"/>
        </w:rPr>
        <w:t xml:space="preserve">El Laboratorio de Seguridad para Servicios Financieros Digitales de la UIT opera </w:t>
      </w:r>
      <w:hyperlink r:id="rId122" w:history="1">
        <w:r w:rsidRPr="00F8275B">
          <w:rPr>
            <w:rStyle w:val="Hyperlink"/>
            <w:lang w:val="es-ES"/>
          </w:rPr>
          <w:t>Clínicas de Seguridad</w:t>
        </w:r>
      </w:hyperlink>
      <w:r w:rsidRPr="00F8275B">
        <w:rPr>
          <w:lang w:val="es-ES"/>
        </w:rPr>
        <w:t xml:space="preserve"> que ofrecen acompañamiento para la adopción de las </w:t>
      </w:r>
      <w:hyperlink r:id="rId123" w:history="1">
        <w:r w:rsidRPr="00F8275B">
          <w:rPr>
            <w:rStyle w:val="Hyperlink"/>
            <w:lang w:val="es-ES"/>
          </w:rPr>
          <w:t>recomendaciones relativas a los servicios financieros digitales seguros</w:t>
        </w:r>
      </w:hyperlink>
      <w:r w:rsidRPr="00F8275B">
        <w:rPr>
          <w:lang w:val="es-ES"/>
        </w:rPr>
        <w:t xml:space="preserve"> formuladas por la </w:t>
      </w:r>
      <w:hyperlink r:id="rId124" w:history="1">
        <w:r w:rsidRPr="00F8275B">
          <w:rPr>
            <w:rStyle w:val="Hyperlink"/>
            <w:lang w:val="es-ES"/>
          </w:rPr>
          <w:t>Iniciativa Mundial para la Inclusión Financiera (FIGI)</w:t>
        </w:r>
      </w:hyperlink>
      <w:r w:rsidRPr="00F8275B">
        <w:rPr>
          <w:lang w:val="es-ES"/>
        </w:rPr>
        <w:t>.</w:t>
      </w:r>
    </w:p>
    <w:p w14:paraId="0F402783" w14:textId="77777777" w:rsidR="00CE6D77" w:rsidRPr="00F8275B" w:rsidRDefault="00CE6D77" w:rsidP="00CE6D77">
      <w:pPr>
        <w:rPr>
          <w:lang w:val="es-ES"/>
        </w:rPr>
      </w:pPr>
      <w:r w:rsidRPr="00F8275B">
        <w:rPr>
          <w:lang w:val="es-ES"/>
        </w:rPr>
        <w:lastRenderedPageBreak/>
        <w:t>La asistencia prestada por el laboratorio empodera a los organismos reguladores para que lleven a cabo auditorías de seguridad de las aplicaciones de pago móvil a fin de determinar su conformidad con las recomendaciones en materia de seguridad.</w:t>
      </w:r>
    </w:p>
    <w:p w14:paraId="2B3896FF" w14:textId="77777777" w:rsidR="00CE6D77" w:rsidRPr="00F8275B" w:rsidRDefault="00CE6D77" w:rsidP="00CE6D77">
      <w:pPr>
        <w:rPr>
          <w:lang w:val="es-ES"/>
        </w:rPr>
      </w:pPr>
      <w:r w:rsidRPr="00F8275B">
        <w:rPr>
          <w:lang w:val="es-ES"/>
        </w:rPr>
        <w:t>El programa de transmisión de conocimientos del laboratorio ayuda a los organismos reguladores de las economías emergentes a crear sus propios laboratorios de seguridad a fin de probar la seguridad de las aplicaciones de pago móvil de sus países.</w:t>
      </w:r>
    </w:p>
    <w:p w14:paraId="35057646" w14:textId="77777777" w:rsidR="00CE6D77" w:rsidRPr="00F8275B" w:rsidRDefault="00CE6D77" w:rsidP="00CE6D77">
      <w:pPr>
        <w:rPr>
          <w:lang w:val="es-ES"/>
        </w:rPr>
      </w:pPr>
      <w:r w:rsidRPr="00F8275B">
        <w:rPr>
          <w:lang w:val="es-ES"/>
        </w:rPr>
        <w:t>El programa, que se amplió en 2023 para incluir la evaluación en materia de resiliencia cibernética, está aportando beneficios a los organismos reguladores de Uganda, Tanzanía y Perú, y se aplicará también próximamente en Gambia, Zimbabwe y Rwanda.</w:t>
      </w:r>
    </w:p>
    <w:p w14:paraId="2D9739C4" w14:textId="77777777" w:rsidR="00CE6D77" w:rsidRPr="00F8275B" w:rsidRDefault="00CE6D77" w:rsidP="00247EE7">
      <w:pPr>
        <w:rPr>
          <w:lang w:val="es-ES"/>
        </w:rPr>
      </w:pPr>
      <w:r w:rsidRPr="00F8275B">
        <w:rPr>
          <w:lang w:val="es-ES"/>
        </w:rPr>
        <w:t>El programa también ayuda a los países a coordinar sus acciones reglamentarias para asegurar los servicios financieros digitales, con la ayuda de un memorando de entendimiento entre el organismo regulador de las TIC de un país y el banco central, recomendado por la UIT.</w:t>
      </w:r>
    </w:p>
    <w:p w14:paraId="1D8FE1FB" w14:textId="77777777" w:rsidR="00CE6D77" w:rsidRPr="00F8275B" w:rsidRDefault="00CE6D77" w:rsidP="00CE6D77">
      <w:pPr>
        <w:rPr>
          <w:lang w:val="es-ES"/>
        </w:rPr>
      </w:pPr>
      <w:r w:rsidRPr="00F8275B">
        <w:rPr>
          <w:lang w:val="es-ES"/>
        </w:rPr>
        <w:t>Hasta ahora, los países africanos que han aplicado el memorando de entendimiento recomendado entre el organismo regulador de las telecomunicaciones y el banco central para los servicios financieros digitales son: Nigeria, Lesotho, Sierra Leona, Tanzanía, Kenya y Zimbabwe.</w:t>
      </w:r>
    </w:p>
    <w:p w14:paraId="33DD227E" w14:textId="77777777" w:rsidR="00CE6D77" w:rsidRPr="00F8275B" w:rsidRDefault="00CE6D77" w:rsidP="00CE6D77">
      <w:pPr>
        <w:pStyle w:val="Headingb"/>
        <w:rPr>
          <w:lang w:val="es-ES"/>
        </w:rPr>
      </w:pPr>
      <w:bookmarkStart w:id="116" w:name="_Toc156392417"/>
      <w:r w:rsidRPr="00F8275B">
        <w:rPr>
          <w:lang w:val="es-ES"/>
        </w:rPr>
        <w:t>Transformación digital para ciudades y comunidades inteligentes</w:t>
      </w:r>
      <w:bookmarkEnd w:id="116"/>
    </w:p>
    <w:p w14:paraId="4580FA1D" w14:textId="2597FB40" w:rsidR="00CE6D77" w:rsidRPr="00F8275B" w:rsidRDefault="00CE6D77" w:rsidP="00CE6D77">
      <w:pPr>
        <w:rPr>
          <w:lang w:val="es-ES"/>
        </w:rPr>
      </w:pPr>
      <w:bookmarkStart w:id="117" w:name="_Hlk120615721"/>
      <w:r w:rsidRPr="00F8275B">
        <w:rPr>
          <w:lang w:val="es-ES"/>
        </w:rPr>
        <w:t xml:space="preserve">La iniciativa </w:t>
      </w:r>
      <w:hyperlink r:id="rId125" w:history="1">
        <w:r w:rsidRPr="00F8275B">
          <w:rPr>
            <w:rStyle w:val="Hyperlink"/>
            <w:lang w:val="es-ES"/>
          </w:rPr>
          <w:t>Unidos por las ciudades inteligentes y sostenibles (U4SSC)</w:t>
        </w:r>
      </w:hyperlink>
      <w:r w:rsidRPr="00F8275B">
        <w:rPr>
          <w:lang w:val="es-ES"/>
        </w:rPr>
        <w:t xml:space="preserve"> cuenta con el apoyo de 19</w:t>
      </w:r>
      <w:r w:rsidR="00A77E1C" w:rsidRPr="00F8275B">
        <w:rPr>
          <w:lang w:val="es-ES"/>
        </w:rPr>
        <w:t> </w:t>
      </w:r>
      <w:r w:rsidRPr="00F8275B">
        <w:rPr>
          <w:lang w:val="es-ES"/>
        </w:rPr>
        <w:t>organismos de las Naciones Unidas y obra en favor de la consecución del ODS</w:t>
      </w:r>
      <w:r w:rsidR="00A77E1C" w:rsidRPr="00F8275B">
        <w:rPr>
          <w:lang w:val="es-ES"/>
        </w:rPr>
        <w:t> </w:t>
      </w:r>
      <w:r w:rsidRPr="00F8275B">
        <w:rPr>
          <w:lang w:val="es-ES"/>
        </w:rPr>
        <w:t>11 ("Lograr que las ciudades y los asentamientos humanos sean inclusivos, seguros, resilientes y sostenibles").</w:t>
      </w:r>
    </w:p>
    <w:bookmarkEnd w:id="117"/>
    <w:p w14:paraId="0008092C" w14:textId="7626F42C" w:rsidR="00CE6D77" w:rsidRPr="00F8275B" w:rsidRDefault="00CE6D77" w:rsidP="00CE6D77">
      <w:pPr>
        <w:rPr>
          <w:lang w:val="es-ES"/>
        </w:rPr>
      </w:pPr>
      <w:r w:rsidRPr="00F8275B">
        <w:rPr>
          <w:lang w:val="es-ES"/>
        </w:rPr>
        <w:t>Más de 150</w:t>
      </w:r>
      <w:r w:rsidR="00A77E1C" w:rsidRPr="00F8275B">
        <w:rPr>
          <w:lang w:val="es-ES"/>
        </w:rPr>
        <w:t> </w:t>
      </w:r>
      <w:r w:rsidRPr="00F8275B">
        <w:rPr>
          <w:lang w:val="es-ES"/>
        </w:rPr>
        <w:t xml:space="preserve">ciudades de todo el mundo están evaluando su progreso hacia los objetivos de las ciudades inteligentes y los ODS utilizando los </w:t>
      </w:r>
      <w:hyperlink r:id="rId126" w:history="1">
        <w:r w:rsidRPr="00F8275B">
          <w:rPr>
            <w:rStyle w:val="Hyperlink"/>
            <w:lang w:val="es-ES"/>
          </w:rPr>
          <w:t>indicadores fundamentales de rendimiento (IFR) de la iniciativa U4SSC para las ciudades inteligentes sostenibles</w:t>
        </w:r>
      </w:hyperlink>
      <w:r w:rsidRPr="00F8275B">
        <w:rPr>
          <w:lang w:val="es-ES"/>
        </w:rPr>
        <w:t xml:space="preserve">, basados en las normas de la UIT. Los resultados de las evaluaciones de los IFR se dan a conocer en las </w:t>
      </w:r>
      <w:hyperlink r:id="rId127" w:history="1">
        <w:r w:rsidRPr="00F8275B">
          <w:rPr>
            <w:rStyle w:val="Hyperlink"/>
            <w:lang w:val="es-ES"/>
          </w:rPr>
          <w:t>instantáneas, las fichas técnicas, los informes de verificación y los estudios de caso sobre las ciudades</w:t>
        </w:r>
      </w:hyperlink>
      <w:r w:rsidRPr="00F8275B">
        <w:rPr>
          <w:lang w:val="es-ES"/>
        </w:rPr>
        <w:t>.</w:t>
      </w:r>
      <w:hyperlink r:id="rId128" w:history="1">
        <w:bookmarkStart w:id="118" w:name="_Hlk120615772"/>
      </w:hyperlink>
      <w:bookmarkEnd w:id="118"/>
    </w:p>
    <w:p w14:paraId="4F54A045" w14:textId="77777777" w:rsidR="00CE6D77" w:rsidRPr="00F8275B" w:rsidRDefault="00CE6D77" w:rsidP="00CE6D77">
      <w:pPr>
        <w:rPr>
          <w:lang w:val="es-ES"/>
        </w:rPr>
      </w:pPr>
      <w:r w:rsidRPr="00F8275B">
        <w:rPr>
          <w:lang w:val="es-ES"/>
        </w:rPr>
        <w:t xml:space="preserve">U4SSC está prestando asesoramiento especializado (véanse los </w:t>
      </w:r>
      <w:hyperlink r:id="rId129" w:history="1">
        <w:r w:rsidRPr="00F8275B">
          <w:rPr>
            <w:rStyle w:val="Hyperlink"/>
            <w:lang w:val="es-ES"/>
          </w:rPr>
          <w:t>informes de U4SSC</w:t>
        </w:r>
      </w:hyperlink>
      <w:r w:rsidRPr="00F8275B">
        <w:rPr>
          <w:lang w:val="es-ES"/>
        </w:rPr>
        <w:t>) en seis esferas temáticas:</w:t>
      </w:r>
    </w:p>
    <w:p w14:paraId="7C955540" w14:textId="77777777" w:rsidR="00CE6D77" w:rsidRPr="00F8275B" w:rsidRDefault="00CE6D77" w:rsidP="00CE6D77">
      <w:pPr>
        <w:pStyle w:val="enumlev1"/>
        <w:rPr>
          <w:lang w:val="es-ES"/>
        </w:rPr>
      </w:pPr>
      <w:r w:rsidRPr="00F8275B">
        <w:rPr>
          <w:lang w:val="es-ES"/>
        </w:rPr>
        <w:t>•</w:t>
      </w:r>
      <w:r w:rsidRPr="00F8275B">
        <w:rPr>
          <w:lang w:val="es-ES"/>
        </w:rPr>
        <w:tab/>
        <w:t>Plataformas urbanas</w:t>
      </w:r>
    </w:p>
    <w:p w14:paraId="07F46C18" w14:textId="77777777" w:rsidR="00CE6D77" w:rsidRPr="00F8275B" w:rsidRDefault="00CE6D77" w:rsidP="00CE6D77">
      <w:pPr>
        <w:pStyle w:val="enumlev1"/>
        <w:rPr>
          <w:lang w:val="es-ES"/>
        </w:rPr>
      </w:pPr>
      <w:r w:rsidRPr="00F8275B">
        <w:rPr>
          <w:lang w:val="es-ES"/>
        </w:rPr>
        <w:t>•</w:t>
      </w:r>
      <w:r w:rsidRPr="00F8275B">
        <w:rPr>
          <w:lang w:val="es-ES"/>
        </w:rPr>
        <w:tab/>
        <w:t>Desarrollo de resiliencia económica urbana a escala urbana</w:t>
      </w:r>
    </w:p>
    <w:p w14:paraId="46E3814D" w14:textId="77777777" w:rsidR="00CE6D77" w:rsidRPr="00F8275B" w:rsidRDefault="00CE6D77" w:rsidP="00CE6D77">
      <w:pPr>
        <w:pStyle w:val="enumlev1"/>
        <w:rPr>
          <w:lang w:val="es-ES"/>
        </w:rPr>
      </w:pPr>
      <w:r w:rsidRPr="00F8275B">
        <w:rPr>
          <w:lang w:val="es-ES"/>
        </w:rPr>
        <w:t>•</w:t>
      </w:r>
      <w:r w:rsidRPr="00F8275B">
        <w:rPr>
          <w:lang w:val="es-ES"/>
        </w:rPr>
        <w:tab/>
        <w:t>IA en ciudades</w:t>
      </w:r>
    </w:p>
    <w:p w14:paraId="20E443BC" w14:textId="77777777" w:rsidR="00CE6D77" w:rsidRPr="00F8275B" w:rsidRDefault="00CE6D77" w:rsidP="00CE6D77">
      <w:pPr>
        <w:pStyle w:val="enumlev1"/>
        <w:rPr>
          <w:lang w:val="es-ES"/>
        </w:rPr>
      </w:pPr>
      <w:r w:rsidRPr="00F8275B">
        <w:rPr>
          <w:lang w:val="es-ES"/>
        </w:rPr>
        <w:t>•</w:t>
      </w:r>
      <w:r w:rsidRPr="00F8275B">
        <w:rPr>
          <w:lang w:val="es-ES"/>
        </w:rPr>
        <w:tab/>
        <w:t>Facilitación de las ciudades antropocéntricas mediante la transformación digital</w:t>
      </w:r>
    </w:p>
    <w:p w14:paraId="70075830" w14:textId="77777777" w:rsidR="00CE6D77" w:rsidRPr="00F8275B" w:rsidRDefault="00CE6D77" w:rsidP="00CE6D77">
      <w:pPr>
        <w:pStyle w:val="enumlev1"/>
        <w:rPr>
          <w:lang w:val="es-ES"/>
        </w:rPr>
      </w:pPr>
      <w:r w:rsidRPr="00F8275B">
        <w:rPr>
          <w:lang w:val="es-ES"/>
        </w:rPr>
        <w:t>•</w:t>
      </w:r>
      <w:r w:rsidRPr="00F8275B">
        <w:rPr>
          <w:lang w:val="es-ES"/>
        </w:rPr>
        <w:tab/>
        <w:t>Suministros para ciudades inteligentes y sostenibles</w:t>
      </w:r>
    </w:p>
    <w:p w14:paraId="64CF21EC" w14:textId="77777777" w:rsidR="00CE6D77" w:rsidRPr="00F8275B" w:rsidRDefault="00CE6D77" w:rsidP="00CE6D77">
      <w:pPr>
        <w:pStyle w:val="enumlev1"/>
        <w:rPr>
          <w:lang w:val="es-ES"/>
        </w:rPr>
      </w:pPr>
      <w:r w:rsidRPr="00F8275B">
        <w:rPr>
          <w:lang w:val="es-ES"/>
        </w:rPr>
        <w:t>•</w:t>
      </w:r>
      <w:r w:rsidRPr="00F8275B">
        <w:rPr>
          <w:lang w:val="es-ES"/>
        </w:rPr>
        <w:tab/>
        <w:t>Bienestar digital</w:t>
      </w:r>
    </w:p>
    <w:p w14:paraId="79553791" w14:textId="77777777" w:rsidR="00CE6D77" w:rsidRPr="00F8275B" w:rsidRDefault="00CE6D77" w:rsidP="00CE6D77">
      <w:pPr>
        <w:rPr>
          <w:lang w:val="es-ES"/>
        </w:rPr>
      </w:pPr>
      <w:r w:rsidRPr="00F8275B">
        <w:rPr>
          <w:lang w:val="es-ES"/>
        </w:rPr>
        <w:t xml:space="preserve">La </w:t>
      </w:r>
      <w:hyperlink r:id="rId130" w:history="1">
        <w:r w:rsidRPr="00F8275B">
          <w:rPr>
            <w:rStyle w:val="Hyperlink"/>
            <w:lang w:val="es-ES"/>
          </w:rPr>
          <w:t>séptima reunión de U4SSC</w:t>
        </w:r>
      </w:hyperlink>
      <w:r w:rsidRPr="00F8275B">
        <w:rPr>
          <w:lang w:val="es-ES"/>
        </w:rPr>
        <w:t xml:space="preserve"> tuvo lugar en línea el 20 de junio de 2023. Algunos aspectos importantes abordados en la reunión fueron el nombramiento del nuevo </w:t>
      </w:r>
      <w:hyperlink r:id="rId131" w:history="1">
        <w:r w:rsidRPr="00F8275B">
          <w:rPr>
            <w:rStyle w:val="Hyperlink"/>
            <w:lang w:val="es-ES"/>
          </w:rPr>
          <w:t>equipo de dirección de la U4SSC</w:t>
        </w:r>
      </w:hyperlink>
      <w:r w:rsidRPr="00F8275B">
        <w:rPr>
          <w:lang w:val="es-ES"/>
        </w:rPr>
        <w:t xml:space="preserve"> y el anuncio de un nuevo centro nacional de la U4SSC en Kyebi (Ghana).</w:t>
      </w:r>
    </w:p>
    <w:p w14:paraId="5541B7E6" w14:textId="77777777" w:rsidR="00CE6D77" w:rsidRPr="00F8275B" w:rsidRDefault="00CE6D77" w:rsidP="00CE6D77">
      <w:pPr>
        <w:rPr>
          <w:lang w:val="es-ES"/>
        </w:rPr>
      </w:pPr>
      <w:r w:rsidRPr="00F8275B">
        <w:rPr>
          <w:lang w:val="es-ES"/>
        </w:rPr>
        <w:t xml:space="preserve">Véanse los </w:t>
      </w:r>
      <w:hyperlink r:id="rId132" w:history="1">
        <w:r w:rsidRPr="00F8275B">
          <w:rPr>
            <w:rStyle w:val="Hyperlink"/>
            <w:lang w:val="es-ES"/>
          </w:rPr>
          <w:t>informes de la U4SSC</w:t>
        </w:r>
      </w:hyperlink>
      <w:r w:rsidRPr="00F8275B">
        <w:rPr>
          <w:lang w:val="es-ES"/>
        </w:rPr>
        <w:t>.</w:t>
      </w:r>
      <w:bookmarkEnd w:id="115"/>
    </w:p>
    <w:p w14:paraId="5538E711" w14:textId="77777777" w:rsidR="00CE6D77" w:rsidRPr="00F8275B" w:rsidRDefault="00CE6D77" w:rsidP="00CE6D77">
      <w:pPr>
        <w:pStyle w:val="Headingb"/>
        <w:rPr>
          <w:lang w:val="es-ES"/>
        </w:rPr>
      </w:pPr>
      <w:bookmarkStart w:id="119" w:name="_Toc156392418"/>
      <w:r w:rsidRPr="00F8275B">
        <w:rPr>
          <w:lang w:val="es-ES"/>
        </w:rPr>
        <w:lastRenderedPageBreak/>
        <w:t>Sistemas de transporte inteligente</w:t>
      </w:r>
      <w:bookmarkEnd w:id="119"/>
    </w:p>
    <w:p w14:paraId="03056254" w14:textId="77777777" w:rsidR="00CE6D77" w:rsidRPr="00F8275B" w:rsidRDefault="00CE6D77" w:rsidP="00CE6D77">
      <w:pPr>
        <w:rPr>
          <w:lang w:val="es-ES"/>
        </w:rPr>
      </w:pPr>
      <w:bookmarkStart w:id="120" w:name="_Hlk120616326"/>
      <w:bookmarkStart w:id="121" w:name="_Hlk92287189"/>
      <w:r w:rsidRPr="00F8275B">
        <w:rPr>
          <w:lang w:val="es-ES"/>
        </w:rPr>
        <w:t xml:space="preserve">El </w:t>
      </w:r>
      <w:hyperlink r:id="rId133" w:history="1">
        <w:r w:rsidRPr="00F8275B">
          <w:rPr>
            <w:rStyle w:val="Hyperlink"/>
            <w:lang w:val="es-ES"/>
          </w:rPr>
          <w:t>Simposio de la UIT y la CEPE sobre el Automóvil Conectado del Futuro</w:t>
        </w:r>
      </w:hyperlink>
      <w:r w:rsidRPr="00F8275B">
        <w:rPr>
          <w:lang w:val="es-ES"/>
        </w:rPr>
        <w:t xml:space="preserve"> reúne a expertos de la industria y los gobiernos para examinar los últimos avances en la automatización y la conectividad de vehículos.</w:t>
      </w:r>
    </w:p>
    <w:p w14:paraId="0099DA41" w14:textId="77777777" w:rsidR="00CE6D77" w:rsidRPr="00F8275B" w:rsidRDefault="00CE6D77" w:rsidP="00CE6D77">
      <w:pPr>
        <w:rPr>
          <w:lang w:val="es-ES"/>
        </w:rPr>
      </w:pPr>
      <w:r w:rsidRPr="00F8275B">
        <w:rPr>
          <w:lang w:val="es-ES"/>
        </w:rPr>
        <w:t xml:space="preserve">La </w:t>
      </w:r>
      <w:hyperlink r:id="rId134" w:history="1">
        <w:r w:rsidRPr="00F8275B">
          <w:rPr>
            <w:rStyle w:val="Hyperlink"/>
            <w:lang w:val="es-ES"/>
          </w:rPr>
          <w:t>Colaboración sobre Normas de Comunicación en los Sistemas de Transporte Inteligentes (CITS)</w:t>
        </w:r>
      </w:hyperlink>
      <w:r w:rsidRPr="00F8275B">
        <w:rPr>
          <w:lang w:val="es-ES"/>
        </w:rPr>
        <w:t xml:space="preserve">, dirigida por la UIT, incluye a todos los organismos de normalización que trabajan en la esfera del transporte inteligente. </w:t>
      </w:r>
      <w:hyperlink r:id="rId135" w:history="1">
        <w:r w:rsidRPr="00F8275B">
          <w:rPr>
            <w:rStyle w:val="Hyperlink"/>
            <w:lang w:val="es-ES"/>
          </w:rPr>
          <w:t>Base de datos de normas fundamentales de la CTIS</w:t>
        </w:r>
      </w:hyperlink>
      <w:r w:rsidRPr="00F8275B">
        <w:rPr>
          <w:lang w:val="es-ES"/>
        </w:rPr>
        <w:t>.</w:t>
      </w:r>
    </w:p>
    <w:p w14:paraId="2956A9C3" w14:textId="77777777" w:rsidR="00CE6D77" w:rsidRPr="00F8275B" w:rsidRDefault="00CE6D77" w:rsidP="00CE6D77">
      <w:pPr>
        <w:rPr>
          <w:lang w:val="es-ES"/>
        </w:rPr>
      </w:pPr>
      <w:r w:rsidRPr="00F8275B">
        <w:rPr>
          <w:lang w:val="es-ES"/>
        </w:rPr>
        <w:t xml:space="preserve">La CITS ha puesto en marcha un nuevo </w:t>
      </w:r>
      <w:hyperlink r:id="rId136" w:history="1">
        <w:r w:rsidRPr="00F8275B">
          <w:rPr>
            <w:rStyle w:val="Hyperlink"/>
            <w:lang w:val="es-ES"/>
          </w:rPr>
          <w:t>Grupo de Expertos en tecnología de comunicaciones para la conducción automatizada</w:t>
        </w:r>
      </w:hyperlink>
      <w:r w:rsidRPr="00F8275B">
        <w:rPr>
          <w:u w:val="single"/>
          <w:lang w:val="es-ES"/>
        </w:rPr>
        <w:t>.</w:t>
      </w:r>
    </w:p>
    <w:bookmarkEnd w:id="120"/>
    <w:p w14:paraId="7CBB6683" w14:textId="77777777" w:rsidR="00CE6D77" w:rsidRPr="00F8275B" w:rsidRDefault="00CE6D77" w:rsidP="00CE6D77">
      <w:pPr>
        <w:rPr>
          <w:lang w:val="es-ES"/>
        </w:rPr>
      </w:pPr>
      <w:r w:rsidRPr="00F8275B">
        <w:rPr>
          <w:lang w:val="es-ES"/>
        </w:rPr>
        <w:t xml:space="preserve">Nuevo </w:t>
      </w:r>
      <w:hyperlink r:id="rId137" w:history="1">
        <w:r w:rsidRPr="00F8275B">
          <w:rPr>
            <w:rStyle w:val="Hyperlink"/>
            <w:lang w:val="es-ES"/>
          </w:rPr>
          <w:t>portal web</w:t>
        </w:r>
      </w:hyperlink>
      <w:r w:rsidRPr="00F8275B">
        <w:rPr>
          <w:lang w:val="es-ES"/>
        </w:rPr>
        <w:t xml:space="preserve"> de la UIT sobre el transporte inteligente.</w:t>
      </w:r>
    </w:p>
    <w:p w14:paraId="3C58A3FE" w14:textId="77777777" w:rsidR="00CE6D77" w:rsidRPr="00F8275B" w:rsidRDefault="00CE6D77" w:rsidP="00CE6D77">
      <w:pPr>
        <w:pStyle w:val="Headingb"/>
        <w:rPr>
          <w:lang w:val="es-ES"/>
        </w:rPr>
      </w:pPr>
      <w:bookmarkStart w:id="122" w:name="_5.6_CTO_and"/>
      <w:bookmarkStart w:id="123" w:name="_Toc156392419"/>
      <w:bookmarkEnd w:id="122"/>
      <w:r w:rsidRPr="00F8275B">
        <w:rPr>
          <w:lang w:val="es-ES"/>
        </w:rPr>
        <w:t>Reuniones de directores técnicos y ejecutivos</w:t>
      </w:r>
      <w:bookmarkEnd w:id="123"/>
    </w:p>
    <w:p w14:paraId="2F9814D3" w14:textId="66B7B073" w:rsidR="00CE6D77" w:rsidRPr="00F8275B" w:rsidRDefault="00CE6D77" w:rsidP="00CE6D77">
      <w:pPr>
        <w:rPr>
          <w:lang w:val="es-ES"/>
        </w:rPr>
      </w:pPr>
      <w:r w:rsidRPr="00F8275B">
        <w:rPr>
          <w:lang w:val="es-ES"/>
        </w:rPr>
        <w:t xml:space="preserve">En las </w:t>
      </w:r>
      <w:hyperlink r:id="rId138" w:history="1">
        <w:r w:rsidRPr="00F8275B">
          <w:rPr>
            <w:rStyle w:val="Hyperlink"/>
            <w:lang w:val="es-ES"/>
          </w:rPr>
          <w:t>reuniones directores técnicos y ejecutivos</w:t>
        </w:r>
      </w:hyperlink>
      <w:r w:rsidRPr="00F8275B">
        <w:rPr>
          <w:lang w:val="es-ES"/>
        </w:rPr>
        <w:t xml:space="preserve"> se reúnen ejecutivos de la industria para examinar prioridades del sector y actividades de normalización conexas con los directivos de la</w:t>
      </w:r>
      <w:r w:rsidR="001B6B57" w:rsidRPr="00F8275B">
        <w:rPr>
          <w:lang w:val="es-ES"/>
        </w:rPr>
        <w:t> </w:t>
      </w:r>
      <w:r w:rsidR="00507A14" w:rsidRPr="00F8275B">
        <w:rPr>
          <w:lang w:val="es-ES"/>
        </w:rPr>
        <w:t>Oficina de Normalización de las Telecomunicaciones de la UIT (</w:t>
      </w:r>
      <w:r w:rsidRPr="00F8275B">
        <w:rPr>
          <w:lang w:val="es-ES"/>
        </w:rPr>
        <w:t>TSB</w:t>
      </w:r>
      <w:r w:rsidR="00507A14" w:rsidRPr="00F8275B">
        <w:rPr>
          <w:lang w:val="es-ES"/>
        </w:rPr>
        <w:t>)</w:t>
      </w:r>
      <w:r w:rsidRPr="00F8275B">
        <w:rPr>
          <w:lang w:val="es-ES"/>
        </w:rPr>
        <w:t>. En los comunicados resultantes se exponen las áreas de innovación que se benefician de las nuevas normas de la UIT.</w:t>
      </w:r>
      <w:bookmarkStart w:id="124" w:name="_Hlk120616343"/>
    </w:p>
    <w:p w14:paraId="7863BC6A" w14:textId="77777777" w:rsidR="00CE6D77" w:rsidRPr="00F8275B" w:rsidRDefault="00CE6D77" w:rsidP="00CE6D77">
      <w:pPr>
        <w:rPr>
          <w:lang w:val="es-ES"/>
        </w:rPr>
      </w:pPr>
      <w:r w:rsidRPr="00F8275B">
        <w:rPr>
          <w:lang w:val="es-ES"/>
        </w:rPr>
        <w:t xml:space="preserve">La </w:t>
      </w:r>
      <w:hyperlink r:id="rId139" w:history="1">
        <w:r w:rsidRPr="00F8275B">
          <w:rPr>
            <w:rStyle w:val="Hyperlink"/>
            <w:lang w:val="es-ES"/>
          </w:rPr>
          <w:t>mesa redonda de directores ejecutivos</w:t>
        </w:r>
      </w:hyperlink>
      <w:r w:rsidRPr="00F8275B">
        <w:rPr>
          <w:lang w:val="es-ES"/>
        </w:rPr>
        <w:t xml:space="preserve"> más reciente se celebró el 5 de diciembre de 2023 en la Cumbre de Líderes del Examen de las Telecomunicaciones en Dubái (Emiratos Árabes Unidos), en la que también se pudo participar en línea.</w:t>
      </w:r>
    </w:p>
    <w:p w14:paraId="25401F94" w14:textId="77777777" w:rsidR="00CE6D77" w:rsidRPr="00F8275B" w:rsidRDefault="00CE6D77" w:rsidP="00CE6D77">
      <w:pPr>
        <w:rPr>
          <w:lang w:val="es-ES"/>
        </w:rPr>
      </w:pPr>
      <w:r w:rsidRPr="00F8275B">
        <w:rPr>
          <w:lang w:val="es-ES"/>
        </w:rPr>
        <w:t xml:space="preserve">Los directores ejecutivos debatieron sobre el apoyo que requieren las IMT-2030 (6G) de las redes ópticas, la IA y las comunicaciones semánticas. También abordaron la brecha digital, las redes no terrenales, la movilidad inteligente, las comunicaciones por líneas eléctricas, la respuesta en caso de catástrofe, la tecnología de visión artificial, la cadena de bloques, la mitigación del fraude y las tecnologías de información cuántica. Véase el </w:t>
      </w:r>
      <w:hyperlink r:id="rId140" w:history="1">
        <w:r w:rsidRPr="00F8275B">
          <w:rPr>
            <w:rStyle w:val="Hyperlink"/>
            <w:lang w:val="es-ES"/>
          </w:rPr>
          <w:t>comunicado</w:t>
        </w:r>
      </w:hyperlink>
      <w:r w:rsidRPr="00F8275B">
        <w:rPr>
          <w:lang w:val="es-ES"/>
        </w:rPr>
        <w:t xml:space="preserve"> de la reunión.</w:t>
      </w:r>
    </w:p>
    <w:p w14:paraId="222A4FDD" w14:textId="77777777" w:rsidR="00A55B05" w:rsidRPr="00F8275B" w:rsidRDefault="0080647C" w:rsidP="00247EE7">
      <w:pPr>
        <w:pStyle w:val="Headingb"/>
        <w:rPr>
          <w:lang w:val="es-ES"/>
        </w:rPr>
      </w:pPr>
      <w:bookmarkStart w:id="125" w:name="_5.7_Green_Digital"/>
      <w:bookmarkEnd w:id="121"/>
      <w:bookmarkEnd w:id="124"/>
      <w:bookmarkEnd w:id="125"/>
      <w:r w:rsidRPr="00F8275B">
        <w:rPr>
          <w:lang w:val="es-ES"/>
        </w:rPr>
        <w:t>Acción Digital Verde en la COP28</w:t>
      </w:r>
    </w:p>
    <w:p w14:paraId="4A48A887" w14:textId="7527619D" w:rsidR="00A55B05" w:rsidRPr="00F8275B" w:rsidRDefault="0080647C" w:rsidP="00247EE7">
      <w:pPr>
        <w:rPr>
          <w:lang w:val="es-ES"/>
        </w:rPr>
      </w:pPr>
      <w:r w:rsidRPr="00F8275B">
        <w:rPr>
          <w:lang w:val="es-ES"/>
        </w:rPr>
        <w:t xml:space="preserve">La UIT organizó el </w:t>
      </w:r>
      <w:hyperlink r:id="rId141" w:history="1">
        <w:r w:rsidRPr="00F8275B">
          <w:rPr>
            <w:rStyle w:val="Hyperlink"/>
            <w:lang w:val="es-ES"/>
          </w:rPr>
          <w:t>tema de la Acción Digital Verde en la Conferencia de las Naciones Unidas sobre el Cambio Climático (COP28)</w:t>
        </w:r>
      </w:hyperlink>
      <w:r w:rsidRPr="00F8275B">
        <w:rPr>
          <w:lang w:val="es-ES"/>
        </w:rPr>
        <w:t xml:space="preserve"> celebrada en Dubái (Emiratos Árabes Unidos), entre el 30</w:t>
      </w:r>
      <w:r w:rsidR="00247EE7" w:rsidRPr="00F8275B">
        <w:rPr>
          <w:lang w:val="es-ES"/>
        </w:rPr>
        <w:t> </w:t>
      </w:r>
      <w:r w:rsidRPr="00F8275B">
        <w:rPr>
          <w:lang w:val="es-ES"/>
        </w:rPr>
        <w:t>de noviembre y el 13 de diciembre de 2023. La UIT organizó este tema fundamental de reuniones y debates junto con diferentes asociados como gobiernos, empresas, asociaciones de la industria, la sociedad civil, otros organismos de las Naciones Unidas y bancos multilaterales.</w:t>
      </w:r>
    </w:p>
    <w:p w14:paraId="7E95236B" w14:textId="575F6315" w:rsidR="0080647C" w:rsidRPr="00F8275B" w:rsidRDefault="00534F60" w:rsidP="00247EE7">
      <w:pPr>
        <w:rPr>
          <w:rFonts w:eastAsiaTheme="minorEastAsia" w:cstheme="minorHAnsi"/>
          <w:sz w:val="22"/>
          <w:szCs w:val="22"/>
          <w:lang w:val="es-ES"/>
        </w:rPr>
      </w:pPr>
      <w:hyperlink r:id="rId142" w:history="1">
        <w:r w:rsidR="0080647C" w:rsidRPr="00F8275B">
          <w:rPr>
            <w:rStyle w:val="Hyperlink"/>
            <w:lang w:val="es-ES"/>
          </w:rPr>
          <w:t>Algunos de los resultados</w:t>
        </w:r>
      </w:hyperlink>
      <w:r w:rsidR="0080647C" w:rsidRPr="00F8275B">
        <w:rPr>
          <w:lang w:val="es-ES"/>
        </w:rPr>
        <w:t xml:space="preserve"> de la Acción Digital Verde en la COP28 son:</w:t>
      </w:r>
    </w:p>
    <w:p w14:paraId="3A7CAE8A" w14:textId="2E272384" w:rsidR="0080647C" w:rsidRPr="00F8275B" w:rsidRDefault="00247EE7" w:rsidP="00247EE7">
      <w:pPr>
        <w:pStyle w:val="enumlev1"/>
        <w:rPr>
          <w:rFonts w:eastAsiaTheme="minorEastAsia" w:cstheme="minorHAnsi"/>
          <w:sz w:val="22"/>
          <w:szCs w:val="22"/>
          <w:lang w:val="es-ES"/>
        </w:rPr>
      </w:pPr>
      <w:r w:rsidRPr="00F8275B">
        <w:rPr>
          <w:lang w:val="es-ES"/>
        </w:rPr>
        <w:t>–</w:t>
      </w:r>
      <w:r w:rsidRPr="00F8275B">
        <w:rPr>
          <w:lang w:val="es-ES"/>
        </w:rPr>
        <w:tab/>
      </w:r>
      <w:r w:rsidR="0080647C" w:rsidRPr="00F8275B">
        <w:rPr>
          <w:lang w:val="es-ES"/>
        </w:rPr>
        <w:t>Acuerdos corporativos para reducir las emisiones de gases de efecto invernadero basados en metas científicas y acordes con la meta de limitar el calentamiento climático a 1,5oC, y para crear planes de transición y aumentar la transparencia de los datos de las emisiones en toda la industria tecnológica.</w:t>
      </w:r>
    </w:p>
    <w:p w14:paraId="5C40C8E9" w14:textId="0B2A04AF" w:rsidR="0080647C" w:rsidRPr="00F8275B" w:rsidRDefault="00247EE7" w:rsidP="00247EE7">
      <w:pPr>
        <w:pStyle w:val="enumlev1"/>
        <w:rPr>
          <w:rFonts w:eastAsiaTheme="minorEastAsia" w:cstheme="minorHAnsi"/>
          <w:sz w:val="22"/>
          <w:szCs w:val="22"/>
          <w:lang w:val="es-ES"/>
        </w:rPr>
      </w:pPr>
      <w:r w:rsidRPr="00F8275B">
        <w:rPr>
          <w:lang w:val="es-ES"/>
        </w:rPr>
        <w:t>–</w:t>
      </w:r>
      <w:r w:rsidRPr="00F8275B">
        <w:rPr>
          <w:lang w:val="es-ES"/>
        </w:rPr>
        <w:tab/>
      </w:r>
      <w:r w:rsidR="0080647C" w:rsidRPr="00F8275B">
        <w:rPr>
          <w:lang w:val="es-ES"/>
        </w:rPr>
        <w:t>Colaboración internacional para elaborar normas sobre los residuos electrónicos como principal medio para promover una industria tecnológica circular.</w:t>
      </w:r>
    </w:p>
    <w:p w14:paraId="3C68783F" w14:textId="66025429" w:rsidR="0080647C" w:rsidRPr="00F8275B" w:rsidRDefault="00247EE7" w:rsidP="00832CD0">
      <w:pPr>
        <w:pStyle w:val="enumlev1"/>
        <w:keepNext/>
        <w:keepLines/>
        <w:rPr>
          <w:rFonts w:eastAsiaTheme="minorEastAsia" w:cstheme="minorHAnsi"/>
          <w:sz w:val="22"/>
          <w:szCs w:val="22"/>
          <w:lang w:val="es-ES"/>
        </w:rPr>
      </w:pPr>
      <w:r w:rsidRPr="00F8275B">
        <w:rPr>
          <w:lang w:val="es-ES"/>
        </w:rPr>
        <w:lastRenderedPageBreak/>
        <w:t>–</w:t>
      </w:r>
      <w:r w:rsidRPr="00F8275B">
        <w:rPr>
          <w:lang w:val="es-ES"/>
        </w:rPr>
        <w:tab/>
      </w:r>
      <w:hyperlink r:id="rId143" w:history="1">
        <w:r w:rsidR="0080647C" w:rsidRPr="00F8275B">
          <w:rPr>
            <w:rStyle w:val="Hyperlink"/>
            <w:lang w:val="es-ES"/>
          </w:rPr>
          <w:t>Declaración conjunta</w:t>
        </w:r>
      </w:hyperlink>
      <w:r w:rsidR="0080647C" w:rsidRPr="00F8275B">
        <w:rPr>
          <w:lang w:val="es-ES"/>
        </w:rPr>
        <w:t xml:space="preserve"> de la UIT, la ISO y la CEI sobre la importancia de incorporar la sostenibilidad a la formulación de normas técnicas por diseño, y normas para ayudar al mundo a conseguir el nivel cero neto de emisiones y una economía circular con bajas emisiones de carbono y uso eficiente de los recursos.</w:t>
      </w:r>
    </w:p>
    <w:p w14:paraId="0ED9EE6B" w14:textId="026397A5" w:rsidR="0080647C" w:rsidRPr="00F8275B" w:rsidRDefault="00247EE7" w:rsidP="00247EE7">
      <w:pPr>
        <w:pStyle w:val="enumlev1"/>
        <w:rPr>
          <w:rFonts w:eastAsiaTheme="minorEastAsia" w:cstheme="minorHAnsi"/>
          <w:sz w:val="22"/>
          <w:szCs w:val="22"/>
          <w:lang w:val="es-ES"/>
        </w:rPr>
      </w:pPr>
      <w:r w:rsidRPr="00F8275B">
        <w:rPr>
          <w:lang w:val="es-ES"/>
        </w:rPr>
        <w:t>–</w:t>
      </w:r>
      <w:r w:rsidRPr="00F8275B">
        <w:rPr>
          <w:lang w:val="es-ES"/>
        </w:rPr>
        <w:tab/>
      </w:r>
      <w:r w:rsidR="0080647C" w:rsidRPr="00F8275B">
        <w:rPr>
          <w:lang w:val="es-ES"/>
        </w:rPr>
        <w:t xml:space="preserve">Estímulo a la colaboración de la industria y los países para la aplicación de normas de sostenibilidad ambiental a través de un </w:t>
      </w:r>
      <w:hyperlink r:id="rId144" w:history="1">
        <w:r w:rsidR="0080647C" w:rsidRPr="00F8275B">
          <w:rPr>
            <w:rStyle w:val="Hyperlink"/>
            <w:lang w:val="es-ES"/>
          </w:rPr>
          <w:t>plan de acción</w:t>
        </w:r>
      </w:hyperlink>
      <w:r w:rsidR="0080647C" w:rsidRPr="00F8275B">
        <w:rPr>
          <w:lang w:val="es-ES"/>
        </w:rPr>
        <w:t>.</w:t>
      </w:r>
    </w:p>
    <w:p w14:paraId="599C3711" w14:textId="41BD33E3" w:rsidR="0080647C" w:rsidRPr="00F8275B" w:rsidRDefault="00247EE7" w:rsidP="00247EE7">
      <w:pPr>
        <w:pStyle w:val="enumlev1"/>
        <w:rPr>
          <w:rFonts w:eastAsiaTheme="minorEastAsia" w:cstheme="minorHAnsi"/>
          <w:sz w:val="22"/>
          <w:szCs w:val="22"/>
          <w:lang w:val="es-ES"/>
        </w:rPr>
      </w:pPr>
      <w:r w:rsidRPr="00F8275B">
        <w:rPr>
          <w:lang w:val="es-ES"/>
        </w:rPr>
        <w:t>–</w:t>
      </w:r>
      <w:r w:rsidRPr="00F8275B">
        <w:rPr>
          <w:lang w:val="es-ES"/>
        </w:rPr>
        <w:tab/>
      </w:r>
      <w:r w:rsidR="0080647C" w:rsidRPr="00F8275B">
        <w:rPr>
          <w:lang w:val="es-ES"/>
        </w:rPr>
        <w:t>Petición de la industria de satélites y telecomunicaciones móviles para apoyar la iniciativa Alertas Tempranas para Todos mediante radiodifusión celular y servicios directos a dispositivo a fin proteger a todas las personas con alertas de catástrofe que salvan vidas de aquí a 2027. El sector privado también pidió que se implantara la radiodifusión celular utilizando un enfoque reglamentario.</w:t>
      </w:r>
    </w:p>
    <w:p w14:paraId="18B27C1E" w14:textId="1924DF1E" w:rsidR="0080647C" w:rsidRPr="00F8275B" w:rsidRDefault="0080647C" w:rsidP="00247EE7">
      <w:pPr>
        <w:rPr>
          <w:lang w:val="es-ES"/>
        </w:rPr>
      </w:pPr>
      <w:r w:rsidRPr="00F8275B">
        <w:rPr>
          <w:lang w:val="es-ES"/>
        </w:rPr>
        <w:t xml:space="preserve">El concurso </w:t>
      </w:r>
      <w:hyperlink r:id="rId145" w:history="1">
        <w:r w:rsidRPr="00F8275B">
          <w:rPr>
            <w:rStyle w:val="Hyperlink"/>
            <w:lang w:val="es-ES"/>
          </w:rPr>
          <w:t>AI/ML Solutions for Climate Change</w:t>
        </w:r>
      </w:hyperlink>
      <w:r w:rsidRPr="00F8275B">
        <w:rPr>
          <w:lang w:val="es-ES"/>
        </w:rPr>
        <w:t xml:space="preserve"> también concluyó en la COP28. El concurso estuvo respaldado por la UIT, el Organismo Internacional de Energía Atómica (OIEA),</w:t>
      </w:r>
      <w:r w:rsidR="00247EE7" w:rsidRPr="00F8275B">
        <w:rPr>
          <w:lang w:val="es-ES"/>
        </w:rPr>
        <w:t xml:space="preserve"> </w:t>
      </w:r>
      <w:r w:rsidRPr="00F8275B">
        <w:rPr>
          <w:lang w:val="es-ES"/>
        </w:rPr>
        <w:t xml:space="preserve">la Organización de las Naciones Unidas para la Alimentación y la Agricultura (FAO), la Organización de las Naciones Unidas para la Educación, la Ciencia y la Cultura (UNESCO) y el Banco Mundial. Los concursos estuvieron facilitados por una corriente de la </w:t>
      </w:r>
      <w:hyperlink r:id="rId146" w:history="1">
        <w:r w:rsidRPr="00F8275B">
          <w:rPr>
            <w:rStyle w:val="Hyperlink"/>
            <w:lang w:val="es-ES"/>
          </w:rPr>
          <w:t>Fábrica de Innovación AI for Good</w:t>
        </w:r>
      </w:hyperlink>
      <w:r w:rsidRPr="00F8275B">
        <w:rPr>
          <w:lang w:val="es-ES"/>
        </w:rPr>
        <w:t>, dirigida por la UIT y el OIEA.</w:t>
      </w:r>
    </w:p>
    <w:p w14:paraId="10FD7617" w14:textId="77777777" w:rsidR="00CE6D77" w:rsidRPr="00F8275B" w:rsidRDefault="00CE6D77" w:rsidP="00CE6D77">
      <w:pPr>
        <w:pStyle w:val="Headingb"/>
        <w:rPr>
          <w:lang w:val="es-ES"/>
        </w:rPr>
      </w:pPr>
      <w:r w:rsidRPr="00F8275B">
        <w:rPr>
          <w:lang w:val="es-ES"/>
        </w:rPr>
        <w:t>Cooperación Mundial sobre Normas</w:t>
      </w:r>
    </w:p>
    <w:p w14:paraId="66A80AF3" w14:textId="5E7C1DD0" w:rsidR="00CE6D77" w:rsidRPr="00F8275B" w:rsidRDefault="00CE6D77" w:rsidP="001C7358">
      <w:pPr>
        <w:keepNext/>
        <w:keepLines/>
        <w:rPr>
          <w:lang w:val="es-ES"/>
        </w:rPr>
      </w:pPr>
      <w:r w:rsidRPr="00F8275B">
        <w:rPr>
          <w:lang w:val="es-ES"/>
        </w:rPr>
        <w:t xml:space="preserve">La </w:t>
      </w:r>
      <w:hyperlink r:id="rId147" w:history="1">
        <w:r w:rsidRPr="00F8275B">
          <w:rPr>
            <w:rStyle w:val="Hyperlink"/>
            <w:lang w:val="es-ES"/>
          </w:rPr>
          <w:t>Cooperación Mundial sobre Normas (WSC)</w:t>
        </w:r>
      </w:hyperlink>
      <w:r w:rsidRPr="00F8275B">
        <w:rPr>
          <w:lang w:val="es-ES"/>
        </w:rPr>
        <w:t xml:space="preserve"> es una alianza constituida por la UIT, la Organización Internacional de Normalización (ISO) y la Comisión Electrotécnica Internacional (CEI) para promover el sistema de normas internacionales basadas en el consenso voluntario.</w:t>
      </w:r>
    </w:p>
    <w:p w14:paraId="57B8E7C3" w14:textId="77777777" w:rsidR="00CE6D77" w:rsidRPr="00F8275B" w:rsidRDefault="00CE6D77" w:rsidP="00CE6D77">
      <w:pPr>
        <w:pStyle w:val="enumlev1"/>
        <w:rPr>
          <w:lang w:val="es-ES"/>
        </w:rPr>
      </w:pPr>
      <w:bookmarkStart w:id="126" w:name="_Hlk120564290"/>
      <w:r w:rsidRPr="00F8275B">
        <w:rPr>
          <w:lang w:val="es-ES"/>
        </w:rPr>
        <w:t>–</w:t>
      </w:r>
      <w:r w:rsidRPr="00F8275B">
        <w:rPr>
          <w:lang w:val="es-ES"/>
        </w:rPr>
        <w:tab/>
      </w:r>
      <w:hyperlink r:id="rId148" w:history="1">
        <w:r w:rsidRPr="00F8275B">
          <w:rPr>
            <w:rStyle w:val="Hyperlink"/>
            <w:lang w:val="es-ES"/>
          </w:rPr>
          <w:t>Día Mundial de la Normalización, 14 de octubre</w:t>
        </w:r>
      </w:hyperlink>
      <w:r w:rsidRPr="00F8275B">
        <w:rPr>
          <w:lang w:val="es-ES"/>
        </w:rPr>
        <w:t xml:space="preserve">: la UIT, la ISO y la CEI lideran las celebraciones en torno al tema "Una visión compartida para un mundo mejor". </w:t>
      </w:r>
      <w:hyperlink r:id="rId149" w:history="1">
        <w:r w:rsidRPr="00F8275B">
          <w:rPr>
            <w:rStyle w:val="Hyperlink"/>
            <w:lang w:val="es-ES"/>
          </w:rPr>
          <w:t>Todas las ediciones anteriores del Día Mundial de la Normalización</w:t>
        </w:r>
      </w:hyperlink>
      <w:r w:rsidRPr="00F8275B">
        <w:rPr>
          <w:lang w:val="es-ES"/>
        </w:rPr>
        <w:t>.</w:t>
      </w:r>
    </w:p>
    <w:bookmarkEnd w:id="126"/>
    <w:p w14:paraId="6BA01BB9" w14:textId="77777777" w:rsidR="00CE6D77" w:rsidRPr="00F8275B" w:rsidRDefault="00CE6D77" w:rsidP="00CE6D77">
      <w:pPr>
        <w:pStyle w:val="enumlev1"/>
        <w:rPr>
          <w:lang w:val="es-ES"/>
        </w:rPr>
      </w:pPr>
      <w:r w:rsidRPr="00F8275B">
        <w:rPr>
          <w:lang w:val="es-ES"/>
        </w:rPr>
        <w:t>–</w:t>
      </w:r>
      <w:r w:rsidRPr="00F8275B">
        <w:rPr>
          <w:lang w:val="es-ES"/>
        </w:rPr>
        <w:tab/>
      </w:r>
      <w:hyperlink r:id="rId150" w:history="1">
        <w:r w:rsidRPr="00F8275B">
          <w:rPr>
            <w:rStyle w:val="Hyperlink"/>
            <w:lang w:val="es-ES"/>
          </w:rPr>
          <w:t>Declaración conjunta en la COP28</w:t>
        </w:r>
      </w:hyperlink>
      <w:r w:rsidRPr="00F8275B">
        <w:rPr>
          <w:lang w:val="es-ES"/>
        </w:rPr>
        <w:t>: la UIT, la ISO y la CEI formularon una declaración conjunta en la COP28 sobre la importancia de incorporar la sostenibilidad a la formulación de normas técnicas por diseño, y normas para ayudar al mundo a conseguir el nivel cero neto de emisiones y una economía circular con bajas emisiones de carbono y uso eficiente de los recursos.</w:t>
      </w:r>
    </w:p>
    <w:p w14:paraId="78547A05" w14:textId="77777777" w:rsidR="00CE6D77" w:rsidRPr="00F8275B" w:rsidRDefault="00CE6D77" w:rsidP="00A77E1C">
      <w:pPr>
        <w:pStyle w:val="Headingb"/>
        <w:ind w:left="0" w:firstLine="0"/>
        <w:rPr>
          <w:lang w:val="es-ES"/>
        </w:rPr>
      </w:pPr>
      <w:r w:rsidRPr="00F8275B">
        <w:rPr>
          <w:lang w:val="es-ES"/>
        </w:rPr>
        <w:t>La UIT, la Organización Meteorológica Mundial y el PNUMA están analizando las posibilidades de aprovechar la IA para la gestión de catástrofes naturales</w:t>
      </w:r>
    </w:p>
    <w:p w14:paraId="5BDA0EB8" w14:textId="77777777" w:rsidR="00CE6D77" w:rsidRPr="00F8275B" w:rsidRDefault="00CE6D77" w:rsidP="00CE6D77">
      <w:pPr>
        <w:rPr>
          <w:lang w:val="es-ES"/>
        </w:rPr>
      </w:pPr>
      <w:r w:rsidRPr="00F8275B">
        <w:rPr>
          <w:lang w:val="es-ES"/>
        </w:rPr>
        <w:t xml:space="preserve">El </w:t>
      </w:r>
      <w:hyperlink r:id="rId151" w:history="1">
        <w:r w:rsidRPr="00F8275B">
          <w:rPr>
            <w:rStyle w:val="Hyperlink"/>
            <w:lang w:val="es-ES"/>
          </w:rPr>
          <w:t>Grupo Temático de la UIT, la OMM y el PNUMA sobre la IA para la gestión de catástrofes naturales</w:t>
        </w:r>
      </w:hyperlink>
    </w:p>
    <w:p w14:paraId="5773A141" w14:textId="77777777" w:rsidR="00CE6D77" w:rsidRPr="00F8275B" w:rsidRDefault="00CE6D77" w:rsidP="00A77E1C">
      <w:pPr>
        <w:pStyle w:val="Headingb"/>
        <w:ind w:left="0" w:firstLine="0"/>
        <w:rPr>
          <w:lang w:val="es-ES"/>
        </w:rPr>
      </w:pPr>
      <w:r w:rsidRPr="00F8275B">
        <w:rPr>
          <w:lang w:val="es-ES"/>
        </w:rPr>
        <w:t>La UIT y la Organización de las Naciones Unidas para la Agricultura y la Alimentación cooperan estrechamente en materia de IA e IoT para fomentar la agricultura digital</w:t>
      </w:r>
    </w:p>
    <w:p w14:paraId="09FE107C" w14:textId="4071CF28" w:rsidR="00CE6D77" w:rsidRPr="00F8275B" w:rsidRDefault="00CE6D77" w:rsidP="00CE6D77">
      <w:pPr>
        <w:rPr>
          <w:lang w:val="es-ES"/>
        </w:rPr>
      </w:pPr>
      <w:r w:rsidRPr="00F8275B">
        <w:rPr>
          <w:lang w:val="es-ES"/>
        </w:rPr>
        <w:t xml:space="preserve">El </w:t>
      </w:r>
      <w:hyperlink r:id="rId152" w:history="1">
        <w:r w:rsidRPr="00F8275B">
          <w:rPr>
            <w:rStyle w:val="Hyperlink"/>
            <w:lang w:val="es-ES"/>
          </w:rPr>
          <w:t xml:space="preserve">Grupo Temático de la UIT y la FAO sobre </w:t>
        </w:r>
        <w:r w:rsidR="00CB6042" w:rsidRPr="00F8275B">
          <w:rPr>
            <w:rStyle w:val="Hyperlink"/>
            <w:lang w:val="es-ES"/>
          </w:rPr>
          <w:t>i</w:t>
        </w:r>
        <w:r w:rsidRPr="00F8275B">
          <w:rPr>
            <w:rStyle w:val="Hyperlink"/>
            <w:lang w:val="es-ES"/>
          </w:rPr>
          <w:t xml:space="preserve">nteligencia </w:t>
        </w:r>
        <w:r w:rsidR="00CB6042" w:rsidRPr="00F8275B">
          <w:rPr>
            <w:rStyle w:val="Hyperlink"/>
            <w:lang w:val="es-ES"/>
          </w:rPr>
          <w:t>a</w:t>
        </w:r>
        <w:r w:rsidRPr="00F8275B">
          <w:rPr>
            <w:rStyle w:val="Hyperlink"/>
            <w:lang w:val="es-ES"/>
          </w:rPr>
          <w:t>rtificial e Internet de las cosas para la agricultura digital</w:t>
        </w:r>
      </w:hyperlink>
    </w:p>
    <w:p w14:paraId="065856FE" w14:textId="77777777" w:rsidR="0080647C" w:rsidRPr="00F8275B" w:rsidRDefault="00CE6D77" w:rsidP="00D0564D">
      <w:pPr>
        <w:pStyle w:val="Headingb"/>
        <w:rPr>
          <w:lang w:val="es-ES"/>
        </w:rPr>
      </w:pPr>
      <w:r w:rsidRPr="00F8275B">
        <w:rPr>
          <w:lang w:val="es-ES"/>
        </w:rPr>
        <w:lastRenderedPageBreak/>
        <w:t>CMSI</w:t>
      </w:r>
    </w:p>
    <w:p w14:paraId="72CB1EAA" w14:textId="5F8F439F" w:rsidR="00CE6D77" w:rsidRPr="00F8275B" w:rsidRDefault="00CE6D77" w:rsidP="00F80A46">
      <w:pPr>
        <w:keepNext/>
        <w:keepLines/>
        <w:rPr>
          <w:lang w:val="es-ES"/>
        </w:rPr>
      </w:pPr>
      <w:r w:rsidRPr="00F8275B">
        <w:rPr>
          <w:lang w:val="es-ES"/>
        </w:rPr>
        <w:t xml:space="preserve">El </w:t>
      </w:r>
      <w:hyperlink r:id="rId153" w:history="1">
        <w:r w:rsidRPr="00F8275B">
          <w:rPr>
            <w:rStyle w:val="Hyperlink"/>
            <w:lang w:val="es-ES"/>
          </w:rPr>
          <w:t>Evento de Alto Nivel del Foro de la CMSI+20</w:t>
        </w:r>
      </w:hyperlink>
      <w:r w:rsidRPr="00F8275B">
        <w:rPr>
          <w:lang w:val="es-ES"/>
        </w:rPr>
        <w:t xml:space="preserve"> tendrá lugar del 27 al 31 de mayo de 2024 en Ginebra. Su programa abarcará diversos temas, en que se destacarán los logros conseguidos durante 20</w:t>
      </w:r>
      <w:r w:rsidR="00A77E1C" w:rsidRPr="00F8275B">
        <w:rPr>
          <w:lang w:val="es-ES"/>
        </w:rPr>
        <w:t> </w:t>
      </w:r>
      <w:r w:rsidRPr="00F8275B">
        <w:rPr>
          <w:lang w:val="es-ES"/>
        </w:rPr>
        <w:t>años de aplicación de la CMSI, se presentarán estudios de casos sobre las tecnologías digitales para el desarrollo y se expondrá el papel que desempeñan las TIC en la consecución de los objetivos mundiales.</w:t>
      </w:r>
    </w:p>
    <w:p w14:paraId="24EDA71F" w14:textId="4DE3A861" w:rsidR="00CE6D77" w:rsidRPr="00F8275B" w:rsidRDefault="00CE6D77" w:rsidP="001C7358">
      <w:pPr>
        <w:rPr>
          <w:lang w:val="es-ES"/>
        </w:rPr>
      </w:pPr>
      <w:r w:rsidRPr="00F8275B">
        <w:rPr>
          <w:lang w:val="es-ES"/>
        </w:rPr>
        <w:t xml:space="preserve">En </w:t>
      </w:r>
      <w:r w:rsidR="00507A14" w:rsidRPr="00F8275B">
        <w:rPr>
          <w:lang w:val="es-ES"/>
        </w:rPr>
        <w:t>una Resolución de la última Conferencia de Plenipotenciarios de la UIT (</w:t>
      </w:r>
      <w:r w:rsidRPr="00F8275B">
        <w:rPr>
          <w:lang w:val="es-ES"/>
        </w:rPr>
        <w:t xml:space="preserve">la </w:t>
      </w:r>
      <w:hyperlink r:id="rId154" w:history="1">
        <w:r w:rsidRPr="00F80A46">
          <w:rPr>
            <w:rStyle w:val="Hyperlink"/>
            <w:lang w:val="es-ES"/>
          </w:rPr>
          <w:t>Resolución</w:t>
        </w:r>
        <w:r w:rsidR="001B6B57" w:rsidRPr="00F80A46">
          <w:rPr>
            <w:rStyle w:val="Hyperlink"/>
            <w:lang w:val="es-ES"/>
          </w:rPr>
          <w:t> </w:t>
        </w:r>
        <w:r w:rsidR="00507A14" w:rsidRPr="00F80A46">
          <w:rPr>
            <w:rStyle w:val="Hyperlink"/>
            <w:lang w:val="es-ES"/>
          </w:rPr>
          <w:t>140 (Rev. Bucarest, 2022)</w:t>
        </w:r>
      </w:hyperlink>
      <w:r w:rsidR="00507A14" w:rsidRPr="00F8275B">
        <w:rPr>
          <w:lang w:val="es-ES"/>
        </w:rPr>
        <w:t>)</w:t>
      </w:r>
      <w:r w:rsidRPr="00F8275B">
        <w:rPr>
          <w:lang w:val="es-ES"/>
        </w:rPr>
        <w:t xml:space="preserve"> se dio al Foro de la CMSI de</w:t>
      </w:r>
      <w:r w:rsidR="00A77E1C" w:rsidRPr="00F8275B">
        <w:rPr>
          <w:lang w:val="es-ES"/>
        </w:rPr>
        <w:t> </w:t>
      </w:r>
      <w:r w:rsidRPr="00F8275B">
        <w:rPr>
          <w:lang w:val="es-ES"/>
        </w:rPr>
        <w:t xml:space="preserve">2024 el nombre de Evento de Alto Nivel del Foro de la CMSI+20, destacando el alto nivel de sus participantes y </w:t>
      </w:r>
      <w:r w:rsidR="00507A14" w:rsidRPr="00F8275B">
        <w:rPr>
          <w:lang w:val="es-ES"/>
        </w:rPr>
        <w:t>la</w:t>
      </w:r>
      <w:r w:rsidRPr="00F8275B">
        <w:rPr>
          <w:lang w:val="es-ES"/>
        </w:rPr>
        <w:t xml:space="preserve"> función </w:t>
      </w:r>
      <w:r w:rsidR="00507A14" w:rsidRPr="00F8275B">
        <w:rPr>
          <w:lang w:val="es-ES"/>
        </w:rPr>
        <w:t xml:space="preserve">de este evento </w:t>
      </w:r>
      <w:r w:rsidRPr="00F8275B">
        <w:rPr>
          <w:lang w:val="es-ES"/>
        </w:rPr>
        <w:t>en el proceso de examen de la CMSI+20.</w:t>
      </w:r>
      <w:r w:rsidR="001C7358">
        <w:rPr>
          <w:lang w:val="es-ES"/>
        </w:rPr>
        <w:t xml:space="preserve"> </w:t>
      </w:r>
      <w:r w:rsidRPr="00F8275B">
        <w:rPr>
          <w:lang w:val="es-ES"/>
        </w:rPr>
        <w:t xml:space="preserve">El evento se beneficiará de la contribución de la UIT a la aplicación de las Líneas de Acción de la CMSI, ya que la UIT es la única entidad facilitadora e implementadora, como se señaló en la edición de 2023 de las </w:t>
      </w:r>
      <w:hyperlink r:id="rId155" w:history="1">
        <w:r w:rsidR="00A77E1C" w:rsidRPr="00F8275B">
          <w:rPr>
            <w:rStyle w:val="Hyperlink"/>
            <w:lang w:val="es-ES"/>
          </w:rPr>
          <w:t xml:space="preserve">Hojas de </w:t>
        </w:r>
        <w:r w:rsidR="005B0425" w:rsidRPr="00F8275B">
          <w:rPr>
            <w:rStyle w:val="Hyperlink"/>
            <w:lang w:val="es-ES"/>
          </w:rPr>
          <w:t>r</w:t>
        </w:r>
        <w:r w:rsidR="00A77E1C" w:rsidRPr="00F8275B">
          <w:rPr>
            <w:rStyle w:val="Hyperlink"/>
            <w:lang w:val="es-ES"/>
          </w:rPr>
          <w:t>uta de las Líneas de Acción de la CMSI de la UIT</w:t>
        </w:r>
      </w:hyperlink>
      <w:r w:rsidR="00A77E1C" w:rsidRPr="00F8275B">
        <w:rPr>
          <w:lang w:val="es-ES"/>
        </w:rPr>
        <w:t>.</w:t>
      </w:r>
    </w:p>
    <w:p w14:paraId="4C3116EB" w14:textId="24CFEB8F" w:rsidR="00CE6D77" w:rsidRPr="00F8275B" w:rsidRDefault="00CE6D77" w:rsidP="00CE6D77">
      <w:pPr>
        <w:rPr>
          <w:lang w:val="es-ES"/>
        </w:rPr>
      </w:pPr>
      <w:r w:rsidRPr="00F8275B">
        <w:rPr>
          <w:lang w:val="es-ES"/>
        </w:rPr>
        <w:t xml:space="preserve">Otras de las actividades dirigidas por la UIT en el Evento de Alto Nivel del Foro de la CMSI+20 serán la comunicación de información sobre los 20 años de </w:t>
      </w:r>
      <w:hyperlink r:id="rId156" w:history="1">
        <w:r w:rsidRPr="00F8275B">
          <w:rPr>
            <w:rStyle w:val="Hyperlink"/>
            <w:lang w:val="es-ES"/>
          </w:rPr>
          <w:t>Inventario de la CMSI</w:t>
        </w:r>
      </w:hyperlink>
      <w:r w:rsidRPr="00F8275B">
        <w:rPr>
          <w:lang w:val="es-ES"/>
        </w:rPr>
        <w:t xml:space="preserve">, el homenaje a los ganadores y campeones de los </w:t>
      </w:r>
      <w:hyperlink r:id="rId157" w:history="1">
        <w:r w:rsidRPr="00F8275B">
          <w:rPr>
            <w:rStyle w:val="Hyperlink"/>
            <w:lang w:val="es-ES"/>
          </w:rPr>
          <w:t>Premios 2024 de la CMSI</w:t>
        </w:r>
      </w:hyperlink>
      <w:r w:rsidRPr="00F8275B">
        <w:rPr>
          <w:lang w:val="es-ES"/>
        </w:rPr>
        <w:t xml:space="preserve"> en la ceremonia especial que tendrá lugar durante el evento, con inclusión de otros </w:t>
      </w:r>
      <w:hyperlink r:id="rId158" w:history="1">
        <w:r w:rsidRPr="00F8275B">
          <w:rPr>
            <w:rStyle w:val="Hyperlink"/>
            <w:lang w:val="es-ES"/>
          </w:rPr>
          <w:t>Premios Especiales de la</w:t>
        </w:r>
        <w:r w:rsidR="001B6B57" w:rsidRPr="00F8275B">
          <w:rPr>
            <w:rStyle w:val="Hyperlink"/>
            <w:lang w:val="es-ES"/>
          </w:rPr>
          <w:t> </w:t>
        </w:r>
        <w:r w:rsidRPr="00F8275B">
          <w:rPr>
            <w:rStyle w:val="Hyperlink"/>
            <w:lang w:val="es-ES"/>
          </w:rPr>
          <w:t>CMSI</w:t>
        </w:r>
      </w:hyperlink>
      <w:r w:rsidRPr="00F8275B">
        <w:rPr>
          <w:lang w:val="es-ES"/>
        </w:rPr>
        <w:t xml:space="preserve">, la celebración de la serie de charlas </w:t>
      </w:r>
      <w:hyperlink r:id="rId159" w:history="1">
        <w:r w:rsidRPr="00F8275B">
          <w:rPr>
            <w:rStyle w:val="Hyperlink"/>
            <w:lang w:val="es-ES"/>
          </w:rPr>
          <w:t>TalkX sobre la CMSI y los ODS</w:t>
        </w:r>
      </w:hyperlink>
      <w:r w:rsidRPr="00F8275B">
        <w:rPr>
          <w:lang w:val="es-ES"/>
        </w:rPr>
        <w:t xml:space="preserve">, con inclusión del </w:t>
      </w:r>
      <w:hyperlink r:id="rId160" w:history="1">
        <w:r w:rsidRPr="00F8275B">
          <w:rPr>
            <w:rStyle w:val="Hyperlink"/>
            <w:lang w:val="es-ES"/>
          </w:rPr>
          <w:t>hackatón</w:t>
        </w:r>
      </w:hyperlink>
      <w:r w:rsidRPr="00F8275B">
        <w:rPr>
          <w:lang w:val="es-ES"/>
        </w:rPr>
        <w:t xml:space="preserve"> y la celebración del día especial dedicado a la juventud. Todas estas actividades están en consonancia con los ODS y seguirán reflejando la </w:t>
      </w:r>
      <w:hyperlink r:id="rId161" w:history="1">
        <w:r w:rsidRPr="00F8275B">
          <w:rPr>
            <w:rStyle w:val="Hyperlink"/>
            <w:lang w:val="es-ES"/>
          </w:rPr>
          <w:t>Matriz CMSI-ODS</w:t>
        </w:r>
      </w:hyperlink>
      <w:r w:rsidRPr="00F8275B">
        <w:rPr>
          <w:lang w:val="es-ES"/>
        </w:rPr>
        <w:t xml:space="preserve"> elaborada por los organismos de las Naciones Unidas. Los resultados del Evento de Alto Nivel del Foro de la</w:t>
      </w:r>
      <w:r w:rsidR="00D0564D" w:rsidRPr="00F8275B">
        <w:rPr>
          <w:lang w:val="es-ES"/>
        </w:rPr>
        <w:t> </w:t>
      </w:r>
      <w:r w:rsidRPr="00F8275B">
        <w:rPr>
          <w:lang w:val="es-ES"/>
        </w:rPr>
        <w:t>CMSI+20 se comunicarán en el Consejo de la UIT de 2025.</w:t>
      </w:r>
    </w:p>
    <w:p w14:paraId="29DE1BCD" w14:textId="3AEEC62A" w:rsidR="00CE6D77" w:rsidRPr="00F8275B" w:rsidRDefault="0080647C" w:rsidP="00CE6D77">
      <w:pPr>
        <w:pStyle w:val="Heading1"/>
        <w:rPr>
          <w:lang w:val="es-ES"/>
        </w:rPr>
      </w:pPr>
      <w:bookmarkStart w:id="127" w:name="_Toc165024963"/>
      <w:bookmarkStart w:id="128" w:name="_Toc166580888"/>
      <w:r w:rsidRPr="00F8275B">
        <w:rPr>
          <w:lang w:val="es-ES"/>
        </w:rPr>
        <w:t>7</w:t>
      </w:r>
      <w:r w:rsidR="00CE6D77" w:rsidRPr="00F8275B">
        <w:rPr>
          <w:lang w:val="es-ES"/>
        </w:rPr>
        <w:tab/>
        <w:t>Conectar personas e ideas</w:t>
      </w:r>
      <w:bookmarkEnd w:id="127"/>
      <w:bookmarkEnd w:id="128"/>
    </w:p>
    <w:p w14:paraId="48DD4FC7" w14:textId="108393BF" w:rsidR="00CE6D77" w:rsidRPr="00F8275B" w:rsidRDefault="0080647C" w:rsidP="00CE6D77">
      <w:pPr>
        <w:pStyle w:val="Heading2"/>
        <w:rPr>
          <w:lang w:val="es-ES"/>
        </w:rPr>
      </w:pPr>
      <w:bookmarkStart w:id="129" w:name="_Toc37860465"/>
      <w:bookmarkStart w:id="130" w:name="_Toc37861226"/>
      <w:bookmarkStart w:id="131" w:name="_Toc37943349"/>
      <w:bookmarkStart w:id="132" w:name="Section_1_11"/>
      <w:bookmarkStart w:id="133" w:name="_Toc339935957"/>
      <w:bookmarkStart w:id="134" w:name="_Toc164862534"/>
      <w:bookmarkStart w:id="135" w:name="_Toc165024964"/>
      <w:bookmarkStart w:id="136" w:name="_Toc166580889"/>
      <w:r w:rsidRPr="00F8275B">
        <w:rPr>
          <w:lang w:val="es-ES"/>
        </w:rPr>
        <w:t>7</w:t>
      </w:r>
      <w:r w:rsidR="00CE6D77" w:rsidRPr="00F8275B">
        <w:rPr>
          <w:lang w:val="es-ES"/>
        </w:rPr>
        <w:t>.1</w:t>
      </w:r>
      <w:r w:rsidR="00CE6D77" w:rsidRPr="00F8275B">
        <w:rPr>
          <w:lang w:val="es-ES"/>
        </w:rPr>
        <w:tab/>
        <w:t>Reuniones de alto perfil: Conectar personas e ideas</w:t>
      </w:r>
      <w:bookmarkEnd w:id="129"/>
      <w:bookmarkEnd w:id="130"/>
      <w:bookmarkEnd w:id="131"/>
      <w:bookmarkEnd w:id="132"/>
      <w:bookmarkEnd w:id="133"/>
      <w:bookmarkEnd w:id="134"/>
      <w:bookmarkEnd w:id="135"/>
      <w:bookmarkEnd w:id="136"/>
    </w:p>
    <w:p w14:paraId="6D4A69FF" w14:textId="77777777" w:rsidR="00CE6D77" w:rsidRPr="00F8275B" w:rsidRDefault="00CE6D77" w:rsidP="00CE6D77">
      <w:pPr>
        <w:rPr>
          <w:lang w:val="es-ES"/>
        </w:rPr>
      </w:pPr>
      <w:r w:rsidRPr="00F8275B">
        <w:rPr>
          <w:lang w:val="es-ES"/>
        </w:rPr>
        <w:t>Además del ciclo de cuatro años de conferencias estatutarias de la UIT y cada uno de sus sectores, la Organización celebra reuniones de alto perfil y mantiene la colaboración continua y activa de las partes interesadas para fomentar la transformación digital en línea con el desarrollo sostenible.</w:t>
      </w:r>
    </w:p>
    <w:p w14:paraId="5AD13A45" w14:textId="77777777" w:rsidR="00CE6D77" w:rsidRPr="00F8275B" w:rsidRDefault="00CE6D77" w:rsidP="00CE6D77">
      <w:pPr>
        <w:pStyle w:val="Headingb"/>
        <w:rPr>
          <w:lang w:val="es-ES"/>
        </w:rPr>
      </w:pPr>
      <w:r w:rsidRPr="00F8275B">
        <w:rPr>
          <w:lang w:val="es-ES"/>
        </w:rPr>
        <w:t>Simposio Mundial para Organismos Reguladores</w:t>
      </w:r>
    </w:p>
    <w:p w14:paraId="27B552CB" w14:textId="6EEF1A81" w:rsidR="00CE6D77" w:rsidRPr="00F8275B" w:rsidRDefault="00CE6D77" w:rsidP="00CE6D77">
      <w:pPr>
        <w:rPr>
          <w:lang w:val="es-ES"/>
        </w:rPr>
      </w:pPr>
      <w:r w:rsidRPr="00F8275B">
        <w:rPr>
          <w:lang w:val="es-ES"/>
        </w:rPr>
        <w:t>El último Simposio Mundial para Organismos Reguladores de la UIT (</w:t>
      </w:r>
      <w:hyperlink r:id="rId162" w:history="1">
        <w:r w:rsidRPr="00F8275B">
          <w:rPr>
            <w:rStyle w:val="Hyperlink"/>
            <w:lang w:val="es-ES"/>
          </w:rPr>
          <w:t>GSR</w:t>
        </w:r>
        <w:r w:rsidR="001B6B57" w:rsidRPr="00F8275B">
          <w:rPr>
            <w:rStyle w:val="Hyperlink"/>
            <w:lang w:val="es-ES"/>
          </w:rPr>
          <w:noBreakHyphen/>
        </w:r>
        <w:r w:rsidRPr="00F8275B">
          <w:rPr>
            <w:rStyle w:val="Hyperlink"/>
            <w:lang w:val="es-ES"/>
          </w:rPr>
          <w:t>23</w:t>
        </w:r>
      </w:hyperlink>
      <w:r w:rsidRPr="00F8275B">
        <w:rPr>
          <w:lang w:val="es-ES"/>
        </w:rPr>
        <w:t xml:space="preserve">) tuvo por tema la "Reglamentación para un futuro digital sostenible". El evento contó con sesiones temáticas que reunieron a organismos reguladores, responsables políticos y otras partes interesadas en el ámbito digital de todo el mundo y constituyó una plataforma mundial para el intercambio de conocimientos. </w:t>
      </w:r>
      <w:hyperlink r:id="rId163" w:history="1">
        <w:r w:rsidRPr="00F8275B">
          <w:rPr>
            <w:rStyle w:val="Hyperlink"/>
            <w:lang w:val="es-ES"/>
          </w:rPr>
          <w:t>Más información</w:t>
        </w:r>
      </w:hyperlink>
      <w:r w:rsidRPr="00F8275B">
        <w:rPr>
          <w:lang w:val="es-ES"/>
        </w:rPr>
        <w:t>.</w:t>
      </w:r>
    </w:p>
    <w:p w14:paraId="7235F489" w14:textId="77777777" w:rsidR="00CE6D77" w:rsidRPr="00F8275B" w:rsidRDefault="00CE6D77" w:rsidP="00CE6D77">
      <w:pPr>
        <w:pStyle w:val="Headingb"/>
        <w:rPr>
          <w:lang w:val="es-ES"/>
        </w:rPr>
      </w:pPr>
      <w:r w:rsidRPr="00F8275B">
        <w:rPr>
          <w:lang w:val="es-ES"/>
        </w:rPr>
        <w:t>Evento de Alto Nivel del Foro de la CMSI+20</w:t>
      </w:r>
    </w:p>
    <w:p w14:paraId="1AF30DDA" w14:textId="396CC4AB" w:rsidR="00CE6D77" w:rsidRPr="00F8275B" w:rsidRDefault="00CE6D77" w:rsidP="00CE6D77">
      <w:pPr>
        <w:rPr>
          <w:lang w:val="es-ES"/>
        </w:rPr>
      </w:pPr>
      <w:r w:rsidRPr="00F8275B">
        <w:rPr>
          <w:lang w:val="es-ES"/>
        </w:rPr>
        <w:t>Véase la sección</w:t>
      </w:r>
      <w:r w:rsidR="00A77E1C" w:rsidRPr="00F8275B">
        <w:rPr>
          <w:lang w:val="es-ES"/>
        </w:rPr>
        <w:t> </w:t>
      </w:r>
      <w:r w:rsidRPr="00F8275B">
        <w:rPr>
          <w:lang w:val="es-ES"/>
        </w:rPr>
        <w:t>4.7.</w:t>
      </w:r>
    </w:p>
    <w:p w14:paraId="79673531" w14:textId="66FDB93E" w:rsidR="00CE6D77" w:rsidRPr="00F8275B" w:rsidRDefault="0080647C" w:rsidP="00CE6D77">
      <w:pPr>
        <w:pStyle w:val="Heading2"/>
        <w:rPr>
          <w:lang w:val="es-ES"/>
        </w:rPr>
      </w:pPr>
      <w:bookmarkStart w:id="137" w:name="_Toc37860464"/>
      <w:bookmarkStart w:id="138" w:name="_Toc37861225"/>
      <w:bookmarkStart w:id="139" w:name="_Toc37943348"/>
      <w:bookmarkStart w:id="140" w:name="_Toc1628990078"/>
      <w:bookmarkStart w:id="141" w:name="Section_1_10"/>
      <w:bookmarkStart w:id="142" w:name="_Toc164862535"/>
      <w:bookmarkStart w:id="143" w:name="_Toc165024965"/>
      <w:bookmarkStart w:id="144" w:name="_Toc166580890"/>
      <w:r w:rsidRPr="00F8275B">
        <w:rPr>
          <w:lang w:val="es-ES"/>
        </w:rPr>
        <w:lastRenderedPageBreak/>
        <w:t>7</w:t>
      </w:r>
      <w:r w:rsidR="00CE6D77" w:rsidRPr="00F8275B">
        <w:rPr>
          <w:lang w:val="es-ES"/>
        </w:rPr>
        <w:t>.2</w:t>
      </w:r>
      <w:r w:rsidR="00CE6D77" w:rsidRPr="00F8275B">
        <w:rPr>
          <w:lang w:val="es-ES"/>
        </w:rPr>
        <w:tab/>
        <w:t>Seminarios y talleres: Profundización</w:t>
      </w:r>
      <w:bookmarkEnd w:id="137"/>
      <w:bookmarkEnd w:id="138"/>
      <w:bookmarkEnd w:id="139"/>
      <w:bookmarkEnd w:id="140"/>
      <w:bookmarkEnd w:id="141"/>
      <w:bookmarkEnd w:id="142"/>
      <w:bookmarkEnd w:id="143"/>
      <w:bookmarkEnd w:id="144"/>
    </w:p>
    <w:p w14:paraId="07708035" w14:textId="77777777" w:rsidR="00CE6D77" w:rsidRPr="00F8275B" w:rsidRDefault="00CE6D77" w:rsidP="00F80A46">
      <w:pPr>
        <w:keepNext/>
        <w:keepLines/>
        <w:rPr>
          <w:lang w:val="es-ES"/>
        </w:rPr>
      </w:pPr>
      <w:r w:rsidRPr="00F8275B">
        <w:rPr>
          <w:lang w:val="es-ES"/>
        </w:rPr>
        <w:t>Los seminarios y talleres de profundización son esenciales para la implicación de la UIT en los sectores de radiocomunicaciones, normalización y desarrollo.</w:t>
      </w:r>
    </w:p>
    <w:p w14:paraId="01F317D9" w14:textId="77777777" w:rsidR="00CE6D77" w:rsidRPr="00F8275B" w:rsidRDefault="00CE6D77" w:rsidP="00CE6D77">
      <w:pPr>
        <w:pStyle w:val="Headingb"/>
        <w:rPr>
          <w:lang w:val="es-ES"/>
        </w:rPr>
      </w:pPr>
      <w:r w:rsidRPr="00F8275B">
        <w:rPr>
          <w:lang w:val="es-ES"/>
        </w:rPr>
        <w:t>UIT-R</w:t>
      </w:r>
    </w:p>
    <w:p w14:paraId="65E681D9" w14:textId="77777777" w:rsidR="00CE6D77" w:rsidRPr="00F8275B" w:rsidRDefault="00CE6D77" w:rsidP="00CE6D77">
      <w:pPr>
        <w:rPr>
          <w:lang w:val="es-ES"/>
        </w:rPr>
      </w:pPr>
      <w:bookmarkStart w:id="145" w:name="_Hlk72319163"/>
      <w:r w:rsidRPr="00F8275B">
        <w:rPr>
          <w:lang w:val="es-ES"/>
        </w:rPr>
        <w:t>SRR-23</w:t>
      </w:r>
    </w:p>
    <w:p w14:paraId="57104D81" w14:textId="44B9CEA3" w:rsidR="00CE6D77" w:rsidRPr="00F8275B" w:rsidRDefault="00CE6D77" w:rsidP="00CE6D77">
      <w:pPr>
        <w:rPr>
          <w:lang w:val="es-ES"/>
        </w:rPr>
      </w:pPr>
      <w:r w:rsidRPr="00F8275B">
        <w:rPr>
          <w:lang w:val="es-ES"/>
        </w:rPr>
        <w:t xml:space="preserve">La UIT celebró dos Seminarios Regionales de Radiocomunicaciones en 2023: para las </w:t>
      </w:r>
      <w:hyperlink r:id="rId164" w:history="1">
        <w:r w:rsidRPr="00F8275B">
          <w:rPr>
            <w:rStyle w:val="Hyperlink"/>
            <w:lang w:val="es-ES"/>
          </w:rPr>
          <w:t>Américas</w:t>
        </w:r>
      </w:hyperlink>
      <w:r w:rsidRPr="00F8275B">
        <w:rPr>
          <w:lang w:val="es-ES"/>
        </w:rPr>
        <w:t xml:space="preserve"> y para </w:t>
      </w:r>
      <w:hyperlink r:id="rId165" w:history="1">
        <w:r w:rsidRPr="00F8275B">
          <w:rPr>
            <w:rStyle w:val="Hyperlink"/>
            <w:lang w:val="es-ES"/>
          </w:rPr>
          <w:t>África</w:t>
        </w:r>
      </w:hyperlink>
      <w:r w:rsidRPr="00F8275B">
        <w:rPr>
          <w:lang w:val="es-ES"/>
        </w:rPr>
        <w:t>. Estos seminarios abordaron la utilización del espectro de radiofrecuencias y de las órbitas de satélites, y se centraron en la aplicación del Reglamento de Radiocomunicaciones de la UIT.</w:t>
      </w:r>
    </w:p>
    <w:p w14:paraId="277A3F62" w14:textId="77777777" w:rsidR="00CE6D77" w:rsidRPr="00F8275B" w:rsidRDefault="00CE6D77" w:rsidP="00CE6D77">
      <w:pPr>
        <w:rPr>
          <w:lang w:val="es-ES"/>
        </w:rPr>
      </w:pPr>
      <w:r w:rsidRPr="00F8275B">
        <w:rPr>
          <w:lang w:val="es-ES"/>
        </w:rPr>
        <w:t>Talleres</w:t>
      </w:r>
    </w:p>
    <w:p w14:paraId="17DE4D33" w14:textId="77777777" w:rsidR="00CE6D77" w:rsidRPr="00F8275B" w:rsidRDefault="00CE6D77" w:rsidP="00CE6D77">
      <w:pPr>
        <w:rPr>
          <w:lang w:val="es-ES"/>
        </w:rPr>
      </w:pPr>
      <w:r w:rsidRPr="00F8275B">
        <w:rPr>
          <w:lang w:val="es-ES"/>
        </w:rPr>
        <w:t>La UIT celebró tres talleres:</w:t>
      </w:r>
    </w:p>
    <w:p w14:paraId="464452A7" w14:textId="296DBE9D" w:rsidR="00CE6D77" w:rsidRPr="00F8275B" w:rsidRDefault="00CE6D77" w:rsidP="00CE6D77">
      <w:pPr>
        <w:pStyle w:val="enumlev1"/>
        <w:rPr>
          <w:lang w:val="es-ES"/>
        </w:rPr>
      </w:pPr>
      <w:r w:rsidRPr="00F8275B">
        <w:rPr>
          <w:lang w:val="es-ES"/>
        </w:rPr>
        <w:t>•</w:t>
      </w:r>
      <w:r w:rsidRPr="00F8275B">
        <w:rPr>
          <w:lang w:val="es-ES"/>
        </w:rPr>
        <w:tab/>
      </w:r>
      <w:hyperlink r:id="rId166" w:history="1">
        <w:r w:rsidR="00A77E1C" w:rsidRPr="00F8275B">
          <w:rPr>
            <w:rStyle w:val="Hyperlink"/>
            <w:lang w:val="es-ES"/>
          </w:rPr>
          <w:t>El taller interregional sobre los preparativos de la CMR-23</w:t>
        </w:r>
      </w:hyperlink>
    </w:p>
    <w:p w14:paraId="4623A231" w14:textId="47F7306E" w:rsidR="00CE6D77" w:rsidRPr="00F8275B" w:rsidRDefault="00CE6D77" w:rsidP="00CE6D77">
      <w:pPr>
        <w:pStyle w:val="enumlev1"/>
        <w:rPr>
          <w:lang w:val="es-ES"/>
        </w:rPr>
      </w:pPr>
      <w:r w:rsidRPr="00F8275B">
        <w:rPr>
          <w:lang w:val="es-ES"/>
        </w:rPr>
        <w:t>•</w:t>
      </w:r>
      <w:r w:rsidRPr="00F8275B">
        <w:rPr>
          <w:lang w:val="es-ES"/>
        </w:rPr>
        <w:tab/>
      </w:r>
      <w:hyperlink r:id="rId167" w:history="1">
        <w:r w:rsidR="00A77E1C" w:rsidRPr="00F8275B">
          <w:rPr>
            <w:rStyle w:val="Hyperlink"/>
            <w:lang w:val="es-ES"/>
          </w:rPr>
          <w:t>"La UIT al servicio del espacio"</w:t>
        </w:r>
      </w:hyperlink>
    </w:p>
    <w:p w14:paraId="6011FD40" w14:textId="4B4270AE" w:rsidR="00CE6D77" w:rsidRPr="00F8275B" w:rsidRDefault="00CE6D77" w:rsidP="00CE6D77">
      <w:pPr>
        <w:pStyle w:val="enumlev1"/>
        <w:rPr>
          <w:lang w:val="es-ES"/>
        </w:rPr>
      </w:pPr>
      <w:r w:rsidRPr="00F8275B">
        <w:rPr>
          <w:lang w:val="es-ES"/>
        </w:rPr>
        <w:t>•</w:t>
      </w:r>
      <w:r w:rsidRPr="00F8275B">
        <w:rPr>
          <w:lang w:val="es-ES"/>
        </w:rPr>
        <w:tab/>
      </w:r>
      <w:hyperlink r:id="rId168" w:history="1">
        <w:r w:rsidR="00A77E1C" w:rsidRPr="00F8275B">
          <w:rPr>
            <w:rStyle w:val="Hyperlink"/>
            <w:lang w:val="es-ES"/>
          </w:rPr>
          <w:t>"La radiodifusión en tiempos de crisis"</w:t>
        </w:r>
      </w:hyperlink>
    </w:p>
    <w:p w14:paraId="2D2D7D15" w14:textId="77777777" w:rsidR="00CE6D77" w:rsidRPr="00F8275B" w:rsidRDefault="00CE6D77" w:rsidP="00CE6D77">
      <w:pPr>
        <w:pStyle w:val="Headingb"/>
        <w:rPr>
          <w:lang w:val="es-ES"/>
        </w:rPr>
      </w:pPr>
      <w:r w:rsidRPr="00F8275B">
        <w:rPr>
          <w:lang w:val="es-ES"/>
        </w:rPr>
        <w:t>UIT-T</w:t>
      </w:r>
    </w:p>
    <w:p w14:paraId="452459A2" w14:textId="4427A745" w:rsidR="00CE6D77" w:rsidRPr="00F8275B" w:rsidRDefault="0080647C" w:rsidP="00CE6D77">
      <w:pPr>
        <w:rPr>
          <w:lang w:val="es-ES"/>
        </w:rPr>
      </w:pPr>
      <w:r w:rsidRPr="00F8275B">
        <w:rPr>
          <w:lang w:val="es-ES"/>
        </w:rPr>
        <w:t>En 2023</w:t>
      </w:r>
      <w:r w:rsidR="00CE6D77" w:rsidRPr="00F8275B">
        <w:rPr>
          <w:lang w:val="es-ES"/>
        </w:rPr>
        <w:t xml:space="preserve"> se organizaron </w:t>
      </w:r>
      <w:r w:rsidRPr="00F8275B">
        <w:rPr>
          <w:lang w:val="es-ES"/>
        </w:rPr>
        <w:t>89</w:t>
      </w:r>
      <w:r w:rsidR="00D0564D" w:rsidRPr="00F8275B">
        <w:rPr>
          <w:lang w:val="es-ES"/>
        </w:rPr>
        <w:t> </w:t>
      </w:r>
      <w:r w:rsidR="00CE6D77" w:rsidRPr="00F8275B">
        <w:rPr>
          <w:lang w:val="es-ES"/>
        </w:rPr>
        <w:t xml:space="preserve">talleres, simposios y webinarios del UIT-T, además de la programación semanal de la plataforma digital anual </w:t>
      </w:r>
      <w:hyperlink r:id="rId169">
        <w:r w:rsidR="00CE6D77" w:rsidRPr="00F8275B">
          <w:rPr>
            <w:rStyle w:val="Hyperlink"/>
            <w:lang w:val="es-ES"/>
          </w:rPr>
          <w:t>AI for Good</w:t>
        </w:r>
      </w:hyperlink>
      <w:r w:rsidR="00CE6D77" w:rsidRPr="00F8275B">
        <w:rPr>
          <w:lang w:val="es-ES"/>
        </w:rPr>
        <w:t xml:space="preserve">, que está activa todo el año. En la </w:t>
      </w:r>
      <w:hyperlink r:id="rId170" w:history="1">
        <w:r w:rsidR="00CE6D77" w:rsidRPr="00F8275B">
          <w:rPr>
            <w:rStyle w:val="Hyperlink"/>
            <w:lang w:val="es-ES"/>
          </w:rPr>
          <w:t>página web de los talleres del UIT-T</w:t>
        </w:r>
      </w:hyperlink>
      <w:r w:rsidR="00CE6D77" w:rsidRPr="00F8275B">
        <w:rPr>
          <w:lang w:val="es-ES"/>
        </w:rPr>
        <w:t xml:space="preserve"> encontrará una lista de todos los eventos pasados y previstos.</w:t>
      </w:r>
    </w:p>
    <w:p w14:paraId="1E8F6EE0" w14:textId="27B7AD46" w:rsidR="00CE6D77" w:rsidRPr="00F8275B" w:rsidRDefault="00CE6D77" w:rsidP="00CE6D77">
      <w:pPr>
        <w:rPr>
          <w:lang w:val="es-ES"/>
        </w:rPr>
      </w:pPr>
      <w:r w:rsidRPr="00F8275B">
        <w:rPr>
          <w:lang w:val="es-ES"/>
        </w:rPr>
        <w:t>En los talleres, simposios y webinarios del UIT</w:t>
      </w:r>
      <w:r w:rsidR="001B6B57" w:rsidRPr="00F8275B">
        <w:rPr>
          <w:lang w:val="es-ES"/>
        </w:rPr>
        <w:noBreakHyphen/>
      </w:r>
      <w:r w:rsidRPr="00F8275B">
        <w:rPr>
          <w:lang w:val="es-ES"/>
        </w:rPr>
        <w:t>T se debaten las nuevas tendencias en materia de normalización, se aumenta la visibilidad del trabajo del UIT</w:t>
      </w:r>
      <w:r w:rsidR="001B6B57" w:rsidRPr="00F8275B">
        <w:rPr>
          <w:lang w:val="es-ES"/>
        </w:rPr>
        <w:noBreakHyphen/>
      </w:r>
      <w:r w:rsidRPr="00F8275B">
        <w:rPr>
          <w:lang w:val="es-ES"/>
        </w:rPr>
        <w:t>T, se mejora la colaboración del UIT</w:t>
      </w:r>
      <w:r w:rsidR="001B6B57" w:rsidRPr="00F8275B">
        <w:rPr>
          <w:lang w:val="es-ES"/>
        </w:rPr>
        <w:noBreakHyphen/>
      </w:r>
      <w:r w:rsidRPr="00F8275B">
        <w:rPr>
          <w:lang w:val="es-ES"/>
        </w:rPr>
        <w:t>T con otros organismos, se atrae y consigue nuevos miembros del UIT</w:t>
      </w:r>
      <w:r w:rsidR="001B6B57" w:rsidRPr="00F8275B">
        <w:rPr>
          <w:lang w:val="es-ES"/>
        </w:rPr>
        <w:noBreakHyphen/>
      </w:r>
      <w:r w:rsidRPr="00F8275B">
        <w:rPr>
          <w:lang w:val="es-ES"/>
        </w:rPr>
        <w:t>T y se fomenta el aprendizaje entre pares en relación con la elaboración y aplicación de normas internacionales.</w:t>
      </w:r>
    </w:p>
    <w:p w14:paraId="7F9D44BD" w14:textId="77777777" w:rsidR="00CE6D77" w:rsidRPr="00F8275B" w:rsidRDefault="00CE6D77" w:rsidP="00CE6D77">
      <w:pPr>
        <w:pStyle w:val="Headingb"/>
        <w:rPr>
          <w:lang w:val="es-ES"/>
        </w:rPr>
      </w:pPr>
      <w:r w:rsidRPr="00F8275B">
        <w:rPr>
          <w:lang w:val="es-ES"/>
        </w:rPr>
        <w:t>UIT-D</w:t>
      </w:r>
    </w:p>
    <w:bookmarkEnd w:id="145"/>
    <w:p w14:paraId="4F62FDCC" w14:textId="6BD771BA" w:rsidR="00CE6D77" w:rsidRPr="00F8275B" w:rsidRDefault="00CE6D77" w:rsidP="00CE6D77">
      <w:pPr>
        <w:rPr>
          <w:lang w:val="es-ES"/>
        </w:rPr>
      </w:pPr>
      <w:r w:rsidRPr="00F8275B">
        <w:rPr>
          <w:lang w:val="es-ES"/>
        </w:rPr>
        <w:t>En el informe de la BDT al GADT se proporciona información sobre este tema.</w:t>
      </w:r>
    </w:p>
    <w:p w14:paraId="23AF4DC2" w14:textId="16651477" w:rsidR="00CE6D77" w:rsidRPr="00F8275B" w:rsidRDefault="0080647C" w:rsidP="00CE6D77">
      <w:pPr>
        <w:pStyle w:val="Heading2"/>
        <w:rPr>
          <w:lang w:val="es-ES"/>
        </w:rPr>
      </w:pPr>
      <w:bookmarkStart w:id="146" w:name="_Toc164862536"/>
      <w:bookmarkStart w:id="147" w:name="_Toc165024966"/>
      <w:bookmarkStart w:id="148" w:name="_Toc166580891"/>
      <w:r w:rsidRPr="00F8275B">
        <w:rPr>
          <w:lang w:val="es-ES"/>
        </w:rPr>
        <w:t>7.</w:t>
      </w:r>
      <w:r w:rsidR="00CE6D77" w:rsidRPr="00F8275B">
        <w:rPr>
          <w:lang w:val="es-ES"/>
        </w:rPr>
        <w:t>3</w:t>
      </w:r>
      <w:r w:rsidR="00CE6D77" w:rsidRPr="00F8275B">
        <w:rPr>
          <w:lang w:val="es-ES"/>
        </w:rPr>
        <w:tab/>
        <w:t>Participación de las instituciones académicas en la labor de la UIT</w:t>
      </w:r>
      <w:bookmarkEnd w:id="146"/>
      <w:bookmarkEnd w:id="147"/>
      <w:bookmarkEnd w:id="148"/>
    </w:p>
    <w:p w14:paraId="1746CC5E" w14:textId="77777777" w:rsidR="00CE6D77" w:rsidRPr="00F8275B" w:rsidRDefault="00CE6D77" w:rsidP="00CE6D77">
      <w:pPr>
        <w:rPr>
          <w:lang w:val="es-ES"/>
        </w:rPr>
      </w:pPr>
      <w:bookmarkStart w:id="149" w:name="_Hlk92298430"/>
      <w:r w:rsidRPr="00F8275B">
        <w:rPr>
          <w:lang w:val="es-ES"/>
        </w:rPr>
        <w:t xml:space="preserve">Las </w:t>
      </w:r>
      <w:hyperlink r:id="rId171" w:history="1">
        <w:r w:rsidRPr="00F8275B">
          <w:rPr>
            <w:rStyle w:val="Hyperlink"/>
            <w:lang w:val="es-ES"/>
          </w:rPr>
          <w:t>Instituciones Académicas Miembros de la UIT</w:t>
        </w:r>
      </w:hyperlink>
      <w:r w:rsidRPr="00F8275B">
        <w:rPr>
          <w:lang w:val="es-ES"/>
        </w:rPr>
        <w:t xml:space="preserve">, la </w:t>
      </w:r>
      <w:hyperlink r:id="rId172" w:history="1">
        <w:r w:rsidRPr="00F8275B">
          <w:rPr>
            <w:rStyle w:val="Hyperlink"/>
            <w:lang w:val="es-ES"/>
          </w:rPr>
          <w:t>Gaceta de la UIT sobre tecnologías futuras y en evolución</w:t>
        </w:r>
      </w:hyperlink>
      <w:r w:rsidRPr="00F8275B">
        <w:rPr>
          <w:lang w:val="es-ES"/>
        </w:rPr>
        <w:t xml:space="preserve"> y las </w:t>
      </w:r>
      <w:hyperlink r:id="rId173" w:history="1">
        <w:r w:rsidRPr="00F8275B">
          <w:rPr>
            <w:rStyle w:val="Hyperlink"/>
            <w:lang w:val="es-ES"/>
          </w:rPr>
          <w:t>conferencias del Caleidoscopio de la UIT</w:t>
        </w:r>
      </w:hyperlink>
      <w:r w:rsidRPr="00F8275B">
        <w:rPr>
          <w:lang w:val="es-ES"/>
        </w:rPr>
        <w:t xml:space="preserve"> constituyen importantes canales de participación de las instituciones académicas en los trabajos de la Unión. Todos ellos respaldan la creciente colaboración establecida entre las instituciones académicas y la industria en materia de investigación y desarrollo, así como de comercialización de las últimas innovaciones.</w:t>
      </w:r>
    </w:p>
    <w:p w14:paraId="121AF12B" w14:textId="77777777" w:rsidR="00CE6D77" w:rsidRPr="00F8275B" w:rsidRDefault="00CE6D77" w:rsidP="00CE6D77">
      <w:pPr>
        <w:pStyle w:val="Headingb"/>
        <w:rPr>
          <w:lang w:val="es-ES"/>
        </w:rPr>
      </w:pPr>
      <w:r w:rsidRPr="00F8275B">
        <w:rPr>
          <w:lang w:val="es-ES"/>
        </w:rPr>
        <w:lastRenderedPageBreak/>
        <w:t>La Gaceta de la UIT</w:t>
      </w:r>
    </w:p>
    <w:p w14:paraId="2EA2A8E2" w14:textId="77777777" w:rsidR="00CE6D77" w:rsidRPr="00F8275B" w:rsidRDefault="00CE6D77" w:rsidP="00F80A46">
      <w:pPr>
        <w:keepNext/>
        <w:keepLines/>
        <w:rPr>
          <w:lang w:val="es-ES"/>
        </w:rPr>
      </w:pPr>
      <w:r w:rsidRPr="00F8275B">
        <w:rPr>
          <w:lang w:val="es-ES"/>
        </w:rPr>
        <w:t xml:space="preserve">La </w:t>
      </w:r>
      <w:hyperlink r:id="rId174" w:history="1">
        <w:r w:rsidRPr="00F8275B">
          <w:rPr>
            <w:rStyle w:val="Hyperlink"/>
            <w:lang w:val="es-ES"/>
          </w:rPr>
          <w:t>Gaceta de la UIT sobre tecnologías futuras y en evolución (ITU J-FET)</w:t>
        </w:r>
      </w:hyperlink>
      <w:r w:rsidRPr="00F8275B">
        <w:rPr>
          <w:lang w:val="es-ES"/>
        </w:rPr>
        <w:t>, gratuita tanto para los lectores como para los autores, examina de forma exhaustiva las comunicaciones y la creación de redes. La publicación en línea acepta la presentación de artículos de investigación sobre todos los temas, a lo largo de todo el año.</w:t>
      </w:r>
    </w:p>
    <w:p w14:paraId="3135AAAA" w14:textId="455C2467" w:rsidR="00CE6D77" w:rsidRPr="00F8275B" w:rsidRDefault="00CE6D77" w:rsidP="00CE6D77">
      <w:pPr>
        <w:rPr>
          <w:lang w:val="es-ES"/>
        </w:rPr>
      </w:pPr>
      <w:r w:rsidRPr="00F8275B">
        <w:rPr>
          <w:lang w:val="es-ES"/>
        </w:rPr>
        <w:t xml:space="preserve">La Gaceta incluye </w:t>
      </w:r>
      <w:hyperlink r:id="rId175" w:history="1">
        <w:r w:rsidRPr="00F8275B">
          <w:rPr>
            <w:rStyle w:val="Hyperlink"/>
            <w:lang w:val="es-ES"/>
          </w:rPr>
          <w:t>grabaciones de los debates mantenidos durante webinarios</w:t>
        </w:r>
      </w:hyperlink>
      <w:r w:rsidRPr="00F8275B">
        <w:rPr>
          <w:lang w:val="es-ES"/>
        </w:rPr>
        <w:t xml:space="preserve"> con investigadores y líderes de la industria. En la serie especial de webinarios de la Gaceta con líderes de la industria, iniciada en junio de 2023, se han incluido intervenciones de NTT</w:t>
      </w:r>
      <w:r w:rsidR="008D0FEF" w:rsidRPr="00F8275B">
        <w:rPr>
          <w:lang w:val="es-ES"/>
        </w:rPr>
        <w:t> </w:t>
      </w:r>
      <w:r w:rsidRPr="00F8275B">
        <w:rPr>
          <w:lang w:val="es-ES"/>
        </w:rPr>
        <w:t>DOCOMO, O-RAN Alliance, GSMA, Nokia y China Mobile.</w:t>
      </w:r>
    </w:p>
    <w:p w14:paraId="72E0F6F3" w14:textId="7A70DCCF" w:rsidR="00CE6D77" w:rsidRPr="00F8275B" w:rsidRDefault="00CE6D77" w:rsidP="00CE6D77">
      <w:pPr>
        <w:rPr>
          <w:lang w:val="es-ES"/>
        </w:rPr>
      </w:pPr>
      <w:r w:rsidRPr="00F8275B">
        <w:rPr>
          <w:lang w:val="es-ES"/>
        </w:rPr>
        <w:t>La Gaceta de la UIT (Volumen</w:t>
      </w:r>
      <w:r w:rsidR="002D0038" w:rsidRPr="00F8275B">
        <w:rPr>
          <w:lang w:val="es-ES"/>
        </w:rPr>
        <w:t> </w:t>
      </w:r>
      <w:r w:rsidRPr="00F8275B">
        <w:rPr>
          <w:lang w:val="es-ES"/>
        </w:rPr>
        <w:t xml:space="preserve">4, 2023, </w:t>
      </w:r>
      <w:r w:rsidR="002D0038" w:rsidRPr="00F8275B">
        <w:rPr>
          <w:lang w:val="es-ES"/>
        </w:rPr>
        <w:t>Nº </w:t>
      </w:r>
      <w:r w:rsidRPr="00F8275B">
        <w:rPr>
          <w:lang w:val="es-ES"/>
        </w:rPr>
        <w:t>4) se centra en las innovaciones para potenciar el metaverso y la IA para la accesibilidad. En la misma edición también se incluyen artículos de investigación sobre las comunicaciones de vehículo y su entorno, la computación periférica y las redes de satélites en órbitas terrestres bajas.</w:t>
      </w:r>
    </w:p>
    <w:p w14:paraId="3B6EB526" w14:textId="77777777" w:rsidR="00CE6D77" w:rsidRPr="00F8275B" w:rsidRDefault="00CE6D77" w:rsidP="00CE6D77">
      <w:pPr>
        <w:pStyle w:val="Headingb"/>
        <w:rPr>
          <w:lang w:val="es-ES"/>
        </w:rPr>
      </w:pPr>
      <w:r w:rsidRPr="00F8275B">
        <w:rPr>
          <w:lang w:val="es-ES"/>
        </w:rPr>
        <w:t>Conferencia académica Caleidoscopio</w:t>
      </w:r>
    </w:p>
    <w:p w14:paraId="212849CC" w14:textId="487AEC1A" w:rsidR="00CE6D77" w:rsidRPr="00F8275B" w:rsidRDefault="00CE6D77" w:rsidP="002D0038">
      <w:pPr>
        <w:rPr>
          <w:lang w:val="es-ES"/>
        </w:rPr>
      </w:pPr>
      <w:r w:rsidRPr="00F8275B">
        <w:rPr>
          <w:lang w:val="es-ES"/>
        </w:rPr>
        <w:t xml:space="preserve">La serie </w:t>
      </w:r>
      <w:hyperlink r:id="rId176" w:history="1">
        <w:r w:rsidRPr="00F8275B">
          <w:rPr>
            <w:rStyle w:val="Hyperlink"/>
            <w:lang w:val="es-ES"/>
          </w:rPr>
          <w:t>Caleidoscopio de la UIT</w:t>
        </w:r>
      </w:hyperlink>
      <w:r w:rsidRPr="00F8275B">
        <w:rPr>
          <w:lang w:val="es-ES"/>
        </w:rPr>
        <w:t xml:space="preserve"> de conferencias académicas revisadas por pares </w:t>
      </w:r>
      <w:r w:rsidR="002D0038" w:rsidRPr="00F8275B">
        <w:rPr>
          <w:lang w:val="es-ES"/>
        </w:rPr>
        <w:t>−</w:t>
      </w:r>
      <w:r w:rsidRPr="00F8275B">
        <w:rPr>
          <w:lang w:val="es-ES"/>
        </w:rPr>
        <w:t>organizada con el copatrocinio técnico del Instituto de Ingenieros Eléctricos y Electrónicos (IEEE) y la Sociedad de Comunicaciones del IEEE</w:t>
      </w:r>
      <w:r w:rsidR="002D0038" w:rsidRPr="00F8275B">
        <w:rPr>
          <w:lang w:val="es-ES"/>
        </w:rPr>
        <w:t>−</w:t>
      </w:r>
      <w:r w:rsidRPr="00F8275B">
        <w:rPr>
          <w:lang w:val="es-ES"/>
        </w:rPr>
        <w:t xml:space="preserve"> presenta las tendencias emergentes en materia de investigación y sus repercusiones en la normalización internacional.</w:t>
      </w:r>
      <w:bookmarkEnd w:id="149"/>
    </w:p>
    <w:p w14:paraId="21A3EC88" w14:textId="2227E40B" w:rsidR="00CE6D77" w:rsidRPr="00F8275B" w:rsidRDefault="0080647C" w:rsidP="00CE6D77">
      <w:pPr>
        <w:pStyle w:val="Heading1"/>
        <w:rPr>
          <w:lang w:val="es-ES"/>
        </w:rPr>
      </w:pPr>
      <w:bookmarkStart w:id="150" w:name="_Toc1006379446"/>
      <w:bookmarkStart w:id="151" w:name="_Toc164862537"/>
      <w:bookmarkStart w:id="152" w:name="_Toc165024967"/>
      <w:bookmarkStart w:id="153" w:name="_Toc166580892"/>
      <w:r w:rsidRPr="00F8275B">
        <w:rPr>
          <w:lang w:val="es-ES"/>
        </w:rPr>
        <w:t>8</w:t>
      </w:r>
      <w:r w:rsidR="00CE6D77" w:rsidRPr="00F8275B">
        <w:rPr>
          <w:lang w:val="es-ES"/>
        </w:rPr>
        <w:tab/>
        <w:t>Asistencia técnica</w:t>
      </w:r>
      <w:bookmarkEnd w:id="150"/>
      <w:bookmarkEnd w:id="151"/>
      <w:bookmarkEnd w:id="152"/>
      <w:bookmarkEnd w:id="153"/>
    </w:p>
    <w:p w14:paraId="290BE3EE" w14:textId="77777777" w:rsidR="00507A14" w:rsidRPr="00F8275B" w:rsidRDefault="00507A14" w:rsidP="001C7358">
      <w:pPr>
        <w:rPr>
          <w:lang w:val="es-ES"/>
        </w:rPr>
      </w:pPr>
      <w:r w:rsidRPr="00F8275B">
        <w:rPr>
          <w:lang w:val="es-ES"/>
        </w:rPr>
        <w:t xml:space="preserve">Además de prestar asesoramiento técnico exhaustivo y coordinación en su condición de </w:t>
      </w:r>
      <w:r w:rsidR="00CE6D77" w:rsidRPr="00F8275B">
        <w:rPr>
          <w:lang w:val="es-ES"/>
        </w:rPr>
        <w:t xml:space="preserve">organismo especializado </w:t>
      </w:r>
      <w:r w:rsidRPr="00F8275B">
        <w:rPr>
          <w:lang w:val="es-ES"/>
        </w:rPr>
        <w:t>de las Naciones Unidas, la UIT actúa también</w:t>
      </w:r>
      <w:r w:rsidR="00CE6D77" w:rsidRPr="00F8275B">
        <w:rPr>
          <w:lang w:val="es-ES"/>
        </w:rPr>
        <w:t xml:space="preserve"> como organismo de ejecución</w:t>
      </w:r>
      <w:r w:rsidRPr="00F8275B">
        <w:rPr>
          <w:lang w:val="es-ES"/>
        </w:rPr>
        <w:t xml:space="preserve"> de proyectos de desarrollo digital destinados a garantizar que la conectividad beneficie a todas las personas en todos los lugares.</w:t>
      </w:r>
    </w:p>
    <w:p w14:paraId="28B5D395" w14:textId="31DF0BF1" w:rsidR="00CE6D77" w:rsidRPr="00F8275B" w:rsidRDefault="00CE6D77" w:rsidP="001C7358">
      <w:pPr>
        <w:rPr>
          <w:lang w:val="es-ES"/>
        </w:rPr>
      </w:pPr>
      <w:r w:rsidRPr="00F8275B">
        <w:rPr>
          <w:lang w:val="es-ES"/>
        </w:rPr>
        <w:t>El Sector d</w:t>
      </w:r>
      <w:r w:rsidR="00796DAF" w:rsidRPr="00F8275B">
        <w:rPr>
          <w:lang w:val="es-ES"/>
        </w:rPr>
        <w:t xml:space="preserve">e Desarrollo de la UIT (UIT-D) </w:t>
      </w:r>
      <w:r w:rsidRPr="00F8275B">
        <w:rPr>
          <w:lang w:val="es-ES"/>
        </w:rPr>
        <w:t>tiene la función clave de llevar a cabo proyectos en el marco de acuerdos establecidos con socios para la financiación. Estos proyectos tienen por objeto facilitar y mejorar el desarrollo de las telecomunicaciones, ofreciendo, organizando y coordinando actividades de cooperación técnica y de asistencia.</w:t>
      </w:r>
    </w:p>
    <w:p w14:paraId="6282BB1E" w14:textId="19DC5DCD" w:rsidR="00CE6D77" w:rsidRPr="00F8275B" w:rsidRDefault="00CE6D77" w:rsidP="00CE6D77">
      <w:pPr>
        <w:rPr>
          <w:lang w:val="es-ES"/>
        </w:rPr>
      </w:pPr>
      <w:r w:rsidRPr="00F8275B">
        <w:rPr>
          <w:lang w:val="es-ES"/>
        </w:rPr>
        <w:t>En dicha línea, en 2023 se llevaron a cabo 87 proyectos, valorados en 106,4</w:t>
      </w:r>
      <w:r w:rsidR="002D0038" w:rsidRPr="00F8275B">
        <w:rPr>
          <w:lang w:val="es-ES"/>
        </w:rPr>
        <w:t> </w:t>
      </w:r>
      <w:r w:rsidRPr="00F8275B">
        <w:rPr>
          <w:lang w:val="es-ES"/>
        </w:rPr>
        <w:t>millones</w:t>
      </w:r>
      <w:r w:rsidR="002D0038" w:rsidRPr="00F8275B">
        <w:rPr>
          <w:lang w:val="es-ES"/>
        </w:rPr>
        <w:t> </w:t>
      </w:r>
      <w:r w:rsidRPr="00F8275B">
        <w:rPr>
          <w:lang w:val="es-ES"/>
        </w:rPr>
        <w:t>CHF. En el siguiente cuadro se muestra la distribución global de esta cartera por región y el panorama general de 1) los fondos movilizados para apoyar la ejecución de estos proyectos, 2)</w:t>
      </w:r>
      <w:r w:rsidR="001B6B57" w:rsidRPr="00F8275B">
        <w:rPr>
          <w:lang w:val="es-ES"/>
        </w:rPr>
        <w:t> </w:t>
      </w:r>
      <w:r w:rsidRPr="00F8275B">
        <w:rPr>
          <w:lang w:val="es-ES"/>
        </w:rPr>
        <w:t xml:space="preserve">la financiación inicial atribuida por la UIT con cargo al Fondo para el Desarrollo de las TIC (FD-TIC) o a otros fondos de la UIT en apoyo de la ejecución de las Iniciativas Regionales </w:t>
      </w:r>
      <w:r w:rsidR="00796DAF" w:rsidRPr="00F8275B">
        <w:rPr>
          <w:lang w:val="es-ES"/>
        </w:rPr>
        <w:t>aprobadas en la Conferencia Mundial de Desarrollo de las Telecomunicaciones de 2017 y</w:t>
      </w:r>
      <w:r w:rsidR="001C7358">
        <w:rPr>
          <w:lang w:val="es-ES"/>
        </w:rPr>
        <w:t> </w:t>
      </w:r>
      <w:r w:rsidR="00796DAF" w:rsidRPr="00F8275B">
        <w:rPr>
          <w:lang w:val="es-ES"/>
        </w:rPr>
        <w:t>2022</w:t>
      </w:r>
      <w:r w:rsidRPr="00F8275B">
        <w:rPr>
          <w:lang w:val="es-ES"/>
        </w:rPr>
        <w:t>.</w:t>
      </w:r>
    </w:p>
    <w:p w14:paraId="4C514C62" w14:textId="6A7F3A9F" w:rsidR="00CE6D77" w:rsidRPr="00F8275B" w:rsidRDefault="00CE6D77" w:rsidP="00CE6D77">
      <w:pPr>
        <w:rPr>
          <w:lang w:val="es-ES"/>
        </w:rPr>
      </w:pPr>
      <w:r w:rsidRPr="00F8275B">
        <w:rPr>
          <w:lang w:val="es-ES"/>
        </w:rPr>
        <w:t>En 2023, la UIT firmó un total de 23 nuevos proyectos, valorados en 20,9</w:t>
      </w:r>
      <w:r w:rsidR="002D0038" w:rsidRPr="00F8275B">
        <w:rPr>
          <w:lang w:val="es-ES"/>
        </w:rPr>
        <w:t> </w:t>
      </w:r>
      <w:r w:rsidRPr="00F8275B">
        <w:rPr>
          <w:lang w:val="es-ES"/>
        </w:rPr>
        <w:t>millones</w:t>
      </w:r>
      <w:r w:rsidR="002D0038" w:rsidRPr="00F8275B">
        <w:rPr>
          <w:lang w:val="es-ES"/>
        </w:rPr>
        <w:t> </w:t>
      </w:r>
      <w:r w:rsidRPr="00F8275B">
        <w:rPr>
          <w:lang w:val="es-ES"/>
        </w:rPr>
        <w:t>CHF. Estas cifras confirman la tendencia positiva registrada desde 2017 en lo referente al aumento de los fondos movilizados para apoyar los proyectos.</w:t>
      </w:r>
    </w:p>
    <w:p w14:paraId="65EC2750" w14:textId="77777777" w:rsidR="00CE6D77" w:rsidRPr="00F8275B" w:rsidRDefault="00CE6D77" w:rsidP="00CE6D77">
      <w:pPr>
        <w:rPr>
          <w:lang w:val="es-ES"/>
        </w:rPr>
      </w:pPr>
      <w:r w:rsidRPr="00F8275B">
        <w:rPr>
          <w:lang w:val="es-ES"/>
        </w:rPr>
        <w:t xml:space="preserve">Para más información y datos sobre la ejecución de los proyectos, consúltese el portal de Proyectos y el nuevo </w:t>
      </w:r>
      <w:hyperlink r:id="rId177" w:history="1">
        <w:r w:rsidRPr="00F8275B">
          <w:rPr>
            <w:rStyle w:val="Hyperlink"/>
            <w:lang w:val="es-ES"/>
          </w:rPr>
          <w:t>tablero dirigido a los Miembros de la UIT sobre la situación de los proyectos</w:t>
        </w:r>
      </w:hyperlink>
      <w:r w:rsidRPr="00F8275B">
        <w:rPr>
          <w:lang w:val="es-ES"/>
        </w:rPr>
        <w:t xml:space="preserve"> (se necesita una cuenta TIES).</w:t>
      </w:r>
    </w:p>
    <w:p w14:paraId="2FAD0E7E" w14:textId="2DF4C975" w:rsidR="00CE6D77" w:rsidRPr="00F8275B" w:rsidRDefault="00CE6D77" w:rsidP="008D0FEF">
      <w:pPr>
        <w:pStyle w:val="Tabletitle"/>
        <w:rPr>
          <w:lang w:val="es-ES"/>
        </w:rPr>
      </w:pPr>
      <w:r w:rsidRPr="00F8275B">
        <w:rPr>
          <w:lang w:val="es-ES"/>
        </w:rPr>
        <w:lastRenderedPageBreak/>
        <w:t>Presentación de los proyectos de la UIT en curso, por región (en miles</w:t>
      </w:r>
      <w:r w:rsidR="002D0038" w:rsidRPr="00F8275B">
        <w:rPr>
          <w:lang w:val="es-ES"/>
        </w:rPr>
        <w:t> </w:t>
      </w:r>
      <w:r w:rsidRPr="00F8275B">
        <w:rPr>
          <w:lang w:val="es-ES"/>
        </w:rPr>
        <w:t>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85"/>
        <w:gridCol w:w="1652"/>
        <w:gridCol w:w="1694"/>
        <w:gridCol w:w="1418"/>
        <w:gridCol w:w="1241"/>
        <w:gridCol w:w="1871"/>
      </w:tblGrid>
      <w:tr w:rsidR="00CE6D77" w:rsidRPr="00F8275B" w14:paraId="49C78354" w14:textId="77777777" w:rsidTr="001B6B57">
        <w:trPr>
          <w:jc w:val="center"/>
        </w:trPr>
        <w:tc>
          <w:tcPr>
            <w:tcW w:w="1185" w:type="dxa"/>
            <w:shd w:val="clear" w:color="auto" w:fill="8DB3E2" w:themeFill="text2" w:themeFillTint="66"/>
            <w:noWrap/>
            <w:vAlign w:val="center"/>
            <w:hideMark/>
          </w:tcPr>
          <w:p w14:paraId="1D11B6DE" w14:textId="77777777" w:rsidR="00CE6D77" w:rsidRPr="00F8275B" w:rsidRDefault="00CE6D77" w:rsidP="001B6B57">
            <w:pPr>
              <w:pStyle w:val="Tablehead"/>
              <w:keepNext/>
              <w:rPr>
                <w:lang w:val="es-ES"/>
              </w:rPr>
            </w:pPr>
            <w:r w:rsidRPr="00F8275B">
              <w:rPr>
                <w:lang w:val="es-ES"/>
              </w:rPr>
              <w:t>Región</w:t>
            </w:r>
          </w:p>
        </w:tc>
        <w:tc>
          <w:tcPr>
            <w:tcW w:w="1652" w:type="dxa"/>
            <w:shd w:val="clear" w:color="auto" w:fill="8DB3E2" w:themeFill="text2" w:themeFillTint="66"/>
            <w:noWrap/>
            <w:vAlign w:val="center"/>
            <w:hideMark/>
          </w:tcPr>
          <w:p w14:paraId="4BA113E0" w14:textId="77777777" w:rsidR="00CE6D77" w:rsidRPr="00F8275B" w:rsidRDefault="00CE6D77" w:rsidP="00DC7C49">
            <w:pPr>
              <w:pStyle w:val="Tablehead"/>
              <w:rPr>
                <w:lang w:val="es-ES"/>
              </w:rPr>
            </w:pPr>
            <w:r w:rsidRPr="00F8275B">
              <w:rPr>
                <w:lang w:val="es-ES"/>
              </w:rPr>
              <w:t>Número de proyectos</w:t>
            </w:r>
          </w:p>
        </w:tc>
        <w:tc>
          <w:tcPr>
            <w:tcW w:w="1694" w:type="dxa"/>
            <w:shd w:val="clear" w:color="auto" w:fill="8DB3E2" w:themeFill="text2" w:themeFillTint="66"/>
            <w:noWrap/>
            <w:vAlign w:val="center"/>
            <w:hideMark/>
          </w:tcPr>
          <w:p w14:paraId="7D845F2C" w14:textId="6E097605" w:rsidR="00CE6D77" w:rsidRPr="00F8275B" w:rsidRDefault="00CE6D77" w:rsidP="00DC7C49">
            <w:pPr>
              <w:pStyle w:val="Tablehead"/>
              <w:rPr>
                <w:lang w:val="es-ES"/>
              </w:rPr>
            </w:pPr>
            <w:r w:rsidRPr="00F8275B">
              <w:rPr>
                <w:lang w:val="es-ES"/>
              </w:rPr>
              <w:t>Financiación de los asociados</w:t>
            </w:r>
          </w:p>
        </w:tc>
        <w:tc>
          <w:tcPr>
            <w:tcW w:w="1418" w:type="dxa"/>
            <w:shd w:val="clear" w:color="auto" w:fill="8DB3E2" w:themeFill="text2" w:themeFillTint="66"/>
            <w:noWrap/>
            <w:vAlign w:val="center"/>
          </w:tcPr>
          <w:p w14:paraId="5A442347" w14:textId="77777777" w:rsidR="00CE6D77" w:rsidRPr="00F8275B" w:rsidRDefault="00CE6D77" w:rsidP="00DC7C49">
            <w:pPr>
              <w:pStyle w:val="Tablehead"/>
              <w:rPr>
                <w:lang w:val="es-ES"/>
              </w:rPr>
            </w:pPr>
            <w:r w:rsidRPr="00F8275B">
              <w:rPr>
                <w:lang w:val="es-ES"/>
              </w:rPr>
              <w:t>Fondos de la UIT (FD-TIC)</w:t>
            </w:r>
          </w:p>
        </w:tc>
        <w:tc>
          <w:tcPr>
            <w:tcW w:w="1241" w:type="dxa"/>
            <w:shd w:val="clear" w:color="auto" w:fill="8DB3E2" w:themeFill="text2" w:themeFillTint="66"/>
            <w:noWrap/>
            <w:vAlign w:val="center"/>
          </w:tcPr>
          <w:p w14:paraId="030A4439" w14:textId="77777777" w:rsidR="00CE6D77" w:rsidRPr="00F8275B" w:rsidRDefault="00CE6D77" w:rsidP="00DC7C49">
            <w:pPr>
              <w:pStyle w:val="Tablehead"/>
              <w:rPr>
                <w:lang w:val="es-ES"/>
              </w:rPr>
            </w:pPr>
            <w:r w:rsidRPr="00F8275B">
              <w:rPr>
                <w:lang w:val="es-ES"/>
              </w:rPr>
              <w:t>Fondos de la UIT (IR)</w:t>
            </w:r>
          </w:p>
        </w:tc>
        <w:tc>
          <w:tcPr>
            <w:tcW w:w="1871" w:type="dxa"/>
            <w:shd w:val="clear" w:color="auto" w:fill="8DB3E2" w:themeFill="text2" w:themeFillTint="66"/>
            <w:noWrap/>
            <w:vAlign w:val="center"/>
            <w:hideMark/>
          </w:tcPr>
          <w:p w14:paraId="3BE7E1A0" w14:textId="77777777" w:rsidR="00CE6D77" w:rsidRPr="00F8275B" w:rsidRDefault="00CE6D77" w:rsidP="00DC7C49">
            <w:pPr>
              <w:pStyle w:val="Tablehead"/>
              <w:rPr>
                <w:lang w:val="es-ES"/>
              </w:rPr>
            </w:pPr>
            <w:r w:rsidRPr="00F8275B">
              <w:rPr>
                <w:lang w:val="es-ES"/>
              </w:rPr>
              <w:t>Financiación total de los proyectos</w:t>
            </w:r>
          </w:p>
        </w:tc>
      </w:tr>
      <w:tr w:rsidR="00CE6D77" w:rsidRPr="00F8275B" w14:paraId="4448CA3B" w14:textId="77777777" w:rsidTr="001B6B57">
        <w:trPr>
          <w:jc w:val="center"/>
        </w:trPr>
        <w:tc>
          <w:tcPr>
            <w:tcW w:w="1185" w:type="dxa"/>
            <w:hideMark/>
          </w:tcPr>
          <w:p w14:paraId="060613F2" w14:textId="2DF8DD33" w:rsidR="00CE6D77" w:rsidRPr="00F8275B" w:rsidRDefault="00CE6D77" w:rsidP="00D0564D">
            <w:pPr>
              <w:pStyle w:val="Tabletext"/>
              <w:rPr>
                <w:lang w:val="es-ES"/>
              </w:rPr>
            </w:pPr>
            <w:r w:rsidRPr="00F8275B">
              <w:rPr>
                <w:lang w:val="es-ES"/>
              </w:rPr>
              <w:t>AFR</w:t>
            </w:r>
          </w:p>
        </w:tc>
        <w:tc>
          <w:tcPr>
            <w:tcW w:w="1652" w:type="dxa"/>
            <w:noWrap/>
            <w:vAlign w:val="bottom"/>
            <w:hideMark/>
          </w:tcPr>
          <w:p w14:paraId="3237EA01" w14:textId="77777777" w:rsidR="00CE6D77" w:rsidRPr="00F8275B" w:rsidRDefault="00CE6D77" w:rsidP="002D0038">
            <w:pPr>
              <w:pStyle w:val="Tabletext"/>
              <w:jc w:val="center"/>
              <w:rPr>
                <w:lang w:val="es-ES"/>
              </w:rPr>
            </w:pPr>
            <w:r w:rsidRPr="00F8275B">
              <w:rPr>
                <w:lang w:val="es-ES"/>
              </w:rPr>
              <w:t>13</w:t>
            </w:r>
          </w:p>
        </w:tc>
        <w:tc>
          <w:tcPr>
            <w:tcW w:w="1694" w:type="dxa"/>
            <w:vAlign w:val="bottom"/>
            <w:hideMark/>
          </w:tcPr>
          <w:p w14:paraId="2618FFF5" w14:textId="7257C82F" w:rsidR="00CE6D77" w:rsidRPr="00F8275B" w:rsidRDefault="00CE6D77" w:rsidP="002D0038">
            <w:pPr>
              <w:pStyle w:val="Tabletext"/>
              <w:ind w:right="170"/>
              <w:jc w:val="right"/>
              <w:rPr>
                <w:lang w:val="es-ES"/>
              </w:rPr>
            </w:pPr>
            <w:r w:rsidRPr="00F8275B">
              <w:rPr>
                <w:lang w:val="es-ES"/>
              </w:rPr>
              <w:t>11</w:t>
            </w:r>
            <w:r w:rsidR="002D0038" w:rsidRPr="00F8275B">
              <w:rPr>
                <w:lang w:val="es-ES"/>
              </w:rPr>
              <w:t> </w:t>
            </w:r>
            <w:r w:rsidRPr="00F8275B">
              <w:rPr>
                <w:lang w:val="es-ES"/>
              </w:rPr>
              <w:t>732,4</w:t>
            </w:r>
          </w:p>
        </w:tc>
        <w:tc>
          <w:tcPr>
            <w:tcW w:w="1418" w:type="dxa"/>
            <w:vAlign w:val="bottom"/>
            <w:hideMark/>
          </w:tcPr>
          <w:p w14:paraId="28201A72" w14:textId="77777777" w:rsidR="00CE6D77" w:rsidRPr="00F8275B" w:rsidRDefault="00CE6D77" w:rsidP="002D0038">
            <w:pPr>
              <w:pStyle w:val="Tabletext"/>
              <w:ind w:right="170"/>
              <w:jc w:val="right"/>
              <w:rPr>
                <w:lang w:val="es-ES"/>
              </w:rPr>
            </w:pPr>
            <w:r w:rsidRPr="00F8275B">
              <w:rPr>
                <w:lang w:val="es-ES"/>
              </w:rPr>
              <w:t>938,7</w:t>
            </w:r>
          </w:p>
        </w:tc>
        <w:tc>
          <w:tcPr>
            <w:tcW w:w="1241" w:type="dxa"/>
            <w:vAlign w:val="bottom"/>
            <w:hideMark/>
          </w:tcPr>
          <w:p w14:paraId="72A342FB" w14:textId="77777777" w:rsidR="00CE6D77" w:rsidRPr="00F8275B" w:rsidRDefault="00CE6D77" w:rsidP="002D0038">
            <w:pPr>
              <w:pStyle w:val="Tabletext"/>
              <w:ind w:right="170"/>
              <w:jc w:val="right"/>
              <w:rPr>
                <w:lang w:val="es-ES"/>
              </w:rPr>
            </w:pPr>
            <w:r w:rsidRPr="00F8275B">
              <w:rPr>
                <w:lang w:val="es-ES"/>
              </w:rPr>
              <w:t>670,0</w:t>
            </w:r>
          </w:p>
        </w:tc>
        <w:tc>
          <w:tcPr>
            <w:tcW w:w="1871" w:type="dxa"/>
            <w:shd w:val="clear" w:color="auto" w:fill="DBE5F1" w:themeFill="accent1" w:themeFillTint="33"/>
            <w:vAlign w:val="bottom"/>
            <w:hideMark/>
          </w:tcPr>
          <w:p w14:paraId="7C4D8088" w14:textId="7A4F0A88" w:rsidR="00CE6D77" w:rsidRPr="00F8275B" w:rsidRDefault="00CE6D77" w:rsidP="002D0038">
            <w:pPr>
              <w:pStyle w:val="Tabletext"/>
              <w:ind w:right="170"/>
              <w:jc w:val="right"/>
              <w:rPr>
                <w:b/>
                <w:bCs/>
                <w:lang w:val="es-ES"/>
              </w:rPr>
            </w:pPr>
            <w:r w:rsidRPr="00F8275B">
              <w:rPr>
                <w:b/>
                <w:bCs/>
                <w:lang w:val="es-ES"/>
              </w:rPr>
              <w:t>13</w:t>
            </w:r>
            <w:r w:rsidR="002D0038" w:rsidRPr="00F8275B">
              <w:rPr>
                <w:b/>
                <w:bCs/>
                <w:lang w:val="es-ES"/>
              </w:rPr>
              <w:t> </w:t>
            </w:r>
            <w:r w:rsidRPr="00F8275B">
              <w:rPr>
                <w:b/>
                <w:bCs/>
                <w:lang w:val="es-ES"/>
              </w:rPr>
              <w:t>913,1</w:t>
            </w:r>
          </w:p>
        </w:tc>
      </w:tr>
      <w:tr w:rsidR="00CE6D77" w:rsidRPr="00F8275B" w14:paraId="3B83D359" w14:textId="77777777" w:rsidTr="001B6B57">
        <w:trPr>
          <w:jc w:val="center"/>
        </w:trPr>
        <w:tc>
          <w:tcPr>
            <w:tcW w:w="1185" w:type="dxa"/>
            <w:hideMark/>
          </w:tcPr>
          <w:p w14:paraId="378317C5" w14:textId="3F4AB589" w:rsidR="00CE6D77" w:rsidRPr="00F8275B" w:rsidRDefault="00CE6D77" w:rsidP="00D0564D">
            <w:pPr>
              <w:pStyle w:val="Tabletext"/>
              <w:rPr>
                <w:lang w:val="es-ES"/>
              </w:rPr>
            </w:pPr>
            <w:r w:rsidRPr="00F8275B">
              <w:rPr>
                <w:lang w:val="es-ES"/>
              </w:rPr>
              <w:t>AMS</w:t>
            </w:r>
          </w:p>
        </w:tc>
        <w:tc>
          <w:tcPr>
            <w:tcW w:w="1652" w:type="dxa"/>
            <w:noWrap/>
            <w:vAlign w:val="bottom"/>
            <w:hideMark/>
          </w:tcPr>
          <w:p w14:paraId="3B33AE58" w14:textId="77777777" w:rsidR="00CE6D77" w:rsidRPr="00F8275B" w:rsidRDefault="00CE6D77" w:rsidP="002D0038">
            <w:pPr>
              <w:pStyle w:val="Tabletext"/>
              <w:jc w:val="center"/>
              <w:rPr>
                <w:lang w:val="es-ES"/>
              </w:rPr>
            </w:pPr>
            <w:r w:rsidRPr="00F8275B">
              <w:rPr>
                <w:lang w:val="es-ES"/>
              </w:rPr>
              <w:t>15</w:t>
            </w:r>
          </w:p>
        </w:tc>
        <w:tc>
          <w:tcPr>
            <w:tcW w:w="1694" w:type="dxa"/>
            <w:vAlign w:val="bottom"/>
            <w:hideMark/>
          </w:tcPr>
          <w:p w14:paraId="48B42E46" w14:textId="359E9EAF" w:rsidR="00CE6D77" w:rsidRPr="00F8275B" w:rsidRDefault="00CE6D77" w:rsidP="002D0038">
            <w:pPr>
              <w:pStyle w:val="Tabletext"/>
              <w:ind w:right="170"/>
              <w:jc w:val="right"/>
              <w:rPr>
                <w:lang w:val="es-ES"/>
              </w:rPr>
            </w:pPr>
            <w:r w:rsidRPr="00F8275B">
              <w:rPr>
                <w:lang w:val="es-ES"/>
              </w:rPr>
              <w:t>40</w:t>
            </w:r>
            <w:r w:rsidR="002D0038" w:rsidRPr="00F8275B">
              <w:rPr>
                <w:lang w:val="es-ES"/>
              </w:rPr>
              <w:t> </w:t>
            </w:r>
            <w:r w:rsidRPr="00F8275B">
              <w:rPr>
                <w:lang w:val="es-ES"/>
              </w:rPr>
              <w:t>112,6</w:t>
            </w:r>
          </w:p>
        </w:tc>
        <w:tc>
          <w:tcPr>
            <w:tcW w:w="1418" w:type="dxa"/>
            <w:vAlign w:val="bottom"/>
            <w:hideMark/>
          </w:tcPr>
          <w:p w14:paraId="43601822" w14:textId="77777777" w:rsidR="00CE6D77" w:rsidRPr="00F8275B" w:rsidRDefault="00CE6D77" w:rsidP="002D0038">
            <w:pPr>
              <w:pStyle w:val="Tabletext"/>
              <w:ind w:right="170"/>
              <w:jc w:val="right"/>
              <w:rPr>
                <w:lang w:val="es-ES"/>
              </w:rPr>
            </w:pPr>
            <w:r w:rsidRPr="00F8275B">
              <w:rPr>
                <w:lang w:val="es-ES"/>
              </w:rPr>
              <w:t>158,6</w:t>
            </w:r>
          </w:p>
        </w:tc>
        <w:tc>
          <w:tcPr>
            <w:tcW w:w="1241" w:type="dxa"/>
            <w:vAlign w:val="bottom"/>
            <w:hideMark/>
          </w:tcPr>
          <w:p w14:paraId="588AAEFC" w14:textId="77777777" w:rsidR="00CE6D77" w:rsidRPr="00F8275B" w:rsidRDefault="00CE6D77" w:rsidP="002D0038">
            <w:pPr>
              <w:pStyle w:val="Tabletext"/>
              <w:ind w:right="170"/>
              <w:jc w:val="right"/>
              <w:rPr>
                <w:lang w:val="es-ES"/>
              </w:rPr>
            </w:pPr>
            <w:r w:rsidRPr="00F8275B">
              <w:rPr>
                <w:lang w:val="es-ES"/>
              </w:rPr>
              <w:t>667,5</w:t>
            </w:r>
          </w:p>
        </w:tc>
        <w:tc>
          <w:tcPr>
            <w:tcW w:w="1871" w:type="dxa"/>
            <w:shd w:val="clear" w:color="auto" w:fill="DBE5F1" w:themeFill="accent1" w:themeFillTint="33"/>
            <w:vAlign w:val="bottom"/>
            <w:hideMark/>
          </w:tcPr>
          <w:p w14:paraId="5B67E332" w14:textId="6A03C5A1" w:rsidR="00CE6D77" w:rsidRPr="00F8275B" w:rsidRDefault="00CE6D77" w:rsidP="002D0038">
            <w:pPr>
              <w:pStyle w:val="Tabletext"/>
              <w:ind w:right="170"/>
              <w:jc w:val="right"/>
              <w:rPr>
                <w:b/>
                <w:bCs/>
                <w:lang w:val="es-ES"/>
              </w:rPr>
            </w:pPr>
            <w:r w:rsidRPr="00F8275B">
              <w:rPr>
                <w:b/>
                <w:bCs/>
                <w:lang w:val="es-ES"/>
              </w:rPr>
              <w:t>41</w:t>
            </w:r>
            <w:r w:rsidR="002D0038" w:rsidRPr="00F8275B">
              <w:rPr>
                <w:b/>
                <w:bCs/>
                <w:lang w:val="es-ES"/>
              </w:rPr>
              <w:t> </w:t>
            </w:r>
            <w:r w:rsidRPr="00F8275B">
              <w:rPr>
                <w:b/>
                <w:bCs/>
                <w:lang w:val="es-ES"/>
              </w:rPr>
              <w:t>008,4</w:t>
            </w:r>
          </w:p>
        </w:tc>
      </w:tr>
      <w:tr w:rsidR="00CE6D77" w:rsidRPr="00F8275B" w14:paraId="13AEA508" w14:textId="77777777" w:rsidTr="001B6B57">
        <w:trPr>
          <w:jc w:val="center"/>
        </w:trPr>
        <w:tc>
          <w:tcPr>
            <w:tcW w:w="1185" w:type="dxa"/>
            <w:hideMark/>
          </w:tcPr>
          <w:p w14:paraId="4B4FE389" w14:textId="3023119A" w:rsidR="00CE6D77" w:rsidRPr="00F8275B" w:rsidRDefault="00CE6D77" w:rsidP="00D0564D">
            <w:pPr>
              <w:pStyle w:val="Tabletext"/>
              <w:rPr>
                <w:lang w:val="es-ES"/>
              </w:rPr>
            </w:pPr>
            <w:r w:rsidRPr="00F8275B">
              <w:rPr>
                <w:lang w:val="es-ES"/>
              </w:rPr>
              <w:t>ARB</w:t>
            </w:r>
          </w:p>
        </w:tc>
        <w:tc>
          <w:tcPr>
            <w:tcW w:w="1652" w:type="dxa"/>
            <w:vAlign w:val="bottom"/>
            <w:hideMark/>
          </w:tcPr>
          <w:p w14:paraId="52D8CF51" w14:textId="77777777" w:rsidR="00CE6D77" w:rsidRPr="00F8275B" w:rsidRDefault="00CE6D77" w:rsidP="002D0038">
            <w:pPr>
              <w:pStyle w:val="Tabletext"/>
              <w:jc w:val="center"/>
              <w:rPr>
                <w:lang w:val="es-ES"/>
              </w:rPr>
            </w:pPr>
            <w:r w:rsidRPr="00F8275B">
              <w:rPr>
                <w:lang w:val="es-ES"/>
              </w:rPr>
              <w:t>7</w:t>
            </w:r>
          </w:p>
        </w:tc>
        <w:tc>
          <w:tcPr>
            <w:tcW w:w="1694" w:type="dxa"/>
            <w:vAlign w:val="bottom"/>
            <w:hideMark/>
          </w:tcPr>
          <w:p w14:paraId="62963A61" w14:textId="589BE859" w:rsidR="00CE6D77" w:rsidRPr="00F8275B" w:rsidRDefault="00CE6D77" w:rsidP="002D0038">
            <w:pPr>
              <w:pStyle w:val="Tabletext"/>
              <w:ind w:right="170"/>
              <w:jc w:val="right"/>
              <w:rPr>
                <w:lang w:val="es-ES"/>
              </w:rPr>
            </w:pPr>
            <w:r w:rsidRPr="00F8275B">
              <w:rPr>
                <w:lang w:val="es-ES"/>
              </w:rPr>
              <w:t>4</w:t>
            </w:r>
            <w:r w:rsidR="002D0038" w:rsidRPr="00F8275B">
              <w:rPr>
                <w:lang w:val="es-ES"/>
              </w:rPr>
              <w:t> </w:t>
            </w:r>
            <w:r w:rsidRPr="00F8275B">
              <w:rPr>
                <w:lang w:val="es-ES"/>
              </w:rPr>
              <w:t>311,1</w:t>
            </w:r>
          </w:p>
        </w:tc>
        <w:tc>
          <w:tcPr>
            <w:tcW w:w="1418" w:type="dxa"/>
            <w:vAlign w:val="bottom"/>
            <w:hideMark/>
          </w:tcPr>
          <w:p w14:paraId="384A80EB" w14:textId="77777777" w:rsidR="00CE6D77" w:rsidRPr="00F8275B" w:rsidRDefault="00CE6D77" w:rsidP="002D0038">
            <w:pPr>
              <w:pStyle w:val="Tabletext"/>
              <w:ind w:right="170"/>
              <w:jc w:val="right"/>
              <w:rPr>
                <w:lang w:val="es-ES"/>
              </w:rPr>
            </w:pPr>
            <w:r w:rsidRPr="00F8275B">
              <w:rPr>
                <w:lang w:val="es-ES"/>
              </w:rPr>
              <w:t>662,2</w:t>
            </w:r>
          </w:p>
        </w:tc>
        <w:tc>
          <w:tcPr>
            <w:tcW w:w="1241" w:type="dxa"/>
            <w:vAlign w:val="bottom"/>
            <w:hideMark/>
          </w:tcPr>
          <w:p w14:paraId="1D407D82" w14:textId="77777777" w:rsidR="00CE6D77" w:rsidRPr="00F8275B" w:rsidRDefault="00CE6D77" w:rsidP="002D0038">
            <w:pPr>
              <w:pStyle w:val="Tabletext"/>
              <w:ind w:right="170"/>
              <w:jc w:val="right"/>
              <w:rPr>
                <w:lang w:val="es-ES"/>
              </w:rPr>
            </w:pPr>
            <w:r w:rsidRPr="00F8275B">
              <w:rPr>
                <w:lang w:val="es-ES"/>
              </w:rPr>
              <w:t>88,0</w:t>
            </w:r>
          </w:p>
        </w:tc>
        <w:tc>
          <w:tcPr>
            <w:tcW w:w="1871" w:type="dxa"/>
            <w:shd w:val="clear" w:color="auto" w:fill="DBE5F1" w:themeFill="accent1" w:themeFillTint="33"/>
            <w:vAlign w:val="bottom"/>
            <w:hideMark/>
          </w:tcPr>
          <w:p w14:paraId="4E1B984D" w14:textId="4FE68F6C" w:rsidR="00CE6D77" w:rsidRPr="00F8275B" w:rsidRDefault="00CE6D77" w:rsidP="002D0038">
            <w:pPr>
              <w:pStyle w:val="Tabletext"/>
              <w:ind w:right="170"/>
              <w:jc w:val="right"/>
              <w:rPr>
                <w:b/>
                <w:bCs/>
                <w:lang w:val="es-ES"/>
              </w:rPr>
            </w:pPr>
            <w:r w:rsidRPr="00F8275B">
              <w:rPr>
                <w:b/>
                <w:bCs/>
                <w:lang w:val="es-ES"/>
              </w:rPr>
              <w:t>5</w:t>
            </w:r>
            <w:r w:rsidR="002D0038" w:rsidRPr="00F8275B">
              <w:rPr>
                <w:b/>
                <w:bCs/>
                <w:lang w:val="es-ES"/>
              </w:rPr>
              <w:t> </w:t>
            </w:r>
            <w:r w:rsidRPr="00F8275B">
              <w:rPr>
                <w:b/>
                <w:bCs/>
                <w:lang w:val="es-ES"/>
              </w:rPr>
              <w:t>061,3</w:t>
            </w:r>
          </w:p>
        </w:tc>
      </w:tr>
      <w:tr w:rsidR="00CE6D77" w:rsidRPr="00F8275B" w14:paraId="252C8B37" w14:textId="77777777" w:rsidTr="001B6B57">
        <w:trPr>
          <w:jc w:val="center"/>
        </w:trPr>
        <w:tc>
          <w:tcPr>
            <w:tcW w:w="1185" w:type="dxa"/>
            <w:vAlign w:val="center"/>
            <w:hideMark/>
          </w:tcPr>
          <w:p w14:paraId="2DFDDC54" w14:textId="77777777" w:rsidR="00CE6D77" w:rsidRPr="00F8275B" w:rsidRDefault="00CE6D77" w:rsidP="00DC7C49">
            <w:pPr>
              <w:pStyle w:val="Tabletext"/>
              <w:rPr>
                <w:lang w:val="es-ES"/>
              </w:rPr>
            </w:pPr>
            <w:r w:rsidRPr="00F8275B">
              <w:rPr>
                <w:lang w:val="es-ES"/>
              </w:rPr>
              <w:t>ASP</w:t>
            </w:r>
          </w:p>
        </w:tc>
        <w:tc>
          <w:tcPr>
            <w:tcW w:w="1652" w:type="dxa"/>
            <w:noWrap/>
            <w:vAlign w:val="bottom"/>
            <w:hideMark/>
          </w:tcPr>
          <w:p w14:paraId="7EFA53BC" w14:textId="77777777" w:rsidR="00CE6D77" w:rsidRPr="00F8275B" w:rsidRDefault="00CE6D77" w:rsidP="002D0038">
            <w:pPr>
              <w:pStyle w:val="Tabletext"/>
              <w:jc w:val="center"/>
              <w:rPr>
                <w:lang w:val="es-ES"/>
              </w:rPr>
            </w:pPr>
            <w:r w:rsidRPr="00F8275B">
              <w:rPr>
                <w:lang w:val="es-ES"/>
              </w:rPr>
              <w:t>14</w:t>
            </w:r>
          </w:p>
        </w:tc>
        <w:tc>
          <w:tcPr>
            <w:tcW w:w="1694" w:type="dxa"/>
            <w:vAlign w:val="bottom"/>
            <w:hideMark/>
          </w:tcPr>
          <w:p w14:paraId="646B4F9A" w14:textId="1AB2E9CE" w:rsidR="00CE6D77" w:rsidRPr="00F8275B" w:rsidRDefault="00CE6D77" w:rsidP="002D0038">
            <w:pPr>
              <w:pStyle w:val="Tabletext"/>
              <w:ind w:right="170"/>
              <w:jc w:val="right"/>
              <w:rPr>
                <w:lang w:val="es-ES"/>
              </w:rPr>
            </w:pPr>
            <w:r w:rsidRPr="00F8275B">
              <w:rPr>
                <w:lang w:val="es-ES"/>
              </w:rPr>
              <w:t>6</w:t>
            </w:r>
            <w:r w:rsidR="002D0038" w:rsidRPr="00F8275B">
              <w:rPr>
                <w:lang w:val="es-ES"/>
              </w:rPr>
              <w:t> </w:t>
            </w:r>
            <w:r w:rsidRPr="00F8275B">
              <w:rPr>
                <w:lang w:val="es-ES"/>
              </w:rPr>
              <w:t>948,8</w:t>
            </w:r>
          </w:p>
        </w:tc>
        <w:tc>
          <w:tcPr>
            <w:tcW w:w="1418" w:type="dxa"/>
            <w:vAlign w:val="bottom"/>
          </w:tcPr>
          <w:p w14:paraId="03D9ADFA" w14:textId="77777777" w:rsidR="00CE6D77" w:rsidRPr="00F8275B" w:rsidRDefault="00CE6D77" w:rsidP="002D0038">
            <w:pPr>
              <w:pStyle w:val="Tabletext"/>
              <w:ind w:right="170"/>
              <w:jc w:val="right"/>
              <w:rPr>
                <w:lang w:val="es-ES"/>
              </w:rPr>
            </w:pPr>
            <w:r w:rsidRPr="00F8275B">
              <w:rPr>
                <w:lang w:val="es-ES"/>
              </w:rPr>
              <w:t>345,4</w:t>
            </w:r>
          </w:p>
        </w:tc>
        <w:tc>
          <w:tcPr>
            <w:tcW w:w="1241" w:type="dxa"/>
            <w:vAlign w:val="bottom"/>
            <w:hideMark/>
          </w:tcPr>
          <w:p w14:paraId="50F3F9EE" w14:textId="77777777" w:rsidR="00CE6D77" w:rsidRPr="00F8275B" w:rsidRDefault="00CE6D77" w:rsidP="002D0038">
            <w:pPr>
              <w:pStyle w:val="Tabletext"/>
              <w:ind w:right="170"/>
              <w:jc w:val="right"/>
              <w:rPr>
                <w:lang w:val="es-ES"/>
              </w:rPr>
            </w:pPr>
            <w:r w:rsidRPr="00F8275B">
              <w:rPr>
                <w:lang w:val="es-ES"/>
              </w:rPr>
              <w:t>440,0</w:t>
            </w:r>
          </w:p>
        </w:tc>
        <w:tc>
          <w:tcPr>
            <w:tcW w:w="1871" w:type="dxa"/>
            <w:shd w:val="clear" w:color="auto" w:fill="DBE5F1" w:themeFill="accent1" w:themeFillTint="33"/>
            <w:vAlign w:val="bottom"/>
            <w:hideMark/>
          </w:tcPr>
          <w:p w14:paraId="3AC7FC73" w14:textId="224C4E44" w:rsidR="00CE6D77" w:rsidRPr="00F8275B" w:rsidRDefault="00CE6D77" w:rsidP="002D0038">
            <w:pPr>
              <w:pStyle w:val="Tabletext"/>
              <w:ind w:right="170"/>
              <w:jc w:val="right"/>
              <w:rPr>
                <w:b/>
                <w:bCs/>
                <w:lang w:val="es-ES"/>
              </w:rPr>
            </w:pPr>
            <w:r w:rsidRPr="00F8275B">
              <w:rPr>
                <w:b/>
                <w:bCs/>
                <w:lang w:val="es-ES"/>
              </w:rPr>
              <w:t>7</w:t>
            </w:r>
            <w:r w:rsidR="002D0038" w:rsidRPr="00F8275B">
              <w:rPr>
                <w:b/>
                <w:bCs/>
                <w:lang w:val="es-ES"/>
              </w:rPr>
              <w:t> </w:t>
            </w:r>
            <w:r w:rsidRPr="00F8275B">
              <w:rPr>
                <w:b/>
                <w:bCs/>
                <w:lang w:val="es-ES"/>
              </w:rPr>
              <w:t>909,2</w:t>
            </w:r>
          </w:p>
        </w:tc>
      </w:tr>
      <w:tr w:rsidR="00CE6D77" w:rsidRPr="00F8275B" w14:paraId="1E2A3983" w14:textId="77777777" w:rsidTr="001B6B57">
        <w:trPr>
          <w:jc w:val="center"/>
        </w:trPr>
        <w:tc>
          <w:tcPr>
            <w:tcW w:w="1185" w:type="dxa"/>
            <w:hideMark/>
          </w:tcPr>
          <w:p w14:paraId="38E582BD" w14:textId="4C6709B3" w:rsidR="00CE6D77" w:rsidRPr="00F8275B" w:rsidRDefault="00CE6D77" w:rsidP="00DC7C49">
            <w:pPr>
              <w:pStyle w:val="Tabletext"/>
              <w:rPr>
                <w:lang w:val="es-ES"/>
              </w:rPr>
            </w:pPr>
            <w:r w:rsidRPr="00F8275B">
              <w:rPr>
                <w:lang w:val="es-ES"/>
              </w:rPr>
              <w:t>CEI</w:t>
            </w:r>
          </w:p>
        </w:tc>
        <w:tc>
          <w:tcPr>
            <w:tcW w:w="1652" w:type="dxa"/>
            <w:vAlign w:val="bottom"/>
            <w:hideMark/>
          </w:tcPr>
          <w:p w14:paraId="57D56A9E" w14:textId="77777777" w:rsidR="00CE6D77" w:rsidRPr="00F8275B" w:rsidRDefault="00CE6D77" w:rsidP="002D0038">
            <w:pPr>
              <w:pStyle w:val="Tabletext"/>
              <w:jc w:val="center"/>
              <w:rPr>
                <w:lang w:val="es-ES"/>
              </w:rPr>
            </w:pPr>
            <w:r w:rsidRPr="00F8275B">
              <w:rPr>
                <w:lang w:val="es-ES"/>
              </w:rPr>
              <w:t>3</w:t>
            </w:r>
          </w:p>
        </w:tc>
        <w:tc>
          <w:tcPr>
            <w:tcW w:w="1694" w:type="dxa"/>
            <w:vAlign w:val="bottom"/>
            <w:hideMark/>
          </w:tcPr>
          <w:p w14:paraId="3168270F" w14:textId="77777777" w:rsidR="00CE6D77" w:rsidRPr="00F8275B" w:rsidRDefault="00CE6D77" w:rsidP="002D0038">
            <w:pPr>
              <w:pStyle w:val="Tabletext"/>
              <w:ind w:right="170"/>
              <w:jc w:val="right"/>
              <w:rPr>
                <w:lang w:val="es-ES"/>
              </w:rPr>
            </w:pPr>
            <w:r w:rsidRPr="00F8275B">
              <w:rPr>
                <w:lang w:val="es-ES"/>
              </w:rPr>
              <w:t>253,7</w:t>
            </w:r>
          </w:p>
        </w:tc>
        <w:tc>
          <w:tcPr>
            <w:tcW w:w="1418" w:type="dxa"/>
            <w:vAlign w:val="bottom"/>
          </w:tcPr>
          <w:p w14:paraId="03AF475D" w14:textId="77777777" w:rsidR="00CE6D77" w:rsidRPr="00F8275B" w:rsidRDefault="00CE6D77" w:rsidP="002D0038">
            <w:pPr>
              <w:pStyle w:val="Tabletext"/>
              <w:ind w:right="170"/>
              <w:jc w:val="right"/>
              <w:rPr>
                <w:lang w:val="es-ES"/>
              </w:rPr>
            </w:pPr>
          </w:p>
        </w:tc>
        <w:tc>
          <w:tcPr>
            <w:tcW w:w="1241" w:type="dxa"/>
            <w:vAlign w:val="bottom"/>
            <w:hideMark/>
          </w:tcPr>
          <w:p w14:paraId="76517740" w14:textId="77777777" w:rsidR="00CE6D77" w:rsidRPr="00F8275B" w:rsidRDefault="00CE6D77" w:rsidP="002D0038">
            <w:pPr>
              <w:pStyle w:val="Tabletext"/>
              <w:ind w:right="170"/>
              <w:jc w:val="right"/>
              <w:rPr>
                <w:lang w:val="es-ES"/>
              </w:rPr>
            </w:pPr>
            <w:r w:rsidRPr="00F8275B">
              <w:rPr>
                <w:lang w:val="es-ES"/>
              </w:rPr>
              <w:t>443,8</w:t>
            </w:r>
          </w:p>
        </w:tc>
        <w:tc>
          <w:tcPr>
            <w:tcW w:w="1871" w:type="dxa"/>
            <w:shd w:val="clear" w:color="auto" w:fill="DBE5F1" w:themeFill="accent1" w:themeFillTint="33"/>
            <w:vAlign w:val="bottom"/>
            <w:hideMark/>
          </w:tcPr>
          <w:p w14:paraId="2E58C27E" w14:textId="77777777" w:rsidR="00CE6D77" w:rsidRPr="00F8275B" w:rsidRDefault="00CE6D77" w:rsidP="002D0038">
            <w:pPr>
              <w:pStyle w:val="Tabletext"/>
              <w:ind w:right="170"/>
              <w:jc w:val="right"/>
              <w:rPr>
                <w:b/>
                <w:bCs/>
                <w:lang w:val="es-ES"/>
              </w:rPr>
            </w:pPr>
            <w:r w:rsidRPr="00F8275B">
              <w:rPr>
                <w:b/>
                <w:bCs/>
                <w:lang w:val="es-ES"/>
              </w:rPr>
              <w:t>697,5</w:t>
            </w:r>
          </w:p>
        </w:tc>
      </w:tr>
      <w:tr w:rsidR="00CE6D77" w:rsidRPr="00F8275B" w14:paraId="0CA1264A" w14:textId="77777777" w:rsidTr="001B6B57">
        <w:trPr>
          <w:jc w:val="center"/>
        </w:trPr>
        <w:tc>
          <w:tcPr>
            <w:tcW w:w="1185" w:type="dxa"/>
            <w:vAlign w:val="bottom"/>
            <w:hideMark/>
          </w:tcPr>
          <w:p w14:paraId="54ED12FB" w14:textId="77777777" w:rsidR="00CE6D77" w:rsidRPr="00F8275B" w:rsidRDefault="00CE6D77" w:rsidP="00DC7C49">
            <w:pPr>
              <w:pStyle w:val="Tabletext"/>
              <w:rPr>
                <w:lang w:val="es-ES"/>
              </w:rPr>
            </w:pPr>
            <w:r w:rsidRPr="00F8275B">
              <w:rPr>
                <w:lang w:val="es-ES"/>
              </w:rPr>
              <w:t>EUR</w:t>
            </w:r>
          </w:p>
        </w:tc>
        <w:tc>
          <w:tcPr>
            <w:tcW w:w="1652" w:type="dxa"/>
            <w:vAlign w:val="bottom"/>
            <w:hideMark/>
          </w:tcPr>
          <w:p w14:paraId="25FE1076" w14:textId="77777777" w:rsidR="00CE6D77" w:rsidRPr="00F8275B" w:rsidRDefault="00CE6D77" w:rsidP="002D0038">
            <w:pPr>
              <w:pStyle w:val="Tabletext"/>
              <w:jc w:val="center"/>
              <w:rPr>
                <w:lang w:val="es-ES"/>
              </w:rPr>
            </w:pPr>
            <w:r w:rsidRPr="00F8275B">
              <w:rPr>
                <w:lang w:val="es-ES"/>
              </w:rPr>
              <w:t>2</w:t>
            </w:r>
          </w:p>
        </w:tc>
        <w:tc>
          <w:tcPr>
            <w:tcW w:w="1694" w:type="dxa"/>
            <w:vAlign w:val="bottom"/>
            <w:hideMark/>
          </w:tcPr>
          <w:p w14:paraId="1ECA3A36" w14:textId="5972178E" w:rsidR="00CE6D77" w:rsidRPr="00F8275B" w:rsidRDefault="00CE6D77" w:rsidP="002D0038">
            <w:pPr>
              <w:pStyle w:val="Tabletext"/>
              <w:ind w:right="170"/>
              <w:jc w:val="right"/>
              <w:rPr>
                <w:lang w:val="es-ES"/>
              </w:rPr>
            </w:pPr>
            <w:r w:rsidRPr="00F8275B">
              <w:rPr>
                <w:lang w:val="es-ES"/>
              </w:rPr>
              <w:t>3</w:t>
            </w:r>
            <w:r w:rsidR="002D0038" w:rsidRPr="00F8275B">
              <w:rPr>
                <w:lang w:val="es-ES"/>
              </w:rPr>
              <w:t> </w:t>
            </w:r>
            <w:r w:rsidRPr="00F8275B">
              <w:rPr>
                <w:lang w:val="es-ES"/>
              </w:rPr>
              <w:t>642,5</w:t>
            </w:r>
          </w:p>
        </w:tc>
        <w:tc>
          <w:tcPr>
            <w:tcW w:w="1418" w:type="dxa"/>
            <w:vAlign w:val="bottom"/>
          </w:tcPr>
          <w:p w14:paraId="4F27FE10" w14:textId="77777777" w:rsidR="00CE6D77" w:rsidRPr="00F8275B" w:rsidRDefault="00CE6D77" w:rsidP="002D0038">
            <w:pPr>
              <w:pStyle w:val="Tabletext"/>
              <w:ind w:right="170"/>
              <w:jc w:val="right"/>
              <w:rPr>
                <w:lang w:val="es-ES"/>
              </w:rPr>
            </w:pPr>
          </w:p>
        </w:tc>
        <w:tc>
          <w:tcPr>
            <w:tcW w:w="1241" w:type="dxa"/>
            <w:vAlign w:val="bottom"/>
            <w:hideMark/>
          </w:tcPr>
          <w:p w14:paraId="4C4A7A7D" w14:textId="77777777" w:rsidR="00CE6D77" w:rsidRPr="00F8275B" w:rsidRDefault="00CE6D77" w:rsidP="002D0038">
            <w:pPr>
              <w:pStyle w:val="Tabletext"/>
              <w:ind w:right="170"/>
              <w:jc w:val="right"/>
              <w:rPr>
                <w:lang w:val="es-ES"/>
              </w:rPr>
            </w:pPr>
            <w:r w:rsidRPr="00F8275B">
              <w:rPr>
                <w:lang w:val="es-ES"/>
              </w:rPr>
              <w:t>47,5</w:t>
            </w:r>
          </w:p>
        </w:tc>
        <w:tc>
          <w:tcPr>
            <w:tcW w:w="1871" w:type="dxa"/>
            <w:shd w:val="clear" w:color="auto" w:fill="DBE5F1" w:themeFill="accent1" w:themeFillTint="33"/>
            <w:vAlign w:val="bottom"/>
            <w:hideMark/>
          </w:tcPr>
          <w:p w14:paraId="6049DC9C" w14:textId="4B43F885" w:rsidR="00CE6D77" w:rsidRPr="00F8275B" w:rsidRDefault="00CE6D77" w:rsidP="002D0038">
            <w:pPr>
              <w:pStyle w:val="Tabletext"/>
              <w:ind w:right="170"/>
              <w:jc w:val="right"/>
              <w:rPr>
                <w:b/>
                <w:bCs/>
                <w:lang w:val="es-ES"/>
              </w:rPr>
            </w:pPr>
            <w:r w:rsidRPr="00F8275B">
              <w:rPr>
                <w:b/>
                <w:bCs/>
                <w:lang w:val="es-ES"/>
              </w:rPr>
              <w:t>3</w:t>
            </w:r>
            <w:r w:rsidR="002D0038" w:rsidRPr="00F8275B">
              <w:rPr>
                <w:b/>
                <w:bCs/>
                <w:lang w:val="es-ES"/>
              </w:rPr>
              <w:t> </w:t>
            </w:r>
            <w:r w:rsidRPr="00F8275B">
              <w:rPr>
                <w:b/>
                <w:bCs/>
                <w:lang w:val="es-ES"/>
              </w:rPr>
              <w:t>690,1</w:t>
            </w:r>
          </w:p>
        </w:tc>
      </w:tr>
      <w:tr w:rsidR="00CE6D77" w:rsidRPr="00F8275B" w14:paraId="795BBC88" w14:textId="77777777" w:rsidTr="001B6B57">
        <w:trPr>
          <w:jc w:val="center"/>
        </w:trPr>
        <w:tc>
          <w:tcPr>
            <w:tcW w:w="1185" w:type="dxa"/>
            <w:hideMark/>
          </w:tcPr>
          <w:p w14:paraId="1D46A1A7" w14:textId="77777777" w:rsidR="00CE6D77" w:rsidRPr="00F8275B" w:rsidRDefault="00CE6D77" w:rsidP="00DC7C49">
            <w:pPr>
              <w:pStyle w:val="Tabletext"/>
              <w:rPr>
                <w:lang w:val="es-ES"/>
              </w:rPr>
            </w:pPr>
            <w:r w:rsidRPr="00F8275B">
              <w:rPr>
                <w:lang w:val="es-ES"/>
              </w:rPr>
              <w:t>MUL (*)</w:t>
            </w:r>
            <w:bookmarkStart w:id="154" w:name="_Hlk161739046"/>
            <w:bookmarkEnd w:id="154"/>
          </w:p>
        </w:tc>
        <w:tc>
          <w:tcPr>
            <w:tcW w:w="1652" w:type="dxa"/>
            <w:noWrap/>
            <w:vAlign w:val="bottom"/>
            <w:hideMark/>
          </w:tcPr>
          <w:p w14:paraId="39B4430F" w14:textId="77777777" w:rsidR="00CE6D77" w:rsidRPr="00F8275B" w:rsidRDefault="00CE6D77" w:rsidP="002D0038">
            <w:pPr>
              <w:pStyle w:val="Tabletext"/>
              <w:jc w:val="center"/>
              <w:rPr>
                <w:lang w:val="es-ES"/>
              </w:rPr>
            </w:pPr>
            <w:r w:rsidRPr="00F8275B">
              <w:rPr>
                <w:lang w:val="es-ES"/>
              </w:rPr>
              <w:t>33</w:t>
            </w:r>
          </w:p>
        </w:tc>
        <w:tc>
          <w:tcPr>
            <w:tcW w:w="1694" w:type="dxa"/>
            <w:vAlign w:val="bottom"/>
            <w:hideMark/>
          </w:tcPr>
          <w:p w14:paraId="537D638D" w14:textId="27BE5ED6" w:rsidR="00CE6D77" w:rsidRPr="00F8275B" w:rsidRDefault="00CE6D77" w:rsidP="002D0038">
            <w:pPr>
              <w:pStyle w:val="Tabletext"/>
              <w:ind w:right="170"/>
              <w:jc w:val="right"/>
              <w:rPr>
                <w:lang w:val="es-ES"/>
              </w:rPr>
            </w:pPr>
            <w:r w:rsidRPr="00F8275B">
              <w:rPr>
                <w:lang w:val="es-ES"/>
              </w:rPr>
              <w:t>27</w:t>
            </w:r>
            <w:r w:rsidR="002D0038" w:rsidRPr="00F8275B">
              <w:rPr>
                <w:lang w:val="es-ES"/>
              </w:rPr>
              <w:t> </w:t>
            </w:r>
            <w:r w:rsidRPr="00F8275B">
              <w:rPr>
                <w:lang w:val="es-ES"/>
              </w:rPr>
              <w:t>794,1</w:t>
            </w:r>
          </w:p>
        </w:tc>
        <w:tc>
          <w:tcPr>
            <w:tcW w:w="1418" w:type="dxa"/>
            <w:vAlign w:val="bottom"/>
            <w:hideMark/>
          </w:tcPr>
          <w:p w14:paraId="0C60EE8B" w14:textId="68835959" w:rsidR="00CE6D77" w:rsidRPr="00F8275B" w:rsidRDefault="00CE6D77" w:rsidP="002D0038">
            <w:pPr>
              <w:pStyle w:val="Tabletext"/>
              <w:ind w:right="170"/>
              <w:jc w:val="right"/>
              <w:rPr>
                <w:lang w:val="es-ES"/>
              </w:rPr>
            </w:pPr>
            <w:r w:rsidRPr="00F8275B">
              <w:rPr>
                <w:lang w:val="es-ES"/>
              </w:rPr>
              <w:t>4</w:t>
            </w:r>
            <w:r w:rsidR="002D0038" w:rsidRPr="00F8275B">
              <w:rPr>
                <w:lang w:val="es-ES"/>
              </w:rPr>
              <w:t> </w:t>
            </w:r>
            <w:r w:rsidRPr="00F8275B">
              <w:rPr>
                <w:lang w:val="es-ES"/>
              </w:rPr>
              <w:t>394,6</w:t>
            </w:r>
          </w:p>
        </w:tc>
        <w:tc>
          <w:tcPr>
            <w:tcW w:w="1241" w:type="dxa"/>
            <w:vAlign w:val="bottom"/>
            <w:hideMark/>
          </w:tcPr>
          <w:p w14:paraId="7DAC078F" w14:textId="0FD07C41" w:rsidR="00CE6D77" w:rsidRPr="00F8275B" w:rsidRDefault="00CE6D77" w:rsidP="002D0038">
            <w:pPr>
              <w:pStyle w:val="Tabletext"/>
              <w:ind w:right="170"/>
              <w:jc w:val="right"/>
              <w:rPr>
                <w:lang w:val="es-ES"/>
              </w:rPr>
            </w:pPr>
            <w:r w:rsidRPr="00F8275B">
              <w:rPr>
                <w:lang w:val="es-ES"/>
              </w:rPr>
              <w:t>1</w:t>
            </w:r>
            <w:r w:rsidR="002D0038" w:rsidRPr="00F8275B">
              <w:rPr>
                <w:lang w:val="es-ES"/>
              </w:rPr>
              <w:t> </w:t>
            </w:r>
            <w:r w:rsidRPr="00F8275B">
              <w:rPr>
                <w:lang w:val="es-ES"/>
              </w:rPr>
              <w:t>551,8</w:t>
            </w:r>
          </w:p>
        </w:tc>
        <w:tc>
          <w:tcPr>
            <w:tcW w:w="1871" w:type="dxa"/>
            <w:shd w:val="clear" w:color="auto" w:fill="DBE5F1" w:themeFill="accent1" w:themeFillTint="33"/>
            <w:vAlign w:val="bottom"/>
            <w:hideMark/>
          </w:tcPr>
          <w:p w14:paraId="4BAAFA93" w14:textId="22881E07" w:rsidR="00CE6D77" w:rsidRPr="00F8275B" w:rsidRDefault="00CE6D77" w:rsidP="002D0038">
            <w:pPr>
              <w:pStyle w:val="Tabletext"/>
              <w:ind w:right="170"/>
              <w:jc w:val="right"/>
              <w:rPr>
                <w:b/>
                <w:bCs/>
                <w:lang w:val="es-ES"/>
              </w:rPr>
            </w:pPr>
            <w:r w:rsidRPr="00F8275B">
              <w:rPr>
                <w:b/>
                <w:bCs/>
                <w:lang w:val="es-ES"/>
              </w:rPr>
              <w:t>34</w:t>
            </w:r>
            <w:r w:rsidR="002D0038" w:rsidRPr="00F8275B">
              <w:rPr>
                <w:b/>
                <w:bCs/>
                <w:lang w:val="es-ES"/>
              </w:rPr>
              <w:t> </w:t>
            </w:r>
            <w:r w:rsidRPr="00F8275B">
              <w:rPr>
                <w:b/>
                <w:bCs/>
                <w:lang w:val="es-ES"/>
              </w:rPr>
              <w:t>122,8</w:t>
            </w:r>
          </w:p>
        </w:tc>
      </w:tr>
      <w:tr w:rsidR="00CE6D77" w:rsidRPr="00F8275B" w14:paraId="142A62C7" w14:textId="77777777" w:rsidTr="001B6B57">
        <w:trPr>
          <w:jc w:val="center"/>
        </w:trPr>
        <w:tc>
          <w:tcPr>
            <w:tcW w:w="1185" w:type="dxa"/>
            <w:shd w:val="clear" w:color="auto" w:fill="DBE5F1" w:themeFill="accent1" w:themeFillTint="33"/>
            <w:noWrap/>
            <w:vAlign w:val="center"/>
            <w:hideMark/>
          </w:tcPr>
          <w:p w14:paraId="4F5C9329" w14:textId="77777777" w:rsidR="00CE6D77" w:rsidRPr="00F8275B" w:rsidRDefault="00CE6D77" w:rsidP="00DC7C49">
            <w:pPr>
              <w:pStyle w:val="Tabletext"/>
              <w:rPr>
                <w:b/>
                <w:bCs/>
                <w:lang w:val="es-ES"/>
              </w:rPr>
            </w:pPr>
            <w:r w:rsidRPr="00F8275B">
              <w:rPr>
                <w:b/>
                <w:bCs/>
                <w:lang w:val="es-ES"/>
              </w:rPr>
              <w:t>Total</w:t>
            </w:r>
          </w:p>
        </w:tc>
        <w:tc>
          <w:tcPr>
            <w:tcW w:w="1652" w:type="dxa"/>
            <w:shd w:val="clear" w:color="auto" w:fill="DBE5F1" w:themeFill="accent1" w:themeFillTint="33"/>
            <w:noWrap/>
            <w:vAlign w:val="bottom"/>
            <w:hideMark/>
          </w:tcPr>
          <w:p w14:paraId="2D865926" w14:textId="385859E8" w:rsidR="00CE6D77" w:rsidRPr="00F8275B" w:rsidRDefault="00CE6D77" w:rsidP="002D0038">
            <w:pPr>
              <w:pStyle w:val="Tabletext"/>
              <w:jc w:val="center"/>
              <w:rPr>
                <w:b/>
                <w:bCs/>
                <w:lang w:val="es-ES"/>
              </w:rPr>
            </w:pPr>
            <w:r w:rsidRPr="00F8275B">
              <w:rPr>
                <w:b/>
                <w:bCs/>
                <w:lang w:val="es-ES"/>
              </w:rPr>
              <w:t>87</w:t>
            </w:r>
          </w:p>
        </w:tc>
        <w:tc>
          <w:tcPr>
            <w:tcW w:w="1694" w:type="dxa"/>
            <w:shd w:val="clear" w:color="auto" w:fill="DBE5F1" w:themeFill="accent1" w:themeFillTint="33"/>
            <w:noWrap/>
            <w:vAlign w:val="bottom"/>
            <w:hideMark/>
          </w:tcPr>
          <w:p w14:paraId="1616C4B3" w14:textId="074B51C5" w:rsidR="00CE6D77" w:rsidRPr="00F8275B" w:rsidRDefault="00CE6D77" w:rsidP="002D0038">
            <w:pPr>
              <w:pStyle w:val="Tabletext"/>
              <w:ind w:right="170"/>
              <w:jc w:val="right"/>
              <w:rPr>
                <w:b/>
                <w:bCs/>
                <w:lang w:val="es-ES"/>
              </w:rPr>
            </w:pPr>
            <w:r w:rsidRPr="00F8275B">
              <w:rPr>
                <w:b/>
                <w:bCs/>
                <w:lang w:val="es-ES"/>
              </w:rPr>
              <w:t>94</w:t>
            </w:r>
            <w:r w:rsidR="002D0038" w:rsidRPr="00F8275B">
              <w:rPr>
                <w:b/>
                <w:bCs/>
                <w:lang w:val="es-ES"/>
              </w:rPr>
              <w:t> </w:t>
            </w:r>
            <w:r w:rsidRPr="00F8275B">
              <w:rPr>
                <w:b/>
                <w:bCs/>
                <w:lang w:val="es-ES"/>
              </w:rPr>
              <w:t>795,3</w:t>
            </w:r>
          </w:p>
        </w:tc>
        <w:tc>
          <w:tcPr>
            <w:tcW w:w="1418" w:type="dxa"/>
            <w:shd w:val="clear" w:color="auto" w:fill="DBE5F1" w:themeFill="accent1" w:themeFillTint="33"/>
            <w:noWrap/>
            <w:vAlign w:val="bottom"/>
            <w:hideMark/>
          </w:tcPr>
          <w:p w14:paraId="0284BBDB" w14:textId="49EDC838" w:rsidR="00CE6D77" w:rsidRPr="00F8275B" w:rsidRDefault="00CE6D77" w:rsidP="002D0038">
            <w:pPr>
              <w:pStyle w:val="Tabletext"/>
              <w:ind w:right="170"/>
              <w:jc w:val="right"/>
              <w:rPr>
                <w:b/>
                <w:bCs/>
                <w:lang w:val="es-ES"/>
              </w:rPr>
            </w:pPr>
            <w:r w:rsidRPr="00F8275B">
              <w:rPr>
                <w:b/>
                <w:bCs/>
                <w:lang w:val="es-ES"/>
              </w:rPr>
              <w:t>6</w:t>
            </w:r>
            <w:r w:rsidR="002D0038" w:rsidRPr="00F8275B">
              <w:rPr>
                <w:b/>
                <w:bCs/>
                <w:lang w:val="es-ES"/>
              </w:rPr>
              <w:t> </w:t>
            </w:r>
            <w:r w:rsidRPr="00F8275B">
              <w:rPr>
                <w:b/>
                <w:bCs/>
                <w:lang w:val="es-ES"/>
              </w:rPr>
              <w:t>499,5</w:t>
            </w:r>
          </w:p>
        </w:tc>
        <w:tc>
          <w:tcPr>
            <w:tcW w:w="1241" w:type="dxa"/>
            <w:shd w:val="clear" w:color="auto" w:fill="DBE5F1" w:themeFill="accent1" w:themeFillTint="33"/>
            <w:noWrap/>
            <w:vAlign w:val="bottom"/>
            <w:hideMark/>
          </w:tcPr>
          <w:p w14:paraId="39277635" w14:textId="69E36489" w:rsidR="00CE6D77" w:rsidRPr="00F8275B" w:rsidRDefault="00CE6D77" w:rsidP="002D0038">
            <w:pPr>
              <w:pStyle w:val="Tabletext"/>
              <w:ind w:right="170"/>
              <w:jc w:val="right"/>
              <w:rPr>
                <w:b/>
                <w:bCs/>
                <w:lang w:val="es-ES"/>
              </w:rPr>
            </w:pPr>
            <w:r w:rsidRPr="00F8275B">
              <w:rPr>
                <w:b/>
                <w:bCs/>
                <w:lang w:val="es-ES"/>
              </w:rPr>
              <w:t>3</w:t>
            </w:r>
            <w:r w:rsidR="002D0038" w:rsidRPr="00F8275B">
              <w:rPr>
                <w:b/>
                <w:bCs/>
                <w:lang w:val="es-ES"/>
              </w:rPr>
              <w:t> </w:t>
            </w:r>
            <w:r w:rsidRPr="00F8275B">
              <w:rPr>
                <w:b/>
                <w:bCs/>
                <w:lang w:val="es-ES"/>
              </w:rPr>
              <w:t>908,7</w:t>
            </w:r>
          </w:p>
        </w:tc>
        <w:tc>
          <w:tcPr>
            <w:tcW w:w="1871" w:type="dxa"/>
            <w:shd w:val="clear" w:color="auto" w:fill="DBE5F1" w:themeFill="accent1" w:themeFillTint="33"/>
            <w:noWrap/>
            <w:vAlign w:val="bottom"/>
            <w:hideMark/>
          </w:tcPr>
          <w:p w14:paraId="39EEAB32" w14:textId="7999FC91" w:rsidR="00CE6D77" w:rsidRPr="00F8275B" w:rsidRDefault="00CE6D77" w:rsidP="002D0038">
            <w:pPr>
              <w:pStyle w:val="Tabletext"/>
              <w:ind w:right="170"/>
              <w:jc w:val="right"/>
              <w:rPr>
                <w:b/>
                <w:bCs/>
                <w:lang w:val="es-ES"/>
              </w:rPr>
            </w:pPr>
            <w:r w:rsidRPr="00F8275B">
              <w:rPr>
                <w:b/>
                <w:bCs/>
                <w:lang w:val="es-ES"/>
              </w:rPr>
              <w:t>106</w:t>
            </w:r>
            <w:r w:rsidR="002D0038" w:rsidRPr="00F8275B">
              <w:rPr>
                <w:b/>
                <w:bCs/>
                <w:lang w:val="es-ES"/>
              </w:rPr>
              <w:t> </w:t>
            </w:r>
            <w:r w:rsidRPr="00F8275B">
              <w:rPr>
                <w:b/>
                <w:bCs/>
                <w:lang w:val="es-ES"/>
              </w:rPr>
              <w:t>402,4</w:t>
            </w:r>
          </w:p>
        </w:tc>
      </w:tr>
    </w:tbl>
    <w:p w14:paraId="391C15F4" w14:textId="450E69FD" w:rsidR="00CE6D77" w:rsidRPr="00F8275B" w:rsidRDefault="00CE6D77" w:rsidP="00CE6D77">
      <w:pPr>
        <w:pStyle w:val="Tablelegend"/>
        <w:rPr>
          <w:lang w:val="es-ES"/>
        </w:rPr>
      </w:pPr>
      <w:r w:rsidRPr="00F8275B">
        <w:rPr>
          <w:lang w:val="es-ES"/>
        </w:rPr>
        <w:t>(*) Proyectos multirregionales en beneficio de todas las regiones.</w:t>
      </w:r>
    </w:p>
    <w:p w14:paraId="28D665BC" w14:textId="25393253" w:rsidR="00796DAF" w:rsidRPr="001C7358" w:rsidRDefault="00796DAF" w:rsidP="001C7358">
      <w:pPr>
        <w:pStyle w:val="Normalaftertitle"/>
        <w:rPr>
          <w:lang w:val="es-ES"/>
        </w:rPr>
      </w:pPr>
      <w:r w:rsidRPr="001C7358">
        <w:rPr>
          <w:lang w:val="es-ES"/>
        </w:rPr>
        <w:t xml:space="preserve">La </w:t>
      </w:r>
      <w:hyperlink r:id="rId178" w:anchor=":~:text=The%20ITU%20Area%20Office%20and,sustainable%20development%20in%20South%20Asia." w:history="1">
        <w:r w:rsidRPr="00F80A46">
          <w:rPr>
            <w:rStyle w:val="Hyperlink"/>
            <w:b/>
            <w:bCs/>
            <w:lang w:val="es-ES"/>
          </w:rPr>
          <w:t>Oficina Zonal y el Centro de Innovación de la UIT</w:t>
        </w:r>
      </w:hyperlink>
      <w:r w:rsidRPr="001C7358">
        <w:rPr>
          <w:lang w:val="es-ES"/>
        </w:rPr>
        <w:t xml:space="preserve"> fueron inaugurados oficialmente en Nueva Delhi (India) el 22 de marzo, ofreciendo una presencia mayor a la Unión Internacional de Telecomunicaciones (UIT) para promover las tecnologías y el desarrollo sostenible en Asia Meridional. La inclusión del primer centro de innovación de la UIT en el país hace que la nueva oficina en la capital de la India sea un centro de promoción de las tecnologías avanzadas en la región y fuera de ella.</w:t>
      </w:r>
    </w:p>
    <w:p w14:paraId="05830B2F" w14:textId="74B7E405" w:rsidR="00CE6D77" w:rsidRPr="00F8275B" w:rsidRDefault="0080647C" w:rsidP="00CE6D77">
      <w:pPr>
        <w:pStyle w:val="Heading1"/>
        <w:rPr>
          <w:lang w:val="es-ES"/>
        </w:rPr>
      </w:pPr>
      <w:bookmarkStart w:id="155" w:name="_Toc2070251363"/>
      <w:bookmarkStart w:id="156" w:name="_Toc164862538"/>
      <w:bookmarkStart w:id="157" w:name="_Toc165024968"/>
      <w:bookmarkStart w:id="158" w:name="_Toc166580893"/>
      <w:r w:rsidRPr="00F8275B">
        <w:rPr>
          <w:lang w:val="es-ES"/>
        </w:rPr>
        <w:t>9</w:t>
      </w:r>
      <w:r w:rsidR="00CE6D77" w:rsidRPr="00F8275B">
        <w:rPr>
          <w:lang w:val="es-ES"/>
        </w:rPr>
        <w:tab/>
        <w:t>Enfoque impulsado por los Miembros de la UIT</w:t>
      </w:r>
      <w:bookmarkEnd w:id="155"/>
      <w:bookmarkEnd w:id="156"/>
      <w:bookmarkEnd w:id="157"/>
      <w:bookmarkEnd w:id="158"/>
    </w:p>
    <w:p w14:paraId="0F50BFE0" w14:textId="74865A9D" w:rsidR="00CE6D77" w:rsidRPr="00F8275B" w:rsidRDefault="00CE6D77" w:rsidP="006C42CC">
      <w:pPr>
        <w:keepNext/>
        <w:keepLines/>
        <w:rPr>
          <w:lang w:val="es-ES"/>
        </w:rPr>
      </w:pPr>
      <w:r w:rsidRPr="00F8275B">
        <w:rPr>
          <w:lang w:val="es-ES"/>
        </w:rPr>
        <w:t>En primer lugar y ante todo, la UIT atiende las necesidades de sus 193</w:t>
      </w:r>
      <w:r w:rsidR="00B2120F" w:rsidRPr="00F8275B">
        <w:rPr>
          <w:lang w:val="es-ES"/>
        </w:rPr>
        <w:t> </w:t>
      </w:r>
      <w:r w:rsidRPr="00F8275B">
        <w:rPr>
          <w:lang w:val="es-ES"/>
        </w:rPr>
        <w:t>Estados Miembros, junto con las más de 1 000 empresas, organizaciones e instituciones académicas que participan como Miembros de Sector de la Unión. Este enfoque impulsado por los Miembros hace que la labor de la organización siga estando centrada en objetivos específicos, sea oportuna y pertinente, y ayude a responder a solicitudes o necesidades específicas cuando surgen.</w:t>
      </w:r>
    </w:p>
    <w:p w14:paraId="32BF4A7F" w14:textId="02798B59" w:rsidR="00133E13" w:rsidRPr="00F8275B" w:rsidRDefault="007C21D1" w:rsidP="006B4F24">
      <w:pPr>
        <w:pStyle w:val="Figure"/>
        <w:rPr>
          <w:lang w:val="es-ES"/>
        </w:rPr>
      </w:pPr>
      <w:r>
        <w:rPr>
          <w:noProof/>
        </w:rPr>
        <w:drawing>
          <wp:inline distT="0" distB="0" distL="0" distR="0" wp14:anchorId="0BE3745B" wp14:editId="280AFFF6">
            <wp:extent cx="5760085" cy="1316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5760085" cy="1316990"/>
                    </a:xfrm>
                    <a:prstGeom prst="rect">
                      <a:avLst/>
                    </a:prstGeom>
                  </pic:spPr>
                </pic:pic>
              </a:graphicData>
            </a:graphic>
          </wp:inline>
        </w:drawing>
      </w:r>
    </w:p>
    <w:p w14:paraId="7FE44C30" w14:textId="4DB3778C" w:rsidR="00CE6D77" w:rsidRPr="00F8275B" w:rsidRDefault="00CE6D77" w:rsidP="00CE6D77">
      <w:pPr>
        <w:pStyle w:val="Normalaftertitle"/>
        <w:rPr>
          <w:lang w:val="es-ES"/>
        </w:rPr>
      </w:pPr>
      <w:r w:rsidRPr="00F8275B">
        <w:rPr>
          <w:lang w:val="es-ES"/>
        </w:rPr>
        <w:t>La UIT alberga 989</w:t>
      </w:r>
      <w:r w:rsidR="002D0038" w:rsidRPr="00F8275B">
        <w:rPr>
          <w:lang w:val="es-ES"/>
        </w:rPr>
        <w:t> </w:t>
      </w:r>
      <w:r w:rsidRPr="00F8275B">
        <w:rPr>
          <w:lang w:val="es-ES"/>
        </w:rPr>
        <w:t xml:space="preserve">entidades miembros distintas (+93/+29 nuevas entidades netas en un año), ya sea como Miembros de Sector, Asociados o Instituciones académicas. Casi todos los Miembros nuevos procedían de nuevas entidades: </w:t>
      </w:r>
      <w:r w:rsidR="0080647C" w:rsidRPr="00F8275B">
        <w:rPr>
          <w:lang w:val="es-ES"/>
        </w:rPr>
        <w:t xml:space="preserve">108 </w:t>
      </w:r>
      <w:r w:rsidRPr="00F8275B">
        <w:rPr>
          <w:lang w:val="es-ES"/>
        </w:rPr>
        <w:t xml:space="preserve">nuevas entidades se sumaron a la organización en 2023 y </w:t>
      </w:r>
      <w:r w:rsidR="00B2120F" w:rsidRPr="00F8275B">
        <w:rPr>
          <w:lang w:val="es-ES"/>
        </w:rPr>
        <w:t>siete</w:t>
      </w:r>
      <w:r w:rsidR="002D0038" w:rsidRPr="00F8275B">
        <w:rPr>
          <w:lang w:val="es-ES"/>
        </w:rPr>
        <w:t> </w:t>
      </w:r>
      <w:r w:rsidRPr="00F8275B">
        <w:rPr>
          <w:lang w:val="es-ES"/>
        </w:rPr>
        <w:t>miembros ampliaron o actualizaron su afiliación.</w:t>
      </w:r>
    </w:p>
    <w:p w14:paraId="744BCDA3" w14:textId="72DE7AC7" w:rsidR="00CE6D77" w:rsidRPr="00F8275B" w:rsidRDefault="00CE6D77" w:rsidP="00B2120F">
      <w:pPr>
        <w:pStyle w:val="enumlev1"/>
        <w:rPr>
          <w:lang w:val="es-ES"/>
        </w:rPr>
      </w:pPr>
      <w:r w:rsidRPr="00F8275B">
        <w:rPr>
          <w:lang w:val="es-ES"/>
        </w:rPr>
        <w:t>•</w:t>
      </w:r>
      <w:r w:rsidRPr="00F8275B">
        <w:rPr>
          <w:lang w:val="es-ES"/>
        </w:rPr>
        <w:tab/>
        <w:t>En total, hay 1</w:t>
      </w:r>
      <w:r w:rsidR="002D0038" w:rsidRPr="00F8275B">
        <w:rPr>
          <w:lang w:val="es-ES"/>
        </w:rPr>
        <w:t> </w:t>
      </w:r>
      <w:r w:rsidRPr="00F8275B">
        <w:rPr>
          <w:lang w:val="es-ES"/>
        </w:rPr>
        <w:t>324</w:t>
      </w:r>
      <w:r w:rsidR="002D0038" w:rsidRPr="00F8275B">
        <w:rPr>
          <w:lang w:val="es-ES"/>
        </w:rPr>
        <w:t> </w:t>
      </w:r>
      <w:r w:rsidRPr="00F8275B">
        <w:rPr>
          <w:lang w:val="es-ES"/>
        </w:rPr>
        <w:t>Miembros de todos los Sectores: +108</w:t>
      </w:r>
      <w:r w:rsidR="002D0038" w:rsidRPr="00F8275B">
        <w:rPr>
          <w:lang w:val="es-ES"/>
        </w:rPr>
        <w:t> </w:t>
      </w:r>
      <w:r w:rsidRPr="00F8275B">
        <w:rPr>
          <w:lang w:val="es-ES"/>
        </w:rPr>
        <w:t xml:space="preserve">nuevos y </w:t>
      </w:r>
      <w:r w:rsidR="00B2120F" w:rsidRPr="00F8275B">
        <w:rPr>
          <w:lang w:val="es-ES"/>
        </w:rPr>
        <w:t>−</w:t>
      </w:r>
      <w:r w:rsidRPr="00F8275B">
        <w:rPr>
          <w:lang w:val="es-ES"/>
        </w:rPr>
        <w:t>66 que dejaron de ser Miembros o fueron excluidos.</w:t>
      </w:r>
    </w:p>
    <w:p w14:paraId="1B1CDE54" w14:textId="151D2D5A" w:rsidR="00CE6D77" w:rsidRPr="00F8275B" w:rsidRDefault="00CE6D77" w:rsidP="00CE6D77">
      <w:pPr>
        <w:pStyle w:val="enumlev1"/>
        <w:rPr>
          <w:lang w:val="es-ES"/>
        </w:rPr>
      </w:pPr>
      <w:r w:rsidRPr="00F8275B">
        <w:rPr>
          <w:lang w:val="es-ES"/>
        </w:rPr>
        <w:lastRenderedPageBreak/>
        <w:t>•</w:t>
      </w:r>
      <w:r w:rsidRPr="00F8275B">
        <w:rPr>
          <w:lang w:val="es-ES"/>
        </w:rPr>
        <w:tab/>
        <w:t xml:space="preserve">Los Miembros de Sector representaban el 48% de todos los Miembros nuevos (el 31% en 2022), los Asociados el 36% (el 46% en 2022) y las </w:t>
      </w:r>
      <w:r w:rsidR="00B2120F" w:rsidRPr="00F8275B">
        <w:rPr>
          <w:lang w:val="es-ES"/>
        </w:rPr>
        <w:t>i</w:t>
      </w:r>
      <w:r w:rsidRPr="00F8275B">
        <w:rPr>
          <w:lang w:val="es-ES"/>
        </w:rPr>
        <w:t>nstituciones académicas el 16% (el 23% en 2022).</w:t>
      </w:r>
    </w:p>
    <w:p w14:paraId="3D89F696" w14:textId="37BA7D38" w:rsidR="00CE6D77" w:rsidRPr="00F8275B" w:rsidRDefault="00CE6D77" w:rsidP="002D0038">
      <w:pPr>
        <w:pStyle w:val="enumlev1"/>
        <w:rPr>
          <w:lang w:val="es-ES"/>
        </w:rPr>
      </w:pPr>
      <w:r w:rsidRPr="00F8275B">
        <w:rPr>
          <w:lang w:val="es-ES"/>
        </w:rPr>
        <w:t>•</w:t>
      </w:r>
      <w:r w:rsidRPr="00F8275B">
        <w:rPr>
          <w:lang w:val="es-ES"/>
        </w:rPr>
        <w:tab/>
        <w:t>Tendencia positiva/estable en todos los sectores: el UIT-R (+15 nuevos Miembros netos), el UIT-T (+13 nuevos Miembros netos), el UIT-D (+15 nuevos Miembros netos) y las Instituciones académicas (</w:t>
      </w:r>
      <w:r w:rsidR="002D0038" w:rsidRPr="00F8275B">
        <w:rPr>
          <w:lang w:val="es-ES"/>
        </w:rPr>
        <w:t>−</w:t>
      </w:r>
      <w:r w:rsidRPr="00F8275B">
        <w:rPr>
          <w:lang w:val="es-ES"/>
        </w:rPr>
        <w:t>1 nuevo miembro neto).</w:t>
      </w:r>
    </w:p>
    <w:p w14:paraId="70C5A990" w14:textId="0917404E" w:rsidR="00CE6D77" w:rsidRPr="00F8275B" w:rsidRDefault="00CE6D77" w:rsidP="00CE6D77">
      <w:pPr>
        <w:pStyle w:val="enumlev1"/>
        <w:rPr>
          <w:lang w:val="es-ES"/>
        </w:rPr>
      </w:pPr>
      <w:r w:rsidRPr="00F8275B">
        <w:rPr>
          <w:lang w:val="es-ES"/>
        </w:rPr>
        <w:t>•</w:t>
      </w:r>
      <w:r w:rsidRPr="00F8275B">
        <w:rPr>
          <w:lang w:val="es-ES"/>
        </w:rPr>
        <w:tab/>
        <w:t>Cifras comparativas con 2022. Si bien el crecimiento del número de Miembros estaba dirigido por Europa (+22 nuevos Miembros netos) y Asia y el Pacífico (+16 nuevos Miembros netos), en 2023 se observó un crecimiento en casi todas las regiones: Américas (+12), Internacional (+12), Asia y el Pacífico (+10), Estados Árabes (+5), Europa (+4), y África (+2).</w:t>
      </w:r>
    </w:p>
    <w:p w14:paraId="6A06E7AE" w14:textId="517D1DA2" w:rsidR="00CE6D77" w:rsidRPr="00F8275B" w:rsidRDefault="00CE6D77" w:rsidP="00CE6D77">
      <w:pPr>
        <w:pStyle w:val="enumlev1"/>
        <w:rPr>
          <w:lang w:val="es-ES"/>
        </w:rPr>
      </w:pPr>
      <w:r w:rsidRPr="00F8275B">
        <w:rPr>
          <w:lang w:val="es-ES"/>
        </w:rPr>
        <w:t>•</w:t>
      </w:r>
      <w:r w:rsidRPr="00F8275B">
        <w:rPr>
          <w:lang w:val="es-ES"/>
        </w:rPr>
        <w:tab/>
        <w:t>La contribución prevista aumentó solo ligeramente hasta más de 17</w:t>
      </w:r>
      <w:r w:rsidR="002D0038" w:rsidRPr="00F8275B">
        <w:rPr>
          <w:lang w:val="es-ES"/>
        </w:rPr>
        <w:t> </w:t>
      </w:r>
      <w:r w:rsidRPr="00F8275B">
        <w:rPr>
          <w:lang w:val="es-ES"/>
        </w:rPr>
        <w:t>millones</w:t>
      </w:r>
      <w:r w:rsidR="002D0038" w:rsidRPr="00F8275B">
        <w:rPr>
          <w:lang w:val="es-ES"/>
        </w:rPr>
        <w:t> </w:t>
      </w:r>
      <w:r w:rsidRPr="00F8275B">
        <w:rPr>
          <w:lang w:val="es-ES"/>
        </w:rPr>
        <w:t>CHF, a pesar del neto aumento del número de Miembros. Esto se debe al incremento del número de Miembros sujetos a cuotas reducidas y exentos del pago de cuotas. Sin embargo, en 2023 se produjo un incremento alentador del número de Miembros de Sector que pagaban media unidad contributiva (+8 nuevos Miembros netos).</w:t>
      </w:r>
    </w:p>
    <w:p w14:paraId="25F2ED7B" w14:textId="1F9A0FF8" w:rsidR="00CE6D77" w:rsidRPr="00F8275B" w:rsidRDefault="00CE6D77" w:rsidP="00CE6D77">
      <w:pPr>
        <w:pStyle w:val="enumlev1"/>
        <w:rPr>
          <w:lang w:val="es-ES"/>
        </w:rPr>
      </w:pPr>
      <w:r w:rsidRPr="00F8275B">
        <w:rPr>
          <w:lang w:val="es-ES"/>
        </w:rPr>
        <w:t>•</w:t>
      </w:r>
      <w:r w:rsidRPr="00F8275B">
        <w:rPr>
          <w:lang w:val="es-ES"/>
        </w:rPr>
        <w:tab/>
        <w:t>La comunidad de pymes está aumentando, a pesar de hacerlo a un ritmo ligeramente reducido en comparación con 2022. Asociados que pueden abonar la cuota reducida para pymes (disponible desde enero de 2020): 88 Miembros (66 del UIT-T y 22</w:t>
      </w:r>
      <w:r w:rsidR="001A500C" w:rsidRPr="00F8275B">
        <w:rPr>
          <w:lang w:val="es-ES"/>
        </w:rPr>
        <w:t> </w:t>
      </w:r>
      <w:r w:rsidRPr="00F8275B">
        <w:rPr>
          <w:lang w:val="es-ES"/>
        </w:rPr>
        <w:t>del UIT</w:t>
      </w:r>
      <w:r w:rsidRPr="00F8275B">
        <w:rPr>
          <w:lang w:val="es-ES"/>
        </w:rPr>
        <w:noBreakHyphen/>
        <w:t>R) se han beneficiado de la cuota reducida +15 nuevas entidades netas en</w:t>
      </w:r>
      <w:r w:rsidR="00B2120F" w:rsidRPr="00F8275B">
        <w:rPr>
          <w:lang w:val="es-ES"/>
        </w:rPr>
        <w:t> </w:t>
      </w:r>
      <w:r w:rsidRPr="00F8275B">
        <w:rPr>
          <w:lang w:val="es-ES"/>
        </w:rPr>
        <w:t>2023 (+24 nuevas entidades netas en 2022).</w:t>
      </w:r>
    </w:p>
    <w:p w14:paraId="738D5768" w14:textId="496C44AC" w:rsidR="00CE6D77" w:rsidRPr="00F8275B" w:rsidRDefault="00CE6D77" w:rsidP="006C42CC">
      <w:pPr>
        <w:keepNext/>
        <w:keepLines/>
        <w:rPr>
          <w:lang w:val="es-ES"/>
        </w:rPr>
      </w:pPr>
      <w:r w:rsidRPr="00F8275B">
        <w:rPr>
          <w:u w:val="single"/>
          <w:lang w:val="es-ES"/>
        </w:rPr>
        <w:t>Perspectivas para 2024</w:t>
      </w:r>
      <w:r w:rsidR="00E76F80" w:rsidRPr="00F8275B">
        <w:rPr>
          <w:lang w:val="es-ES"/>
        </w:rPr>
        <w:t>:</w:t>
      </w:r>
    </w:p>
    <w:p w14:paraId="105F14D0" w14:textId="26CF29CB" w:rsidR="00CE6D77" w:rsidRPr="00F8275B" w:rsidRDefault="00CE6D77" w:rsidP="00CE6D77">
      <w:pPr>
        <w:pStyle w:val="enumlev1"/>
        <w:rPr>
          <w:lang w:val="es-ES"/>
        </w:rPr>
      </w:pPr>
      <w:r w:rsidRPr="00F8275B">
        <w:rPr>
          <w:lang w:val="es-ES"/>
        </w:rPr>
        <w:t>•</w:t>
      </w:r>
      <w:r w:rsidRPr="00F8275B">
        <w:rPr>
          <w:lang w:val="es-ES"/>
        </w:rPr>
        <w:tab/>
        <w:t>Muchas perspectivas en camino: 66</w:t>
      </w:r>
      <w:r w:rsidR="00783087" w:rsidRPr="00F8275B">
        <w:rPr>
          <w:lang w:val="es-ES"/>
        </w:rPr>
        <w:t> </w:t>
      </w:r>
      <w:r w:rsidRPr="00F8275B">
        <w:rPr>
          <w:lang w:val="es-ES"/>
        </w:rPr>
        <w:t>candidaturas se encuentran en proceso de aprobación administrativa y 31 a la espera del pago.</w:t>
      </w:r>
    </w:p>
    <w:p w14:paraId="2AAE35EC" w14:textId="77777777" w:rsidR="00CE6D77" w:rsidRPr="00F8275B" w:rsidRDefault="00CE6D77" w:rsidP="00CE6D77">
      <w:pPr>
        <w:pStyle w:val="enumlev1"/>
        <w:rPr>
          <w:lang w:val="es-ES"/>
        </w:rPr>
      </w:pPr>
      <w:r w:rsidRPr="00F8275B">
        <w:rPr>
          <w:lang w:val="es-ES"/>
        </w:rPr>
        <w:t>•</w:t>
      </w:r>
      <w:r w:rsidRPr="00F8275B">
        <w:rPr>
          <w:lang w:val="es-ES"/>
        </w:rPr>
        <w:tab/>
        <w:t>La retención sigue siendo un desafío: la UIT perdió a 66 Miembros en 2023.</w:t>
      </w:r>
    </w:p>
    <w:p w14:paraId="785767B6" w14:textId="5993645B" w:rsidR="00CE6D77" w:rsidRPr="00F8275B" w:rsidRDefault="00CE6D77" w:rsidP="00CE6D77">
      <w:pPr>
        <w:rPr>
          <w:lang w:val="es-ES"/>
        </w:rPr>
      </w:pPr>
      <w:r w:rsidRPr="00F8275B">
        <w:rPr>
          <w:u w:val="single"/>
          <w:lang w:val="es-ES"/>
        </w:rPr>
        <w:t>Riesgos financieros</w:t>
      </w:r>
      <w:r w:rsidR="00E76F80" w:rsidRPr="00F8275B">
        <w:rPr>
          <w:lang w:val="es-ES"/>
        </w:rPr>
        <w:t>:</w:t>
      </w:r>
    </w:p>
    <w:p w14:paraId="4C32AE2C" w14:textId="1FC3181C" w:rsidR="00CE6D77" w:rsidRPr="00F8275B" w:rsidRDefault="00CE6D77" w:rsidP="00CE6D77">
      <w:pPr>
        <w:pStyle w:val="enumlev1"/>
        <w:rPr>
          <w:lang w:val="es-ES"/>
        </w:rPr>
      </w:pPr>
      <w:r w:rsidRPr="00F8275B">
        <w:rPr>
          <w:lang w:val="es-ES"/>
        </w:rPr>
        <w:t>•</w:t>
      </w:r>
      <w:r w:rsidRPr="00F8275B">
        <w:rPr>
          <w:lang w:val="es-ES"/>
        </w:rPr>
        <w:tab/>
        <w:t>Hay 130</w:t>
      </w:r>
      <w:r w:rsidR="002D0038" w:rsidRPr="00F8275B">
        <w:rPr>
          <w:lang w:val="es-ES"/>
        </w:rPr>
        <w:t> </w:t>
      </w:r>
      <w:r w:rsidRPr="00F8275B">
        <w:rPr>
          <w:lang w:val="es-ES"/>
        </w:rPr>
        <w:t>entidades miembros que representan el 50% de los ingresos recaudados en concepto de cuotas de afiliación, por un total de 8,5</w:t>
      </w:r>
      <w:r w:rsidR="002D0038" w:rsidRPr="00F8275B">
        <w:rPr>
          <w:lang w:val="es-ES"/>
        </w:rPr>
        <w:t> </w:t>
      </w:r>
      <w:r w:rsidRPr="00F8275B">
        <w:rPr>
          <w:lang w:val="es-ES"/>
        </w:rPr>
        <w:t>millones</w:t>
      </w:r>
      <w:r w:rsidR="002D0038" w:rsidRPr="00F8275B">
        <w:rPr>
          <w:lang w:val="es-ES"/>
        </w:rPr>
        <w:t> </w:t>
      </w:r>
      <w:r w:rsidRPr="00F8275B">
        <w:rPr>
          <w:lang w:val="es-ES"/>
        </w:rPr>
        <w:t>CHF.</w:t>
      </w:r>
    </w:p>
    <w:p w14:paraId="4F50ADF8" w14:textId="529822C6" w:rsidR="00CE6D77" w:rsidRPr="00F8275B" w:rsidRDefault="00CE6D77" w:rsidP="00CE6D77">
      <w:pPr>
        <w:pStyle w:val="enumlev1"/>
        <w:rPr>
          <w:lang w:val="es-ES"/>
        </w:rPr>
      </w:pPr>
      <w:r w:rsidRPr="00F8275B">
        <w:rPr>
          <w:lang w:val="es-ES"/>
        </w:rPr>
        <w:t>•</w:t>
      </w:r>
      <w:r w:rsidRPr="00F8275B">
        <w:rPr>
          <w:lang w:val="es-ES"/>
        </w:rPr>
        <w:tab/>
        <w:t>En total, 38</w:t>
      </w:r>
      <w:r w:rsidR="002D0038" w:rsidRPr="00F8275B">
        <w:rPr>
          <w:lang w:val="es-ES"/>
        </w:rPr>
        <w:t> </w:t>
      </w:r>
      <w:r w:rsidRPr="00F8275B">
        <w:rPr>
          <w:lang w:val="es-ES"/>
        </w:rPr>
        <w:t>Miembros quedaron suspendidos y 25</w:t>
      </w:r>
      <w:r w:rsidR="002D0038" w:rsidRPr="00F8275B">
        <w:rPr>
          <w:lang w:val="es-ES"/>
        </w:rPr>
        <w:t> </w:t>
      </w:r>
      <w:r w:rsidRPr="00F8275B">
        <w:rPr>
          <w:lang w:val="es-ES"/>
        </w:rPr>
        <w:t>congelados, por un total de 582 000 CHF.</w:t>
      </w:r>
    </w:p>
    <w:p w14:paraId="5194F3A9" w14:textId="639D8158" w:rsidR="00EE528C" w:rsidRDefault="00307CDA" w:rsidP="00EE528C">
      <w:pPr>
        <w:pStyle w:val="Figure"/>
        <w:rPr>
          <w:lang w:val="es-ES"/>
        </w:rPr>
      </w:pPr>
      <w:r>
        <w:rPr>
          <w:noProof/>
        </w:rPr>
        <w:lastRenderedPageBreak/>
        <w:drawing>
          <wp:inline distT="0" distB="0" distL="0" distR="0" wp14:anchorId="2C77FDF6" wp14:editId="468B7B70">
            <wp:extent cx="5760085" cy="3193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5760085" cy="3193415"/>
                    </a:xfrm>
                    <a:prstGeom prst="rect">
                      <a:avLst/>
                    </a:prstGeom>
                  </pic:spPr>
                </pic:pic>
              </a:graphicData>
            </a:graphic>
          </wp:inline>
        </w:drawing>
      </w:r>
    </w:p>
    <w:p w14:paraId="50DD6B32" w14:textId="02C7578C" w:rsidR="00796DAF" w:rsidRPr="007579FF" w:rsidRDefault="00796DAF" w:rsidP="007579FF">
      <w:pPr>
        <w:pStyle w:val="Heading1"/>
      </w:pPr>
      <w:bookmarkStart w:id="159" w:name="_Toc166046577"/>
      <w:bookmarkStart w:id="160" w:name="_Toc166580894"/>
      <w:r w:rsidRPr="007579FF">
        <w:t>10</w:t>
      </w:r>
      <w:r w:rsidRPr="007579FF">
        <w:tab/>
        <w:t>Aplicación de las Resoluciones de la Conferencia de Plenipotenciarios</w:t>
      </w:r>
      <w:bookmarkEnd w:id="159"/>
      <w:bookmarkEnd w:id="160"/>
    </w:p>
    <w:p w14:paraId="596630EF" w14:textId="51F01C61" w:rsidR="00796DAF" w:rsidRPr="007579FF" w:rsidRDefault="00796DAF" w:rsidP="007579FF">
      <w:pPr>
        <w:rPr>
          <w:b/>
          <w:bCs/>
          <w:lang w:val="es-ES"/>
        </w:rPr>
      </w:pPr>
      <w:r w:rsidRPr="007579FF">
        <w:rPr>
          <w:b/>
          <w:bCs/>
          <w:lang w:val="es-ES"/>
        </w:rPr>
        <w:t xml:space="preserve">El estado de aplicación de las Resoluciones de la PP puede consultarse en la plataforma web dedicada a tales efectos </w:t>
      </w:r>
      <w:hyperlink r:id="rId181" w:history="1">
        <w:r w:rsidRPr="001C7358">
          <w:rPr>
            <w:rStyle w:val="Hyperlink"/>
            <w:b/>
            <w:bCs/>
            <w:lang w:val="es-ES"/>
          </w:rPr>
          <w:t>aquí</w:t>
        </w:r>
      </w:hyperlink>
      <w:r w:rsidRPr="007579FF">
        <w:rPr>
          <w:b/>
          <w:bCs/>
          <w:lang w:val="es-ES"/>
        </w:rPr>
        <w:t>.</w:t>
      </w:r>
    </w:p>
    <w:p w14:paraId="3D2429FB" w14:textId="77777777" w:rsidR="008D0FEF" w:rsidRPr="00F8275B" w:rsidRDefault="008D0FEF" w:rsidP="008D0FEF">
      <w:pPr>
        <w:spacing w:before="0"/>
        <w:rPr>
          <w:lang w:val="es-ES"/>
        </w:rPr>
      </w:pPr>
    </w:p>
    <w:p w14:paraId="2B380B5A" w14:textId="03B4761F" w:rsidR="00CE6D77" w:rsidRPr="00F8275B" w:rsidRDefault="00CE6D77" w:rsidP="00CE6D77">
      <w:pPr>
        <w:jc w:val="center"/>
        <w:rPr>
          <w:lang w:val="es-ES"/>
        </w:rPr>
      </w:pPr>
      <w:r w:rsidRPr="00F8275B">
        <w:rPr>
          <w:lang w:val="es-ES"/>
        </w:rPr>
        <w:t>______________</w:t>
      </w:r>
    </w:p>
    <w:sectPr w:rsidR="00CE6D77" w:rsidRPr="00F8275B" w:rsidSect="0010593D">
      <w:headerReference w:type="default" r:id="rId182"/>
      <w:footerReference w:type="default" r:id="rId183"/>
      <w:headerReference w:type="first" r:id="rId184"/>
      <w:footerReference w:type="first" r:id="rId185"/>
      <w:pgSz w:w="11907" w:h="16834"/>
      <w:pgMar w:top="1418" w:right="1418" w:bottom="1418" w:left="1418" w:header="720" w:footer="720" w:gutter="0"/>
      <w:paperSrc w:first="286" w:other="286"/>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C178" w14:textId="77777777" w:rsidR="007B737E" w:rsidRDefault="007B737E">
      <w:r>
        <w:separator/>
      </w:r>
    </w:p>
  </w:endnote>
  <w:endnote w:type="continuationSeparator" w:id="0">
    <w:p w14:paraId="532CAEDD" w14:textId="77777777" w:rsidR="007B737E" w:rsidRDefault="007B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26297" w:rsidRPr="00784011" w14:paraId="79DB5C18" w14:textId="77777777" w:rsidTr="00DC7C49">
      <w:trPr>
        <w:jc w:val="center"/>
      </w:trPr>
      <w:tc>
        <w:tcPr>
          <w:tcW w:w="1803" w:type="dxa"/>
          <w:vAlign w:val="center"/>
        </w:tcPr>
        <w:p w14:paraId="06DEECE3" w14:textId="0E71EF12" w:rsidR="00D26297" w:rsidRDefault="00D26297" w:rsidP="003273A4">
          <w:pPr>
            <w:pStyle w:val="Header"/>
            <w:jc w:val="left"/>
            <w:rPr>
              <w:noProof/>
            </w:rPr>
          </w:pPr>
          <w:r w:rsidRPr="00CE6D77">
            <w:rPr>
              <w:noProof/>
            </w:rPr>
            <w:t>2400570</w:t>
          </w:r>
        </w:p>
      </w:tc>
      <w:tc>
        <w:tcPr>
          <w:tcW w:w="8261" w:type="dxa"/>
        </w:tcPr>
        <w:p w14:paraId="31328314" w14:textId="4E4C8184" w:rsidR="00D26297" w:rsidRPr="00E06FD5" w:rsidRDefault="00D26297"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35</w:t>
          </w:r>
          <w:r w:rsidRPr="00623AE3">
            <w:rPr>
              <w:bCs/>
            </w:rPr>
            <w:t>-</w:t>
          </w:r>
          <w:r>
            <w:rPr>
              <w:bCs/>
            </w:rPr>
            <w:t>S</w:t>
          </w:r>
          <w:r>
            <w:rPr>
              <w:bCs/>
            </w:rPr>
            <w:tab/>
          </w:r>
          <w:r>
            <w:fldChar w:fldCharType="begin"/>
          </w:r>
          <w:r>
            <w:instrText>PAGE</w:instrText>
          </w:r>
          <w:r>
            <w:fldChar w:fldCharType="separate"/>
          </w:r>
          <w:r w:rsidR="00133E13">
            <w:rPr>
              <w:noProof/>
            </w:rPr>
            <w:t>v</w:t>
          </w:r>
          <w:r>
            <w:rPr>
              <w:noProof/>
            </w:rPr>
            <w:fldChar w:fldCharType="end"/>
          </w:r>
        </w:p>
      </w:tc>
    </w:tr>
  </w:tbl>
  <w:p w14:paraId="6F691002" w14:textId="77777777" w:rsidR="00D26297" w:rsidRPr="003273A4" w:rsidRDefault="00D26297"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26297" w:rsidRPr="00784011" w14:paraId="4A8F164E" w14:textId="77777777" w:rsidTr="00DC7C49">
      <w:trPr>
        <w:jc w:val="center"/>
      </w:trPr>
      <w:tc>
        <w:tcPr>
          <w:tcW w:w="1803" w:type="dxa"/>
          <w:vAlign w:val="center"/>
        </w:tcPr>
        <w:p w14:paraId="00FA64BD" w14:textId="4747333A" w:rsidR="00D26297" w:rsidRDefault="00D26297" w:rsidP="00F24B71">
          <w:pPr>
            <w:pStyle w:val="Header"/>
            <w:jc w:val="left"/>
            <w:rPr>
              <w:noProof/>
            </w:rPr>
          </w:pPr>
          <w:r w:rsidRPr="0064481D">
            <w:rPr>
              <w:color w:val="0563C1"/>
              <w:szCs w:val="14"/>
            </w:rPr>
            <w:t>www.itu.int/council</w:t>
          </w:r>
        </w:p>
      </w:tc>
      <w:tc>
        <w:tcPr>
          <w:tcW w:w="8261" w:type="dxa"/>
        </w:tcPr>
        <w:p w14:paraId="20F74E99" w14:textId="2569B27C" w:rsidR="00D26297" w:rsidRPr="00E06FD5" w:rsidRDefault="00D26297"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35</w:t>
          </w:r>
          <w:r w:rsidRPr="00623AE3">
            <w:rPr>
              <w:bCs/>
            </w:rPr>
            <w:t>-</w:t>
          </w:r>
          <w:r>
            <w:rPr>
              <w:bCs/>
            </w:rPr>
            <w:t>S</w:t>
          </w:r>
          <w:r>
            <w:rPr>
              <w:bCs/>
            </w:rPr>
            <w:tab/>
          </w:r>
          <w:r>
            <w:fldChar w:fldCharType="begin"/>
          </w:r>
          <w:r>
            <w:instrText>PAGE</w:instrText>
          </w:r>
          <w:r>
            <w:fldChar w:fldCharType="separate"/>
          </w:r>
          <w:r w:rsidR="00133E13">
            <w:rPr>
              <w:noProof/>
            </w:rPr>
            <w:t>i</w:t>
          </w:r>
          <w:r>
            <w:rPr>
              <w:noProof/>
            </w:rPr>
            <w:fldChar w:fldCharType="end"/>
          </w:r>
        </w:p>
      </w:tc>
    </w:tr>
  </w:tbl>
  <w:p w14:paraId="6E5781B1" w14:textId="77777777" w:rsidR="00D26297" w:rsidRPr="00F24B71" w:rsidRDefault="00D26297"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26297" w:rsidRPr="00784011" w14:paraId="663E5874" w14:textId="77777777" w:rsidTr="00DC7C49">
      <w:trPr>
        <w:jc w:val="center"/>
      </w:trPr>
      <w:tc>
        <w:tcPr>
          <w:tcW w:w="1803" w:type="dxa"/>
          <w:vAlign w:val="center"/>
        </w:tcPr>
        <w:p w14:paraId="7CC2CBC0" w14:textId="77777777" w:rsidR="00D26297" w:rsidRDefault="00D26297" w:rsidP="00DC7C49">
          <w:pPr>
            <w:pStyle w:val="Header"/>
            <w:jc w:val="left"/>
            <w:rPr>
              <w:noProof/>
            </w:rPr>
          </w:pPr>
          <w:r>
            <w:rPr>
              <w:noProof/>
            </w:rPr>
            <w:t>2400570</w:t>
          </w:r>
        </w:p>
      </w:tc>
      <w:tc>
        <w:tcPr>
          <w:tcW w:w="8261" w:type="dxa"/>
        </w:tcPr>
        <w:p w14:paraId="580F83C1" w14:textId="77777777" w:rsidR="00D26297" w:rsidRPr="00E06FD5" w:rsidRDefault="00D26297" w:rsidP="00DC7C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35</w:t>
          </w:r>
          <w:r w:rsidRPr="00623AE3">
            <w:rPr>
              <w:bCs/>
            </w:rPr>
            <w:t>-</w:t>
          </w:r>
          <w:r>
            <w:rPr>
              <w:bCs/>
            </w:rPr>
            <w:t>S</w:t>
          </w:r>
          <w:r>
            <w:rPr>
              <w:bCs/>
            </w:rPr>
            <w:tab/>
          </w:r>
          <w:r>
            <w:fldChar w:fldCharType="begin"/>
          </w:r>
          <w:r>
            <w:instrText>PAGE</w:instrText>
          </w:r>
          <w:r>
            <w:fldChar w:fldCharType="separate"/>
          </w:r>
          <w:r w:rsidR="00133E13">
            <w:rPr>
              <w:noProof/>
            </w:rPr>
            <w:t>48</w:t>
          </w:r>
          <w:r>
            <w:rPr>
              <w:noProof/>
            </w:rPr>
            <w:fldChar w:fldCharType="end"/>
          </w:r>
        </w:p>
      </w:tc>
    </w:tr>
  </w:tbl>
  <w:p w14:paraId="00D45614" w14:textId="77777777" w:rsidR="00D26297" w:rsidRPr="00470615" w:rsidRDefault="00D26297" w:rsidP="00DC7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26297" w:rsidRPr="00784011" w14:paraId="6DF8D155" w14:textId="77777777" w:rsidTr="00DC7C49">
      <w:trPr>
        <w:jc w:val="center"/>
      </w:trPr>
      <w:tc>
        <w:tcPr>
          <w:tcW w:w="1803" w:type="dxa"/>
          <w:vAlign w:val="center"/>
        </w:tcPr>
        <w:p w14:paraId="7CF63097" w14:textId="77777777" w:rsidR="00D26297" w:rsidRDefault="00D26297" w:rsidP="00DC7C49">
          <w:pPr>
            <w:pStyle w:val="Header"/>
            <w:jc w:val="left"/>
            <w:rPr>
              <w:noProof/>
            </w:rPr>
          </w:pPr>
          <w:r>
            <w:rPr>
              <w:noProof/>
            </w:rPr>
            <w:t>2400570</w:t>
          </w:r>
        </w:p>
      </w:tc>
      <w:tc>
        <w:tcPr>
          <w:tcW w:w="8261" w:type="dxa"/>
        </w:tcPr>
        <w:p w14:paraId="0BB305F9" w14:textId="77777777" w:rsidR="00D26297" w:rsidRPr="00E06FD5" w:rsidRDefault="00D26297" w:rsidP="00DC7C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35</w:t>
          </w:r>
          <w:r w:rsidRPr="00623AE3">
            <w:rPr>
              <w:bCs/>
            </w:rPr>
            <w:t>-</w:t>
          </w:r>
          <w:r>
            <w:rPr>
              <w:bCs/>
            </w:rPr>
            <w:t>S</w:t>
          </w:r>
          <w:r>
            <w:rPr>
              <w:bCs/>
            </w:rPr>
            <w:tab/>
          </w:r>
          <w:r>
            <w:fldChar w:fldCharType="begin"/>
          </w:r>
          <w:r>
            <w:instrText>PAGE</w:instrText>
          </w:r>
          <w:r>
            <w:fldChar w:fldCharType="separate"/>
          </w:r>
          <w:r w:rsidR="00133E13">
            <w:rPr>
              <w:noProof/>
            </w:rPr>
            <w:t>1</w:t>
          </w:r>
          <w:r>
            <w:rPr>
              <w:noProof/>
            </w:rPr>
            <w:fldChar w:fldCharType="end"/>
          </w:r>
        </w:p>
      </w:tc>
    </w:tr>
  </w:tbl>
  <w:p w14:paraId="7D83ACB3" w14:textId="77777777" w:rsidR="00D26297" w:rsidRPr="00B52155" w:rsidRDefault="00D26297" w:rsidP="00DC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50A9" w14:textId="77777777" w:rsidR="007B737E" w:rsidRDefault="007B737E">
      <w:r>
        <w:t>____________________</w:t>
      </w:r>
    </w:p>
  </w:footnote>
  <w:footnote w:type="continuationSeparator" w:id="0">
    <w:p w14:paraId="05204979" w14:textId="77777777" w:rsidR="007B737E" w:rsidRDefault="007B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10E" w14:textId="448BCE06" w:rsidR="00D26297" w:rsidRPr="001A500C" w:rsidRDefault="00D26297" w:rsidP="001A500C">
    <w:pPr>
      <w:pStyle w:val="Header"/>
      <w:rPr>
        <w:color w:val="0F5288"/>
        <w:lang w:val="es-ES"/>
      </w:rPr>
    </w:pPr>
    <w:r w:rsidRPr="001A500C">
      <w:rPr>
        <w:color w:val="0F5288"/>
        <w:lang w:val="es-ES"/>
      </w:rPr>
      <w:t>Informe sobre la aplicación del Plan Estratégico y las actividades de la Unión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26297" w:rsidRPr="00784011" w14:paraId="76B6746D" w14:textId="77777777" w:rsidTr="00DC7C49">
      <w:trPr>
        <w:trHeight w:val="1104"/>
        <w:jc w:val="center"/>
      </w:trPr>
      <w:tc>
        <w:tcPr>
          <w:tcW w:w="4390" w:type="dxa"/>
          <w:vAlign w:val="center"/>
        </w:tcPr>
        <w:p w14:paraId="60B7BDEF" w14:textId="13E11BFA" w:rsidR="00D26297" w:rsidRPr="009621F8" w:rsidRDefault="00D26297" w:rsidP="001559F5">
          <w:pPr>
            <w:pStyle w:val="Header"/>
            <w:jc w:val="left"/>
            <w:rPr>
              <w:rFonts w:ascii="Arial" w:hAnsi="Arial" w:cs="Arial"/>
              <w:b/>
              <w:bCs/>
              <w:color w:val="009CD6"/>
              <w:sz w:val="36"/>
              <w:szCs w:val="36"/>
            </w:rPr>
          </w:pPr>
          <w:bookmarkStart w:id="4" w:name="_Hlk133422111"/>
          <w:r>
            <w:rPr>
              <w:noProof/>
              <w:lang w:val="es-ES" w:eastAsia="es-ES"/>
            </w:rPr>
            <w:drawing>
              <wp:inline distT="0" distB="0" distL="0" distR="0" wp14:anchorId="609EF78D" wp14:editId="2F51CA14">
                <wp:extent cx="2368800" cy="55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D26297" w:rsidRDefault="00D26297" w:rsidP="001559F5">
          <w:pPr>
            <w:pStyle w:val="Header"/>
            <w:jc w:val="right"/>
            <w:rPr>
              <w:rFonts w:ascii="Arial" w:hAnsi="Arial" w:cs="Arial"/>
              <w:b/>
              <w:bCs/>
              <w:color w:val="009CD6"/>
              <w:szCs w:val="18"/>
            </w:rPr>
          </w:pPr>
        </w:p>
        <w:p w14:paraId="501B8413" w14:textId="77777777" w:rsidR="00D26297" w:rsidRDefault="00D26297" w:rsidP="001559F5">
          <w:pPr>
            <w:pStyle w:val="Header"/>
            <w:jc w:val="right"/>
            <w:rPr>
              <w:rFonts w:ascii="Arial" w:hAnsi="Arial" w:cs="Arial"/>
              <w:b/>
              <w:bCs/>
              <w:color w:val="009CD6"/>
              <w:szCs w:val="18"/>
            </w:rPr>
          </w:pPr>
        </w:p>
        <w:p w14:paraId="4AA6A937" w14:textId="77777777" w:rsidR="00D26297" w:rsidRPr="00784011" w:rsidRDefault="00D26297"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509D6472" w14:textId="77777777" w:rsidR="00D26297" w:rsidRDefault="00D26297">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F0A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F38C" w14:textId="77777777" w:rsidR="00D26297" w:rsidRPr="001A500C" w:rsidRDefault="00D26297" w:rsidP="00DC7C49">
    <w:pPr>
      <w:pStyle w:val="Header"/>
      <w:rPr>
        <w:color w:val="0F5288"/>
        <w:lang w:val="es-ES"/>
      </w:rPr>
    </w:pPr>
    <w:r w:rsidRPr="001A500C">
      <w:rPr>
        <w:color w:val="0F5288"/>
        <w:lang w:val="es-ES"/>
      </w:rPr>
      <w:t>Informe sobre la aplicación del Plan Estratégico y las actividades de la Unión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E033" w14:textId="77777777" w:rsidR="00D26297" w:rsidRPr="001A500C" w:rsidRDefault="00D26297" w:rsidP="00DC7C49">
    <w:pPr>
      <w:pStyle w:val="Header"/>
      <w:rPr>
        <w:color w:val="0F5288"/>
        <w:lang w:val="es-ES"/>
      </w:rPr>
    </w:pPr>
    <w:r w:rsidRPr="001A500C">
      <w:rPr>
        <w:color w:val="0F5288"/>
        <w:lang w:val="es-ES"/>
      </w:rPr>
      <w:t>Informe sobre la aplicación del Plan Estratégico y las actividades de la Unión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48185"/>
    <w:multiLevelType w:val="hybridMultilevel"/>
    <w:tmpl w:val="FFFFFFFF"/>
    <w:lvl w:ilvl="0" w:tplc="2334FD52">
      <w:start w:val="1"/>
      <w:numFmt w:val="bullet"/>
      <w:lvlText w:val="·"/>
      <w:lvlJc w:val="left"/>
      <w:pPr>
        <w:ind w:left="720" w:hanging="360"/>
      </w:pPr>
      <w:rPr>
        <w:rFonts w:ascii="Symbol" w:hAnsi="Symbol" w:hint="default"/>
      </w:rPr>
    </w:lvl>
    <w:lvl w:ilvl="1" w:tplc="B6EC1B52">
      <w:start w:val="1"/>
      <w:numFmt w:val="bullet"/>
      <w:lvlText w:val="o"/>
      <w:lvlJc w:val="left"/>
      <w:pPr>
        <w:ind w:left="1440" w:hanging="360"/>
      </w:pPr>
      <w:rPr>
        <w:rFonts w:ascii="Courier New" w:hAnsi="Courier New" w:hint="default"/>
      </w:rPr>
    </w:lvl>
    <w:lvl w:ilvl="2" w:tplc="7EC82660">
      <w:start w:val="1"/>
      <w:numFmt w:val="bullet"/>
      <w:lvlText w:val=""/>
      <w:lvlJc w:val="left"/>
      <w:pPr>
        <w:ind w:left="2160" w:hanging="360"/>
      </w:pPr>
      <w:rPr>
        <w:rFonts w:ascii="Wingdings" w:hAnsi="Wingdings" w:hint="default"/>
      </w:rPr>
    </w:lvl>
    <w:lvl w:ilvl="3" w:tplc="7BB8A5F8">
      <w:start w:val="1"/>
      <w:numFmt w:val="bullet"/>
      <w:lvlText w:val=""/>
      <w:lvlJc w:val="left"/>
      <w:pPr>
        <w:ind w:left="2880" w:hanging="360"/>
      </w:pPr>
      <w:rPr>
        <w:rFonts w:ascii="Symbol" w:hAnsi="Symbol" w:hint="default"/>
      </w:rPr>
    </w:lvl>
    <w:lvl w:ilvl="4" w:tplc="98EAD82C">
      <w:start w:val="1"/>
      <w:numFmt w:val="bullet"/>
      <w:lvlText w:val="o"/>
      <w:lvlJc w:val="left"/>
      <w:pPr>
        <w:ind w:left="3600" w:hanging="360"/>
      </w:pPr>
      <w:rPr>
        <w:rFonts w:ascii="Courier New" w:hAnsi="Courier New" w:hint="default"/>
      </w:rPr>
    </w:lvl>
    <w:lvl w:ilvl="5" w:tplc="C09E0426">
      <w:start w:val="1"/>
      <w:numFmt w:val="bullet"/>
      <w:lvlText w:val=""/>
      <w:lvlJc w:val="left"/>
      <w:pPr>
        <w:ind w:left="4320" w:hanging="360"/>
      </w:pPr>
      <w:rPr>
        <w:rFonts w:ascii="Wingdings" w:hAnsi="Wingdings" w:hint="default"/>
      </w:rPr>
    </w:lvl>
    <w:lvl w:ilvl="6" w:tplc="73285F7E">
      <w:start w:val="1"/>
      <w:numFmt w:val="bullet"/>
      <w:lvlText w:val=""/>
      <w:lvlJc w:val="left"/>
      <w:pPr>
        <w:ind w:left="5040" w:hanging="360"/>
      </w:pPr>
      <w:rPr>
        <w:rFonts w:ascii="Symbol" w:hAnsi="Symbol" w:hint="default"/>
      </w:rPr>
    </w:lvl>
    <w:lvl w:ilvl="7" w:tplc="E22A1C00">
      <w:start w:val="1"/>
      <w:numFmt w:val="bullet"/>
      <w:lvlText w:val="o"/>
      <w:lvlJc w:val="left"/>
      <w:pPr>
        <w:ind w:left="5760" w:hanging="360"/>
      </w:pPr>
      <w:rPr>
        <w:rFonts w:ascii="Courier New" w:hAnsi="Courier New" w:hint="default"/>
      </w:rPr>
    </w:lvl>
    <w:lvl w:ilvl="8" w:tplc="895CF3CE">
      <w:start w:val="1"/>
      <w:numFmt w:val="bullet"/>
      <w:lvlText w:val=""/>
      <w:lvlJc w:val="left"/>
      <w:pPr>
        <w:ind w:left="6480" w:hanging="360"/>
      </w:pPr>
      <w:rPr>
        <w:rFonts w:ascii="Wingdings" w:hAnsi="Wingdings" w:hint="default"/>
      </w:rPr>
    </w:lvl>
  </w:abstractNum>
  <w:abstractNum w:abstractNumId="3" w15:restartNumberingAfterBreak="0">
    <w:nsid w:val="0C735461"/>
    <w:multiLevelType w:val="hybridMultilevel"/>
    <w:tmpl w:val="B8FAE6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C17B6F"/>
    <w:multiLevelType w:val="multilevel"/>
    <w:tmpl w:val="B6A673BA"/>
    <w:lvl w:ilvl="0">
      <w:start w:val="1"/>
      <w:numFmt w:val="decimal"/>
      <w:lvlText w:val="%1."/>
      <w:lvlJc w:val="left"/>
      <w:pPr>
        <w:ind w:left="996" w:hanging="57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BD1BF1"/>
    <w:multiLevelType w:val="hybridMultilevel"/>
    <w:tmpl w:val="286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A1D7B"/>
    <w:multiLevelType w:val="hybridMultilevel"/>
    <w:tmpl w:val="41A4AFF6"/>
    <w:lvl w:ilvl="0" w:tplc="08090001">
      <w:start w:val="1"/>
      <w:numFmt w:val="bullet"/>
      <w:lvlText w:val=""/>
      <w:lvlJc w:val="left"/>
      <w:pPr>
        <w:ind w:left="720" w:hanging="360"/>
      </w:pPr>
      <w:rPr>
        <w:rFonts w:ascii="Symbol" w:hAnsi="Symbol" w:hint="default"/>
      </w:rPr>
    </w:lvl>
    <w:lvl w:ilvl="1" w:tplc="0772E1C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19112"/>
    <w:multiLevelType w:val="hybridMultilevel"/>
    <w:tmpl w:val="FFFFFFFF"/>
    <w:lvl w:ilvl="0" w:tplc="3D44CD0A">
      <w:start w:val="1"/>
      <w:numFmt w:val="bullet"/>
      <w:lvlText w:val="·"/>
      <w:lvlJc w:val="left"/>
      <w:pPr>
        <w:ind w:left="720" w:hanging="360"/>
      </w:pPr>
      <w:rPr>
        <w:rFonts w:ascii="Symbol" w:hAnsi="Symbol" w:hint="default"/>
      </w:rPr>
    </w:lvl>
    <w:lvl w:ilvl="1" w:tplc="944EE5A0">
      <w:start w:val="1"/>
      <w:numFmt w:val="bullet"/>
      <w:lvlText w:val="o"/>
      <w:lvlJc w:val="left"/>
      <w:pPr>
        <w:ind w:left="1440" w:hanging="360"/>
      </w:pPr>
      <w:rPr>
        <w:rFonts w:ascii="Courier New" w:hAnsi="Courier New" w:hint="default"/>
      </w:rPr>
    </w:lvl>
    <w:lvl w:ilvl="2" w:tplc="C53ADF8E">
      <w:start w:val="1"/>
      <w:numFmt w:val="bullet"/>
      <w:lvlText w:val=""/>
      <w:lvlJc w:val="left"/>
      <w:pPr>
        <w:ind w:left="2160" w:hanging="360"/>
      </w:pPr>
      <w:rPr>
        <w:rFonts w:ascii="Wingdings" w:hAnsi="Wingdings" w:hint="default"/>
      </w:rPr>
    </w:lvl>
    <w:lvl w:ilvl="3" w:tplc="0A941284">
      <w:start w:val="1"/>
      <w:numFmt w:val="bullet"/>
      <w:lvlText w:val=""/>
      <w:lvlJc w:val="left"/>
      <w:pPr>
        <w:ind w:left="2880" w:hanging="360"/>
      </w:pPr>
      <w:rPr>
        <w:rFonts w:ascii="Symbol" w:hAnsi="Symbol" w:hint="default"/>
      </w:rPr>
    </w:lvl>
    <w:lvl w:ilvl="4" w:tplc="CC04476C">
      <w:start w:val="1"/>
      <w:numFmt w:val="bullet"/>
      <w:lvlText w:val="o"/>
      <w:lvlJc w:val="left"/>
      <w:pPr>
        <w:ind w:left="3600" w:hanging="360"/>
      </w:pPr>
      <w:rPr>
        <w:rFonts w:ascii="Courier New" w:hAnsi="Courier New" w:hint="default"/>
      </w:rPr>
    </w:lvl>
    <w:lvl w:ilvl="5" w:tplc="8F4E12C8">
      <w:start w:val="1"/>
      <w:numFmt w:val="bullet"/>
      <w:lvlText w:val=""/>
      <w:lvlJc w:val="left"/>
      <w:pPr>
        <w:ind w:left="4320" w:hanging="360"/>
      </w:pPr>
      <w:rPr>
        <w:rFonts w:ascii="Wingdings" w:hAnsi="Wingdings" w:hint="default"/>
      </w:rPr>
    </w:lvl>
    <w:lvl w:ilvl="6" w:tplc="0562BD1A">
      <w:start w:val="1"/>
      <w:numFmt w:val="bullet"/>
      <w:lvlText w:val=""/>
      <w:lvlJc w:val="left"/>
      <w:pPr>
        <w:ind w:left="5040" w:hanging="360"/>
      </w:pPr>
      <w:rPr>
        <w:rFonts w:ascii="Symbol" w:hAnsi="Symbol" w:hint="default"/>
      </w:rPr>
    </w:lvl>
    <w:lvl w:ilvl="7" w:tplc="3A0EB7D0">
      <w:start w:val="1"/>
      <w:numFmt w:val="bullet"/>
      <w:lvlText w:val="o"/>
      <w:lvlJc w:val="left"/>
      <w:pPr>
        <w:ind w:left="5760" w:hanging="360"/>
      </w:pPr>
      <w:rPr>
        <w:rFonts w:ascii="Courier New" w:hAnsi="Courier New" w:hint="default"/>
      </w:rPr>
    </w:lvl>
    <w:lvl w:ilvl="8" w:tplc="4AA27FC8">
      <w:start w:val="1"/>
      <w:numFmt w:val="bullet"/>
      <w:lvlText w:val=""/>
      <w:lvlJc w:val="left"/>
      <w:pPr>
        <w:ind w:left="6480" w:hanging="360"/>
      </w:pPr>
      <w:rPr>
        <w:rFonts w:ascii="Wingdings" w:hAnsi="Wingdings" w:hint="default"/>
      </w:rPr>
    </w:lvl>
  </w:abstractNum>
  <w:abstractNum w:abstractNumId="9" w15:restartNumberingAfterBreak="0">
    <w:nsid w:val="1B9A2BE9"/>
    <w:multiLevelType w:val="multilevel"/>
    <w:tmpl w:val="775473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7269"/>
    <w:multiLevelType w:val="hybridMultilevel"/>
    <w:tmpl w:val="F80C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3" w15:restartNumberingAfterBreak="0">
    <w:nsid w:val="36F926F0"/>
    <w:multiLevelType w:val="hybridMultilevel"/>
    <w:tmpl w:val="EFD0B04A"/>
    <w:lvl w:ilvl="0" w:tplc="F050E670">
      <w:start w:val="1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D7F39"/>
    <w:multiLevelType w:val="hybridMultilevel"/>
    <w:tmpl w:val="068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C6B42"/>
    <w:multiLevelType w:val="hybridMultilevel"/>
    <w:tmpl w:val="1CB4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782C73"/>
    <w:multiLevelType w:val="multilevel"/>
    <w:tmpl w:val="ED6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82472"/>
    <w:multiLevelType w:val="hybridMultilevel"/>
    <w:tmpl w:val="6D8CEE84"/>
    <w:lvl w:ilvl="0" w:tplc="002608FE">
      <w:start w:val="1"/>
      <w:numFmt w:val="lowerRoman"/>
      <w:lvlText w:val="%1."/>
      <w:lvlJc w:val="left"/>
      <w:pPr>
        <w:ind w:left="1290" w:hanging="720"/>
      </w:pPr>
      <w:rPr>
        <w:rFonts w:ascii="Calibri" w:eastAsia="Times New Roman" w:hAnsi="Calibri" w:cs="Times New Roman"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4DF61AF8"/>
    <w:multiLevelType w:val="hybridMultilevel"/>
    <w:tmpl w:val="C0ACFD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0"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1" w15:restartNumberingAfterBreak="0">
    <w:nsid w:val="564E418D"/>
    <w:multiLevelType w:val="hybridMultilevel"/>
    <w:tmpl w:val="0682FB34"/>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2" w15:restartNumberingAfterBreak="0">
    <w:nsid w:val="58562F24"/>
    <w:multiLevelType w:val="hybridMultilevel"/>
    <w:tmpl w:val="4E7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8E0F02"/>
    <w:multiLevelType w:val="hybridMultilevel"/>
    <w:tmpl w:val="E1CC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D2A6E"/>
    <w:multiLevelType w:val="hybridMultilevel"/>
    <w:tmpl w:val="A86E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27"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15651"/>
    <w:multiLevelType w:val="hybridMultilevel"/>
    <w:tmpl w:val="DE06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30" w15:restartNumberingAfterBreak="0">
    <w:nsid w:val="79CE08EE"/>
    <w:multiLevelType w:val="hybridMultilevel"/>
    <w:tmpl w:val="FFFFFFFF"/>
    <w:lvl w:ilvl="0" w:tplc="5ECAC204">
      <w:start w:val="1"/>
      <w:numFmt w:val="bullet"/>
      <w:lvlText w:val="·"/>
      <w:lvlJc w:val="left"/>
      <w:pPr>
        <w:ind w:left="720" w:hanging="360"/>
      </w:pPr>
      <w:rPr>
        <w:rFonts w:ascii="Symbol" w:hAnsi="Symbol" w:hint="default"/>
      </w:rPr>
    </w:lvl>
    <w:lvl w:ilvl="1" w:tplc="9E62AE48">
      <w:start w:val="1"/>
      <w:numFmt w:val="bullet"/>
      <w:lvlText w:val="o"/>
      <w:lvlJc w:val="left"/>
      <w:pPr>
        <w:ind w:left="1440" w:hanging="360"/>
      </w:pPr>
      <w:rPr>
        <w:rFonts w:ascii="Courier New" w:hAnsi="Courier New" w:hint="default"/>
      </w:rPr>
    </w:lvl>
    <w:lvl w:ilvl="2" w:tplc="9912D652">
      <w:start w:val="1"/>
      <w:numFmt w:val="bullet"/>
      <w:lvlText w:val=""/>
      <w:lvlJc w:val="left"/>
      <w:pPr>
        <w:ind w:left="2160" w:hanging="360"/>
      </w:pPr>
      <w:rPr>
        <w:rFonts w:ascii="Wingdings" w:hAnsi="Wingdings" w:hint="default"/>
      </w:rPr>
    </w:lvl>
    <w:lvl w:ilvl="3" w:tplc="C28AA97C">
      <w:start w:val="1"/>
      <w:numFmt w:val="bullet"/>
      <w:lvlText w:val=""/>
      <w:lvlJc w:val="left"/>
      <w:pPr>
        <w:ind w:left="2880" w:hanging="360"/>
      </w:pPr>
      <w:rPr>
        <w:rFonts w:ascii="Symbol" w:hAnsi="Symbol" w:hint="default"/>
      </w:rPr>
    </w:lvl>
    <w:lvl w:ilvl="4" w:tplc="A2E6D3F4">
      <w:start w:val="1"/>
      <w:numFmt w:val="bullet"/>
      <w:lvlText w:val="o"/>
      <w:lvlJc w:val="left"/>
      <w:pPr>
        <w:ind w:left="3600" w:hanging="360"/>
      </w:pPr>
      <w:rPr>
        <w:rFonts w:ascii="Courier New" w:hAnsi="Courier New" w:hint="default"/>
      </w:rPr>
    </w:lvl>
    <w:lvl w:ilvl="5" w:tplc="AF1EC096">
      <w:start w:val="1"/>
      <w:numFmt w:val="bullet"/>
      <w:lvlText w:val=""/>
      <w:lvlJc w:val="left"/>
      <w:pPr>
        <w:ind w:left="4320" w:hanging="360"/>
      </w:pPr>
      <w:rPr>
        <w:rFonts w:ascii="Wingdings" w:hAnsi="Wingdings" w:hint="default"/>
      </w:rPr>
    </w:lvl>
    <w:lvl w:ilvl="6" w:tplc="B55AECE0">
      <w:start w:val="1"/>
      <w:numFmt w:val="bullet"/>
      <w:lvlText w:val=""/>
      <w:lvlJc w:val="left"/>
      <w:pPr>
        <w:ind w:left="5040" w:hanging="360"/>
      </w:pPr>
      <w:rPr>
        <w:rFonts w:ascii="Symbol" w:hAnsi="Symbol" w:hint="default"/>
      </w:rPr>
    </w:lvl>
    <w:lvl w:ilvl="7" w:tplc="E59E5BD2">
      <w:start w:val="1"/>
      <w:numFmt w:val="bullet"/>
      <w:lvlText w:val="o"/>
      <w:lvlJc w:val="left"/>
      <w:pPr>
        <w:ind w:left="5760" w:hanging="360"/>
      </w:pPr>
      <w:rPr>
        <w:rFonts w:ascii="Courier New" w:hAnsi="Courier New" w:hint="default"/>
      </w:rPr>
    </w:lvl>
    <w:lvl w:ilvl="8" w:tplc="F19ED64C">
      <w:start w:val="1"/>
      <w:numFmt w:val="bullet"/>
      <w:lvlText w:val=""/>
      <w:lvlJc w:val="left"/>
      <w:pPr>
        <w:ind w:left="6480" w:hanging="360"/>
      </w:pPr>
      <w:rPr>
        <w:rFonts w:ascii="Wingdings" w:hAnsi="Wingdings" w:hint="default"/>
      </w:rPr>
    </w:lvl>
  </w:abstractNum>
  <w:abstractNum w:abstractNumId="31" w15:restartNumberingAfterBreak="0">
    <w:nsid w:val="79ED466F"/>
    <w:multiLevelType w:val="hybridMultilevel"/>
    <w:tmpl w:val="C58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709C5"/>
    <w:multiLevelType w:val="hybridMultilevel"/>
    <w:tmpl w:val="FF8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A0F74"/>
    <w:multiLevelType w:val="hybridMultilevel"/>
    <w:tmpl w:val="243C7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1161284">
    <w:abstractNumId w:val="0"/>
  </w:num>
  <w:num w:numId="2" w16cid:durableId="571350511">
    <w:abstractNumId w:val="20"/>
  </w:num>
  <w:num w:numId="3" w16cid:durableId="1982147692">
    <w:abstractNumId w:val="26"/>
  </w:num>
  <w:num w:numId="4" w16cid:durableId="853036281">
    <w:abstractNumId w:val="29"/>
  </w:num>
  <w:num w:numId="5" w16cid:durableId="1331521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325943">
    <w:abstractNumId w:val="5"/>
  </w:num>
  <w:num w:numId="7" w16cid:durableId="1245722365">
    <w:abstractNumId w:val="4"/>
  </w:num>
  <w:num w:numId="8" w16cid:durableId="567689076">
    <w:abstractNumId w:val="23"/>
  </w:num>
  <w:num w:numId="9" w16cid:durableId="1024597362">
    <w:abstractNumId w:val="15"/>
  </w:num>
  <w:num w:numId="10" w16cid:durableId="1997686044">
    <w:abstractNumId w:val="10"/>
  </w:num>
  <w:num w:numId="11" w16cid:durableId="1718779791">
    <w:abstractNumId w:val="17"/>
  </w:num>
  <w:num w:numId="12" w16cid:durableId="1355299838">
    <w:abstractNumId w:val="3"/>
  </w:num>
  <w:num w:numId="13" w16cid:durableId="694235568">
    <w:abstractNumId w:val="27"/>
  </w:num>
  <w:num w:numId="14" w16cid:durableId="1486165225">
    <w:abstractNumId w:val="1"/>
  </w:num>
  <w:num w:numId="15" w16cid:durableId="216823495">
    <w:abstractNumId w:val="14"/>
  </w:num>
  <w:num w:numId="16" w16cid:durableId="1706171149">
    <w:abstractNumId w:val="16"/>
  </w:num>
  <w:num w:numId="17" w16cid:durableId="1955205426">
    <w:abstractNumId w:val="2"/>
  </w:num>
  <w:num w:numId="18" w16cid:durableId="1396972402">
    <w:abstractNumId w:val="8"/>
  </w:num>
  <w:num w:numId="19" w16cid:durableId="941260701">
    <w:abstractNumId w:val="30"/>
  </w:num>
  <w:num w:numId="20" w16cid:durableId="1684210726">
    <w:abstractNumId w:val="24"/>
  </w:num>
  <w:num w:numId="21" w16cid:durableId="1190146766">
    <w:abstractNumId w:val="6"/>
  </w:num>
  <w:num w:numId="22" w16cid:durableId="1502429523">
    <w:abstractNumId w:val="19"/>
  </w:num>
  <w:num w:numId="23" w16cid:durableId="1985889489">
    <w:abstractNumId w:val="21"/>
  </w:num>
  <w:num w:numId="24" w16cid:durableId="1246110362">
    <w:abstractNumId w:val="32"/>
  </w:num>
  <w:num w:numId="25" w16cid:durableId="78869081">
    <w:abstractNumId w:val="25"/>
  </w:num>
  <w:num w:numId="26" w16cid:durableId="1642153171">
    <w:abstractNumId w:val="31"/>
  </w:num>
  <w:num w:numId="27" w16cid:durableId="1162626093">
    <w:abstractNumId w:val="11"/>
  </w:num>
  <w:num w:numId="28" w16cid:durableId="1329214976">
    <w:abstractNumId w:val="28"/>
  </w:num>
  <w:num w:numId="29" w16cid:durableId="695236678">
    <w:abstractNumId w:val="9"/>
  </w:num>
  <w:num w:numId="30" w16cid:durableId="905072993">
    <w:abstractNumId w:val="13"/>
  </w:num>
  <w:num w:numId="31" w16cid:durableId="1348601817">
    <w:abstractNumId w:val="18"/>
  </w:num>
  <w:num w:numId="32" w16cid:durableId="250042254">
    <w:abstractNumId w:val="7"/>
  </w:num>
  <w:num w:numId="33" w16cid:durableId="940383013">
    <w:abstractNumId w:val="22"/>
  </w:num>
  <w:num w:numId="34" w16cid:durableId="6257017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5057E"/>
    <w:rsid w:val="00073AF2"/>
    <w:rsid w:val="00082AF5"/>
    <w:rsid w:val="00093EEB"/>
    <w:rsid w:val="000B0D00"/>
    <w:rsid w:val="000B7C15"/>
    <w:rsid w:val="000C3086"/>
    <w:rsid w:val="000C3A46"/>
    <w:rsid w:val="000D1D0F"/>
    <w:rsid w:val="000F18DC"/>
    <w:rsid w:val="000F5290"/>
    <w:rsid w:val="0010165C"/>
    <w:rsid w:val="0010223E"/>
    <w:rsid w:val="0010593D"/>
    <w:rsid w:val="001069DD"/>
    <w:rsid w:val="00133E13"/>
    <w:rsid w:val="00146BFB"/>
    <w:rsid w:val="00147AC3"/>
    <w:rsid w:val="001559F5"/>
    <w:rsid w:val="00156F08"/>
    <w:rsid w:val="00173444"/>
    <w:rsid w:val="0017445B"/>
    <w:rsid w:val="0017456F"/>
    <w:rsid w:val="00195870"/>
    <w:rsid w:val="001A500C"/>
    <w:rsid w:val="001B6B57"/>
    <w:rsid w:val="001C7358"/>
    <w:rsid w:val="001F14A2"/>
    <w:rsid w:val="001F174D"/>
    <w:rsid w:val="001F3519"/>
    <w:rsid w:val="001F6DDB"/>
    <w:rsid w:val="00233F8E"/>
    <w:rsid w:val="00242F5A"/>
    <w:rsid w:val="00247EE7"/>
    <w:rsid w:val="00261504"/>
    <w:rsid w:val="002801AA"/>
    <w:rsid w:val="002A3E9C"/>
    <w:rsid w:val="002C4676"/>
    <w:rsid w:val="002C6ABA"/>
    <w:rsid w:val="002C70B0"/>
    <w:rsid w:val="002D0038"/>
    <w:rsid w:val="002E28FB"/>
    <w:rsid w:val="002E6B4C"/>
    <w:rsid w:val="002F3CC4"/>
    <w:rsid w:val="00307CDA"/>
    <w:rsid w:val="003273A4"/>
    <w:rsid w:val="003516AD"/>
    <w:rsid w:val="00351796"/>
    <w:rsid w:val="003946AD"/>
    <w:rsid w:val="00396F88"/>
    <w:rsid w:val="003B1346"/>
    <w:rsid w:val="003C203B"/>
    <w:rsid w:val="003E0428"/>
    <w:rsid w:val="0040710E"/>
    <w:rsid w:val="00412112"/>
    <w:rsid w:val="004242A2"/>
    <w:rsid w:val="00466698"/>
    <w:rsid w:val="00473962"/>
    <w:rsid w:val="004B5D49"/>
    <w:rsid w:val="004C1B6D"/>
    <w:rsid w:val="004E206B"/>
    <w:rsid w:val="004F4CDF"/>
    <w:rsid w:val="00507A14"/>
    <w:rsid w:val="005135A4"/>
    <w:rsid w:val="00513630"/>
    <w:rsid w:val="00526853"/>
    <w:rsid w:val="0053151D"/>
    <w:rsid w:val="00534F60"/>
    <w:rsid w:val="00542DBD"/>
    <w:rsid w:val="00557B85"/>
    <w:rsid w:val="00560125"/>
    <w:rsid w:val="00583331"/>
    <w:rsid w:val="00585553"/>
    <w:rsid w:val="005946FC"/>
    <w:rsid w:val="005B0425"/>
    <w:rsid w:val="005B34D9"/>
    <w:rsid w:val="005D0CCF"/>
    <w:rsid w:val="005D51C7"/>
    <w:rsid w:val="005E1796"/>
    <w:rsid w:val="005F3BCB"/>
    <w:rsid w:val="005F410F"/>
    <w:rsid w:val="005F5A53"/>
    <w:rsid w:val="0060149A"/>
    <w:rsid w:val="00601924"/>
    <w:rsid w:val="006407AC"/>
    <w:rsid w:val="006447EA"/>
    <w:rsid w:val="0064481D"/>
    <w:rsid w:val="0064731F"/>
    <w:rsid w:val="00647775"/>
    <w:rsid w:val="00664572"/>
    <w:rsid w:val="006710F6"/>
    <w:rsid w:val="00677A97"/>
    <w:rsid w:val="006B4F24"/>
    <w:rsid w:val="006C1B56"/>
    <w:rsid w:val="006C42CC"/>
    <w:rsid w:val="006C5EE4"/>
    <w:rsid w:val="006C7954"/>
    <w:rsid w:val="006D3985"/>
    <w:rsid w:val="006D4761"/>
    <w:rsid w:val="00726872"/>
    <w:rsid w:val="007540C4"/>
    <w:rsid w:val="007560BC"/>
    <w:rsid w:val="007579FF"/>
    <w:rsid w:val="00760F1C"/>
    <w:rsid w:val="007657F0"/>
    <w:rsid w:val="00765A16"/>
    <w:rsid w:val="0077252D"/>
    <w:rsid w:val="00783087"/>
    <w:rsid w:val="00783E01"/>
    <w:rsid w:val="007905BE"/>
    <w:rsid w:val="007955DA"/>
    <w:rsid w:val="00796DAF"/>
    <w:rsid w:val="007B737E"/>
    <w:rsid w:val="007C21D1"/>
    <w:rsid w:val="007E5DD3"/>
    <w:rsid w:val="007F350B"/>
    <w:rsid w:val="0080647C"/>
    <w:rsid w:val="00820BE4"/>
    <w:rsid w:val="00832CD0"/>
    <w:rsid w:val="008451E8"/>
    <w:rsid w:val="00847E96"/>
    <w:rsid w:val="008C79BD"/>
    <w:rsid w:val="008D048D"/>
    <w:rsid w:val="008D0FEF"/>
    <w:rsid w:val="008E064D"/>
    <w:rsid w:val="008E1F00"/>
    <w:rsid w:val="008E2292"/>
    <w:rsid w:val="00901886"/>
    <w:rsid w:val="00903932"/>
    <w:rsid w:val="00913B9C"/>
    <w:rsid w:val="0091404F"/>
    <w:rsid w:val="00927F93"/>
    <w:rsid w:val="00933BA9"/>
    <w:rsid w:val="00956E77"/>
    <w:rsid w:val="009F2C01"/>
    <w:rsid w:val="009F4811"/>
    <w:rsid w:val="00A043CB"/>
    <w:rsid w:val="00A24614"/>
    <w:rsid w:val="00A440E1"/>
    <w:rsid w:val="00A45339"/>
    <w:rsid w:val="00A55B05"/>
    <w:rsid w:val="00A62F73"/>
    <w:rsid w:val="00A752F3"/>
    <w:rsid w:val="00A77E1C"/>
    <w:rsid w:val="00A84AA8"/>
    <w:rsid w:val="00A91A7D"/>
    <w:rsid w:val="00A946CA"/>
    <w:rsid w:val="00AA2CC7"/>
    <w:rsid w:val="00AA390C"/>
    <w:rsid w:val="00AB2CFF"/>
    <w:rsid w:val="00AB3242"/>
    <w:rsid w:val="00AB5621"/>
    <w:rsid w:val="00AC3DB7"/>
    <w:rsid w:val="00AC7278"/>
    <w:rsid w:val="00AD2E70"/>
    <w:rsid w:val="00AD42F2"/>
    <w:rsid w:val="00AF4E63"/>
    <w:rsid w:val="00B0200A"/>
    <w:rsid w:val="00B2120F"/>
    <w:rsid w:val="00B44914"/>
    <w:rsid w:val="00B55A95"/>
    <w:rsid w:val="00B574DB"/>
    <w:rsid w:val="00B623E7"/>
    <w:rsid w:val="00B75104"/>
    <w:rsid w:val="00B76C0F"/>
    <w:rsid w:val="00B826C2"/>
    <w:rsid w:val="00B8298E"/>
    <w:rsid w:val="00B8648E"/>
    <w:rsid w:val="00B919E1"/>
    <w:rsid w:val="00B94E38"/>
    <w:rsid w:val="00BA3EB5"/>
    <w:rsid w:val="00BC3BB0"/>
    <w:rsid w:val="00BD0723"/>
    <w:rsid w:val="00BD2518"/>
    <w:rsid w:val="00BE334A"/>
    <w:rsid w:val="00BF1D1C"/>
    <w:rsid w:val="00C15C5F"/>
    <w:rsid w:val="00C20C59"/>
    <w:rsid w:val="00C257DD"/>
    <w:rsid w:val="00C2727F"/>
    <w:rsid w:val="00C538FC"/>
    <w:rsid w:val="00C55B1F"/>
    <w:rsid w:val="00C660D4"/>
    <w:rsid w:val="00C7327F"/>
    <w:rsid w:val="00C77961"/>
    <w:rsid w:val="00C80C59"/>
    <w:rsid w:val="00CB421D"/>
    <w:rsid w:val="00CB6042"/>
    <w:rsid w:val="00CE00E0"/>
    <w:rsid w:val="00CE458D"/>
    <w:rsid w:val="00CE6D77"/>
    <w:rsid w:val="00CF1A67"/>
    <w:rsid w:val="00CF44BF"/>
    <w:rsid w:val="00D0564D"/>
    <w:rsid w:val="00D14E78"/>
    <w:rsid w:val="00D26297"/>
    <w:rsid w:val="00D2750E"/>
    <w:rsid w:val="00D50A36"/>
    <w:rsid w:val="00D62446"/>
    <w:rsid w:val="00D7305F"/>
    <w:rsid w:val="00D746AC"/>
    <w:rsid w:val="00DA4EA2"/>
    <w:rsid w:val="00DA7213"/>
    <w:rsid w:val="00DB1CF5"/>
    <w:rsid w:val="00DC03E9"/>
    <w:rsid w:val="00DC3D3E"/>
    <w:rsid w:val="00DC7C49"/>
    <w:rsid w:val="00DE2C90"/>
    <w:rsid w:val="00DE3B24"/>
    <w:rsid w:val="00DE602A"/>
    <w:rsid w:val="00E01C94"/>
    <w:rsid w:val="00E0570E"/>
    <w:rsid w:val="00E06947"/>
    <w:rsid w:val="00E11635"/>
    <w:rsid w:val="00E34072"/>
    <w:rsid w:val="00E3474B"/>
    <w:rsid w:val="00E3592D"/>
    <w:rsid w:val="00E4051C"/>
    <w:rsid w:val="00E43B27"/>
    <w:rsid w:val="00E502D5"/>
    <w:rsid w:val="00E503AF"/>
    <w:rsid w:val="00E50D76"/>
    <w:rsid w:val="00E73C6D"/>
    <w:rsid w:val="00E76F80"/>
    <w:rsid w:val="00E85E84"/>
    <w:rsid w:val="00E92DE8"/>
    <w:rsid w:val="00EB1212"/>
    <w:rsid w:val="00EC0B3F"/>
    <w:rsid w:val="00ED65AB"/>
    <w:rsid w:val="00EE528C"/>
    <w:rsid w:val="00EF1BD2"/>
    <w:rsid w:val="00EF1E33"/>
    <w:rsid w:val="00F01333"/>
    <w:rsid w:val="00F10589"/>
    <w:rsid w:val="00F12850"/>
    <w:rsid w:val="00F14E48"/>
    <w:rsid w:val="00F21A8E"/>
    <w:rsid w:val="00F24B71"/>
    <w:rsid w:val="00F33BF4"/>
    <w:rsid w:val="00F458B8"/>
    <w:rsid w:val="00F7105E"/>
    <w:rsid w:val="00F75BCA"/>
    <w:rsid w:val="00F75F57"/>
    <w:rsid w:val="00F80A46"/>
    <w:rsid w:val="00F8275B"/>
    <w:rsid w:val="00F82FEE"/>
    <w:rsid w:val="00F95593"/>
    <w:rsid w:val="00FD57D3"/>
    <w:rsid w:val="00FE57F6"/>
    <w:rsid w:val="00FE720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F011FC"/>
  <w15:docId w15:val="{B0897686-6C1E-4023-9E4E-66098167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E73C6D"/>
    <w:pPr>
      <w:keepNext/>
      <w:keepLines/>
      <w:tabs>
        <w:tab w:val="clear" w:pos="567"/>
        <w:tab w:val="left" w:pos="709"/>
      </w:tabs>
      <w:spacing w:before="360"/>
      <w:ind w:left="709" w:hanging="709"/>
      <w:outlineLvl w:val="0"/>
    </w:pPr>
    <w:rPr>
      <w:b/>
      <w:sz w:val="28"/>
    </w:rPr>
  </w:style>
  <w:style w:type="paragraph" w:styleId="Heading2">
    <w:name w:val="heading 2"/>
    <w:basedOn w:val="Heading1"/>
    <w:next w:val="Normal"/>
    <w:link w:val="Heading2Char"/>
    <w:uiPriority w:val="9"/>
    <w:qFormat/>
    <w:rsid w:val="001A500C"/>
    <w:pPr>
      <w:spacing w:before="320"/>
      <w:outlineLvl w:val="1"/>
    </w:pPr>
    <w:rPr>
      <w:sz w:val="24"/>
    </w:rPr>
  </w:style>
  <w:style w:type="paragraph" w:styleId="Heading3">
    <w:name w:val="heading 3"/>
    <w:basedOn w:val="Heading1"/>
    <w:next w:val="Normal"/>
    <w:link w:val="Heading3Char"/>
    <w:uiPriority w:val="9"/>
    <w:qFormat/>
    <w:rsid w:val="001A500C"/>
    <w:pPr>
      <w:spacing w:before="200"/>
      <w:outlineLvl w:val="2"/>
    </w:pPr>
    <w:rPr>
      <w:sz w:val="24"/>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link w:val="Heading9Char"/>
    <w:uiPriority w:val="9"/>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A84AA8"/>
    <w:pPr>
      <w:tabs>
        <w:tab w:val="clear" w:pos="567"/>
        <w:tab w:val="left" w:pos="709"/>
      </w:tabs>
      <w:spacing w:before="86"/>
      <w:ind w:left="709" w:hanging="709"/>
    </w:pPr>
  </w:style>
  <w:style w:type="paragraph" w:customStyle="1" w:styleId="enumlev2">
    <w:name w:val="enumlev2"/>
    <w:basedOn w:val="enumlev1"/>
    <w:rsid w:val="00A84AA8"/>
    <w:pPr>
      <w:tabs>
        <w:tab w:val="clear" w:pos="1134"/>
      </w:tabs>
      <w:ind w:left="1418"/>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2D0038"/>
    <w:pPr>
      <w:tabs>
        <w:tab w:val="clear" w:pos="567"/>
        <w:tab w:val="clear" w:pos="1134"/>
        <w:tab w:val="clear" w:pos="1701"/>
        <w:tab w:val="clear" w:pos="2268"/>
        <w:tab w:val="clear" w:pos="2835"/>
        <w:tab w:val="left" w:pos="2948"/>
        <w:tab w:val="left" w:pos="4082"/>
      </w:tabs>
      <w:spacing w:before="36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超??级链Ú,fL????,fL?级,超??级链"/>
    <w:basedOn w:val="DefaultParagraphFont"/>
    <w:uiPriority w:val="99"/>
    <w:qForma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uiPriority w:val="39"/>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6D77"/>
    <w:rPr>
      <w:color w:val="605E5C"/>
      <w:shd w:val="clear" w:color="auto" w:fill="E1DFDD"/>
    </w:rPr>
  </w:style>
  <w:style w:type="paragraph" w:customStyle="1" w:styleId="Object">
    <w:name w:val="Object"/>
    <w:basedOn w:val="Subject"/>
    <w:next w:val="Subject"/>
    <w:rsid w:val="00CE6D77"/>
    <w:pPr>
      <w:tabs>
        <w:tab w:val="clear" w:pos="709"/>
      </w:tabs>
      <w:ind w:left="1134" w:hanging="1134"/>
    </w:pPr>
    <w:rPr>
      <w:lang w:val="en-GB"/>
    </w:rPr>
  </w:style>
  <w:style w:type="character" w:customStyle="1" w:styleId="UnresolvedMention10">
    <w:name w:val="Unresolved Mention1"/>
    <w:basedOn w:val="DefaultParagraphFont"/>
    <w:uiPriority w:val="99"/>
    <w:unhideWhenUsed/>
    <w:rsid w:val="00CE6D77"/>
    <w:rPr>
      <w:color w:val="605E5C"/>
      <w:shd w:val="clear" w:color="auto" w:fill="E1DFDD"/>
    </w:rPr>
  </w:style>
  <w:style w:type="character" w:customStyle="1" w:styleId="findhit">
    <w:name w:val="findhit"/>
    <w:basedOn w:val="DefaultParagraphFont"/>
    <w:rsid w:val="00CE6D77"/>
  </w:style>
  <w:style w:type="character" w:customStyle="1" w:styleId="Heading1Char">
    <w:name w:val="Heading 1 Char"/>
    <w:basedOn w:val="DefaultParagraphFont"/>
    <w:link w:val="Heading1"/>
    <w:uiPriority w:val="9"/>
    <w:rsid w:val="00E73C6D"/>
    <w:rPr>
      <w:rFonts w:ascii="Calibri" w:hAnsi="Calibri"/>
      <w:b/>
      <w:sz w:val="28"/>
      <w:lang w:val="es-ES_tradnl" w:eastAsia="en-US"/>
    </w:rPr>
  </w:style>
  <w:style w:type="character" w:customStyle="1" w:styleId="Heading2Char">
    <w:name w:val="Heading 2 Char"/>
    <w:basedOn w:val="DefaultParagraphFont"/>
    <w:link w:val="Heading2"/>
    <w:uiPriority w:val="9"/>
    <w:rsid w:val="001A500C"/>
    <w:rPr>
      <w:rFonts w:ascii="Calibri" w:hAnsi="Calibri"/>
      <w:b/>
      <w:sz w:val="24"/>
      <w:lang w:val="es-ES_tradnl" w:eastAsia="en-US"/>
    </w:rPr>
  </w:style>
  <w:style w:type="paragraph" w:customStyle="1" w:styleId="msonormal0">
    <w:name w:val="msonormal"/>
    <w:basedOn w:val="Normal"/>
    <w:rsid w:val="00CE6D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paragraph">
    <w:name w:val="paragraph"/>
    <w:basedOn w:val="Normal"/>
    <w:rsid w:val="00CE6D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eop">
    <w:name w:val="eop"/>
    <w:basedOn w:val="DefaultParagraphFont"/>
    <w:rsid w:val="00CE6D77"/>
  </w:style>
  <w:style w:type="character" w:customStyle="1" w:styleId="textrun">
    <w:name w:val="textrun"/>
    <w:basedOn w:val="DefaultParagraphFont"/>
    <w:rsid w:val="00CE6D77"/>
  </w:style>
  <w:style w:type="character" w:customStyle="1" w:styleId="normaltextrun">
    <w:name w:val="normaltextrun"/>
    <w:basedOn w:val="DefaultParagraphFont"/>
    <w:rsid w:val="00CE6D77"/>
  </w:style>
  <w:style w:type="paragraph" w:customStyle="1" w:styleId="outlineelement">
    <w:name w:val="outlineelement"/>
    <w:basedOn w:val="Normal"/>
    <w:rsid w:val="00CE6D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trackchangetextdeletion">
    <w:name w:val="trackchangetextdeletion"/>
    <w:basedOn w:val="DefaultParagraphFont"/>
    <w:rsid w:val="00CE6D77"/>
  </w:style>
  <w:style w:type="character" w:customStyle="1" w:styleId="trackchangetextinsertion">
    <w:name w:val="trackchangetextinsertion"/>
    <w:basedOn w:val="DefaultParagraphFont"/>
    <w:rsid w:val="00CE6D77"/>
  </w:style>
  <w:style w:type="character" w:customStyle="1" w:styleId="fieldrange">
    <w:name w:val="fieldrange"/>
    <w:basedOn w:val="DefaultParagraphFont"/>
    <w:rsid w:val="00CE6D77"/>
  </w:style>
  <w:style w:type="character" w:customStyle="1" w:styleId="pagebreakblob">
    <w:name w:val="pagebreakblob"/>
    <w:basedOn w:val="DefaultParagraphFont"/>
    <w:rsid w:val="00CE6D77"/>
  </w:style>
  <w:style w:type="character" w:customStyle="1" w:styleId="pagebreakborderspan">
    <w:name w:val="pagebreakborderspan"/>
    <w:basedOn w:val="DefaultParagraphFont"/>
    <w:rsid w:val="00CE6D77"/>
  </w:style>
  <w:style w:type="character" w:customStyle="1" w:styleId="pagebreaktextspan">
    <w:name w:val="pagebreaktextspan"/>
    <w:basedOn w:val="DefaultParagraphFont"/>
    <w:rsid w:val="00CE6D77"/>
  </w:style>
  <w:style w:type="character" w:customStyle="1" w:styleId="superscript">
    <w:name w:val="superscript"/>
    <w:basedOn w:val="DefaultParagraphFont"/>
    <w:rsid w:val="00CE6D77"/>
  </w:style>
  <w:style w:type="character" w:customStyle="1" w:styleId="linebreakblob">
    <w:name w:val="linebreakblob"/>
    <w:basedOn w:val="DefaultParagraphFont"/>
    <w:rsid w:val="00CE6D77"/>
  </w:style>
  <w:style w:type="character" w:customStyle="1" w:styleId="bcx7">
    <w:name w:val="bcx7"/>
    <w:basedOn w:val="DefaultParagraphFont"/>
    <w:rsid w:val="00CE6D77"/>
  </w:style>
  <w:style w:type="paragraph" w:styleId="Title">
    <w:name w:val="Title"/>
    <w:basedOn w:val="Normal"/>
    <w:next w:val="Normal"/>
    <w:link w:val="TitleChar"/>
    <w:uiPriority w:val="10"/>
    <w:qFormat/>
    <w:rsid w:val="00CE6D77"/>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E6D77"/>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CE6D77"/>
  </w:style>
  <w:style w:type="character" w:customStyle="1" w:styleId="FooterChar">
    <w:name w:val="Footer Char"/>
    <w:basedOn w:val="DefaultParagraphFont"/>
    <w:link w:val="Footer"/>
    <w:uiPriority w:val="99"/>
    <w:rsid w:val="00CE6D77"/>
    <w:rPr>
      <w:rFonts w:ascii="Calibri" w:hAnsi="Calibri"/>
      <w:caps/>
      <w:noProof/>
      <w:sz w:val="16"/>
      <w:lang w:val="es-ES_tradnl" w:eastAsia="en-US"/>
    </w:rPr>
  </w:style>
  <w:style w:type="paragraph" w:styleId="BalloonText">
    <w:name w:val="Balloon Text"/>
    <w:basedOn w:val="Normal"/>
    <w:link w:val="BalloonTextChar"/>
    <w:uiPriority w:val="99"/>
    <w:semiHidden/>
    <w:unhideWhenUsed/>
    <w:rsid w:val="00CE6D77"/>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CE6D77"/>
    <w:rPr>
      <w:rFonts w:ascii="Segoe UI" w:eastAsiaTheme="minorHAnsi" w:hAnsi="Segoe UI" w:cs="Segoe UI"/>
      <w:sz w:val="18"/>
      <w:szCs w:val="18"/>
      <w:lang w:val="en-GB" w:eastAsia="en-US"/>
    </w:rPr>
  </w:style>
  <w:style w:type="character" w:styleId="CommentReference">
    <w:name w:val="annotation reference"/>
    <w:uiPriority w:val="99"/>
    <w:rsid w:val="00CE6D77"/>
    <w:rPr>
      <w:sz w:val="16"/>
      <w:szCs w:val="16"/>
    </w:rPr>
  </w:style>
  <w:style w:type="paragraph" w:styleId="CommentText">
    <w:name w:val="annotation text"/>
    <w:basedOn w:val="Normal"/>
    <w:link w:val="CommentTextChar"/>
    <w:uiPriority w:val="99"/>
    <w:rsid w:val="00CE6D77"/>
    <w:pPr>
      <w:tabs>
        <w:tab w:val="clear" w:pos="567"/>
        <w:tab w:val="clear" w:pos="1134"/>
        <w:tab w:val="clear" w:pos="1701"/>
        <w:tab w:val="clear" w:pos="2268"/>
        <w:tab w:val="clear" w:pos="283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CE6D77"/>
    <w:rPr>
      <w:rFonts w:ascii="Calibri" w:eastAsiaTheme="minorEastAsia" w:hAnsi="Calibri"/>
      <w:szCs w:val="22"/>
      <w:lang w:eastAsia="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E6D77"/>
    <w:pPr>
      <w:tabs>
        <w:tab w:val="clear" w:pos="567"/>
        <w:tab w:val="clear" w:pos="1134"/>
        <w:tab w:val="clear" w:pos="1701"/>
        <w:tab w:val="clear" w:pos="2268"/>
        <w:tab w:val="clear" w:pos="2835"/>
      </w:tabs>
      <w:overflowPunct/>
      <w:autoSpaceDE/>
      <w:autoSpaceDN/>
      <w:adjustRightInd/>
      <w:ind w:left="510"/>
      <w:textAlignment w:val="auto"/>
    </w:pPr>
    <w:rPr>
      <w:rFonts w:eastAsia="PMingLiU"/>
      <w:sz w:val="22"/>
      <w:szCs w:val="22"/>
      <w:lang w:val="en-US" w:eastAsia="zh-TW"/>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CE6D77"/>
    <w:rPr>
      <w:rFonts w:ascii="Calibri" w:eastAsia="PMingLiU" w:hAnsi="Calibri"/>
      <w:sz w:val="22"/>
      <w:szCs w:val="22"/>
      <w:lang w:eastAsia="zh-TW"/>
    </w:rPr>
  </w:style>
  <w:style w:type="paragraph" w:customStyle="1" w:styleId="Tableheadwhitecentred">
    <w:name w:val="Table head white centred"/>
    <w:basedOn w:val="Normal"/>
    <w:rsid w:val="00CE6D77"/>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CE6D77"/>
    <w:pPr>
      <w:tabs>
        <w:tab w:val="clear" w:pos="567"/>
        <w:tab w:val="clear" w:pos="1134"/>
        <w:tab w:val="clear" w:pos="1701"/>
        <w:tab w:val="clear" w:pos="2268"/>
        <w:tab w:val="clear" w:pos="283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CE6D77"/>
    <w:rPr>
      <w:rFonts w:ascii="Calibri" w:eastAsiaTheme="minorEastAsia" w:hAnsi="Calibri" w:cs="Calibri"/>
      <w:sz w:val="22"/>
      <w:szCs w:val="22"/>
      <w:lang w:eastAsia="fr-FR"/>
    </w:rPr>
  </w:style>
  <w:style w:type="paragraph" w:customStyle="1" w:styleId="Tabletextcentred">
    <w:name w:val="Table text centred"/>
    <w:basedOn w:val="Normal"/>
    <w:rsid w:val="00CE6D77"/>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paragraph" w:customStyle="1" w:styleId="Tabletextrightaligned">
    <w:name w:val="Table text right aligned"/>
    <w:basedOn w:val="Normal"/>
    <w:rsid w:val="00CE6D77"/>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table" w:customStyle="1" w:styleId="ListTable3-Accent11">
    <w:name w:val="List Table 3 - Accent 11"/>
    <w:basedOn w:val="TableNormal"/>
    <w:uiPriority w:val="48"/>
    <w:rsid w:val="00CE6D77"/>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CE6D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NormalWebChar">
    <w:name w:val="Normal (Web) Char"/>
    <w:link w:val="NormalWeb"/>
    <w:uiPriority w:val="99"/>
    <w:locked/>
    <w:rsid w:val="00CE6D77"/>
    <w:rPr>
      <w:rFonts w:ascii="Calibri" w:eastAsia="SimSun" w:hAnsi="Calibri"/>
      <w:sz w:val="21"/>
      <w:szCs w:val="24"/>
    </w:rPr>
  </w:style>
  <w:style w:type="paragraph" w:styleId="PlainText">
    <w:name w:val="Plain Text"/>
    <w:basedOn w:val="Normal"/>
    <w:link w:val="PlainTextChar"/>
    <w:uiPriority w:val="99"/>
    <w:unhideWhenUsed/>
    <w:rsid w:val="00CE6D77"/>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99"/>
    <w:rsid w:val="00CE6D77"/>
    <w:rPr>
      <w:rFonts w:ascii="Courier New" w:eastAsia="SimSun" w:hAnsi="Courier New" w:cs="Courier New"/>
      <w:szCs w:val="22"/>
    </w:rPr>
  </w:style>
  <w:style w:type="character" w:styleId="Emphasis">
    <w:name w:val="Emphasis"/>
    <w:basedOn w:val="DefaultParagraphFont"/>
    <w:uiPriority w:val="20"/>
    <w:qFormat/>
    <w:rsid w:val="00CE6D77"/>
    <w:rPr>
      <w:i/>
      <w:iC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CE6D77"/>
    <w:rPr>
      <w:rFonts w:ascii="Calibri" w:hAnsi="Calibri"/>
      <w:sz w:val="24"/>
      <w:lang w:val="es-ES_tradnl" w:eastAsia="en-US"/>
    </w:rPr>
  </w:style>
  <w:style w:type="character" w:customStyle="1" w:styleId="normalWSISChar">
    <w:name w:val="normal WSIS Char"/>
    <w:basedOn w:val="DefaultParagraphFont"/>
    <w:link w:val="normalWSIS"/>
    <w:locked/>
    <w:rsid w:val="00CE6D77"/>
    <w:rPr>
      <w:rFonts w:ascii="Calibri" w:eastAsia="SimSun" w:hAnsi="Calibri" w:cs="Arial"/>
    </w:rPr>
  </w:style>
  <w:style w:type="paragraph" w:customStyle="1" w:styleId="normalWSIS">
    <w:name w:val="normal WSIS"/>
    <w:basedOn w:val="ListParagraph"/>
    <w:link w:val="normalWSISChar"/>
    <w:qFormat/>
    <w:rsid w:val="00CE6D77"/>
    <w:pPr>
      <w:numPr>
        <w:numId w:val="5"/>
      </w:numPr>
      <w:tabs>
        <w:tab w:val="left" w:pos="426"/>
      </w:tabs>
      <w:spacing w:after="200"/>
    </w:pPr>
    <w:rPr>
      <w:rFonts w:eastAsia="SimSun" w:cs="Arial"/>
      <w:sz w:val="20"/>
      <w:szCs w:val="20"/>
      <w:lang w:eastAsia="zh-CN"/>
    </w:rPr>
  </w:style>
  <w:style w:type="paragraph" w:styleId="Revision">
    <w:name w:val="Revision"/>
    <w:hidden/>
    <w:uiPriority w:val="99"/>
    <w:semiHidden/>
    <w:rsid w:val="00CE6D77"/>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CE6D77"/>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CE6D77"/>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CE6D77"/>
    <w:rPr>
      <w:color w:val="2B579A"/>
      <w:shd w:val="clear" w:color="auto" w:fill="E1DFDD"/>
    </w:rPr>
  </w:style>
  <w:style w:type="character" w:customStyle="1" w:styleId="Heading5Char">
    <w:name w:val="Heading 5 Char"/>
    <w:basedOn w:val="DefaultParagraphFont"/>
    <w:link w:val="Heading5"/>
    <w:uiPriority w:val="9"/>
    <w:rsid w:val="00CE6D77"/>
    <w:rPr>
      <w:rFonts w:ascii="Calibri" w:hAnsi="Calibri"/>
      <w:b/>
      <w:sz w:val="24"/>
      <w:lang w:val="es-ES_tradnl" w:eastAsia="en-US"/>
    </w:rPr>
  </w:style>
  <w:style w:type="character" w:customStyle="1" w:styleId="Heading3Char">
    <w:name w:val="Heading 3 Char"/>
    <w:basedOn w:val="DefaultParagraphFont"/>
    <w:link w:val="Heading3"/>
    <w:uiPriority w:val="9"/>
    <w:rsid w:val="001A500C"/>
    <w:rPr>
      <w:rFonts w:ascii="Calibri" w:hAnsi="Calibri"/>
      <w:b/>
      <w:sz w:val="24"/>
      <w:lang w:val="es-ES_tradnl" w:eastAsia="en-US"/>
    </w:rPr>
  </w:style>
  <w:style w:type="paragraph" w:styleId="TOCHeading">
    <w:name w:val="TOC Heading"/>
    <w:basedOn w:val="Heading1"/>
    <w:next w:val="Normal"/>
    <w:uiPriority w:val="39"/>
    <w:unhideWhenUsed/>
    <w:qFormat/>
    <w:rsid w:val="00CE6D77"/>
    <w:pPr>
      <w:tabs>
        <w:tab w:val="clear" w:pos="1134"/>
        <w:tab w:val="clear" w:pos="1701"/>
        <w:tab w:val="clear" w:pos="2268"/>
        <w:tab w:val="clear" w:pos="2835"/>
      </w:tabs>
      <w:overflowPunct/>
      <w:autoSpaceDE/>
      <w:autoSpaceDN/>
      <w:adjustRightInd/>
      <w:spacing w:before="240" w:line="259" w:lineRule="auto"/>
      <w:textAlignment w:val="auto"/>
      <w:outlineLvl w:val="9"/>
    </w:pPr>
    <w:rPr>
      <w:rFonts w:eastAsiaTheme="majorEastAsia" w:cs="Calibri"/>
      <w:b w:val="0"/>
      <w:color w:val="365F91" w:themeColor="accent1" w:themeShade="BF"/>
      <w:sz w:val="32"/>
      <w:szCs w:val="32"/>
      <w:lang w:val="en-US"/>
    </w:rPr>
  </w:style>
  <w:style w:type="character" w:styleId="Strong">
    <w:name w:val="Strong"/>
    <w:basedOn w:val="DefaultParagraphFont"/>
    <w:uiPriority w:val="22"/>
    <w:qFormat/>
    <w:rsid w:val="00CE6D77"/>
    <w:rPr>
      <w:b/>
      <w:bCs/>
    </w:rPr>
  </w:style>
  <w:style w:type="paragraph" w:customStyle="1" w:styleId="xmsolistparagraph">
    <w:name w:val="x_msolistparagraph"/>
    <w:basedOn w:val="Normal"/>
    <w:rsid w:val="00CE6D77"/>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val="en-GB" w:eastAsia="en-GB"/>
    </w:rPr>
  </w:style>
  <w:style w:type="character" w:customStyle="1" w:styleId="apple-style-span">
    <w:name w:val="apple-style-span"/>
    <w:basedOn w:val="DefaultParagraphFont"/>
    <w:rsid w:val="00CE6D77"/>
  </w:style>
  <w:style w:type="character" w:styleId="SubtleEmphasis">
    <w:name w:val="Subtle Emphasis"/>
    <w:basedOn w:val="DefaultParagraphFont"/>
    <w:uiPriority w:val="19"/>
    <w:qFormat/>
    <w:rsid w:val="00CE6D77"/>
    <w:rPr>
      <w:i/>
      <w:iCs/>
      <w:color w:val="404040" w:themeColor="text1" w:themeTint="BF"/>
    </w:rPr>
  </w:style>
  <w:style w:type="paragraph" w:customStyle="1" w:styleId="tabletitle0">
    <w:name w:val="table_title"/>
    <w:basedOn w:val="Normal"/>
    <w:qFormat/>
    <w:rsid w:val="00CE6D77"/>
    <w:pPr>
      <w:keepNext/>
      <w:tabs>
        <w:tab w:val="clear" w:pos="567"/>
        <w:tab w:val="clear" w:pos="1134"/>
        <w:tab w:val="clear" w:pos="1701"/>
        <w:tab w:val="clear" w:pos="2268"/>
        <w:tab w:val="clear" w:pos="2835"/>
      </w:tabs>
      <w:overflowPunct/>
      <w:autoSpaceDE/>
      <w:autoSpaceDN/>
      <w:adjustRightInd/>
      <w:spacing w:before="0" w:after="120"/>
      <w:jc w:val="both"/>
      <w:textAlignment w:val="auto"/>
    </w:pPr>
    <w:rPr>
      <w:rFonts w:eastAsiaTheme="minorHAnsi" w:cs="Calibri"/>
      <w:b/>
      <w:bCs/>
      <w:color w:val="4472C4"/>
      <w:sz w:val="22"/>
      <w:szCs w:val="22"/>
      <w:lang w:val="en-GB"/>
    </w:rPr>
  </w:style>
  <w:style w:type="paragraph" w:customStyle="1" w:styleId="boxhead">
    <w:name w:val="box_head"/>
    <w:basedOn w:val="Normal"/>
    <w:qFormat/>
    <w:rsid w:val="00CE6D77"/>
    <w:pPr>
      <w:tabs>
        <w:tab w:val="clear" w:pos="567"/>
        <w:tab w:val="clear" w:pos="1134"/>
        <w:tab w:val="clear" w:pos="1701"/>
        <w:tab w:val="clear" w:pos="2268"/>
        <w:tab w:val="clear" w:pos="2835"/>
      </w:tabs>
      <w:overflowPunct/>
      <w:autoSpaceDE/>
      <w:autoSpaceDN/>
      <w:adjustRightInd/>
      <w:spacing w:after="60"/>
      <w:textAlignment w:val="auto"/>
    </w:pPr>
    <w:rPr>
      <w:rFonts w:eastAsia="Calibri" w:cs="Calibri"/>
      <w:b/>
      <w:sz w:val="22"/>
      <w:szCs w:val="22"/>
      <w:u w:val="single"/>
      <w:lang w:val="en-GB" w:eastAsia="zh-CN"/>
    </w:rPr>
  </w:style>
  <w:style w:type="paragraph" w:customStyle="1" w:styleId="boxbullet">
    <w:name w:val="box_bullet"/>
    <w:basedOn w:val="Normal"/>
    <w:qFormat/>
    <w:rsid w:val="00CE6D77"/>
    <w:pPr>
      <w:numPr>
        <w:numId w:val="6"/>
      </w:numPr>
      <w:tabs>
        <w:tab w:val="clear" w:pos="567"/>
        <w:tab w:val="clear" w:pos="1134"/>
        <w:tab w:val="clear" w:pos="1701"/>
        <w:tab w:val="clear" w:pos="2268"/>
        <w:tab w:val="clear" w:pos="2835"/>
      </w:tabs>
      <w:overflowPunct/>
      <w:autoSpaceDE/>
      <w:autoSpaceDN/>
      <w:adjustRightInd/>
      <w:spacing w:before="60" w:after="60"/>
      <w:ind w:left="714" w:hanging="357"/>
      <w:jc w:val="both"/>
      <w:textAlignment w:val="auto"/>
    </w:pPr>
    <w:rPr>
      <w:rFonts w:eastAsiaTheme="minorEastAsia" w:cs="Calibri"/>
      <w:sz w:val="22"/>
      <w:szCs w:val="22"/>
      <w:lang w:val="en-GB" w:eastAsia="zh-CN"/>
    </w:rPr>
  </w:style>
  <w:style w:type="paragraph" w:customStyle="1" w:styleId="Boxbullet2">
    <w:name w:val="Box_bullet2"/>
    <w:basedOn w:val="Normal"/>
    <w:qFormat/>
    <w:rsid w:val="00CE6D77"/>
    <w:pPr>
      <w:numPr>
        <w:ilvl w:val="1"/>
        <w:numId w:val="6"/>
      </w:numPr>
      <w:tabs>
        <w:tab w:val="clear" w:pos="567"/>
        <w:tab w:val="clear" w:pos="1134"/>
        <w:tab w:val="clear" w:pos="1701"/>
        <w:tab w:val="clear" w:pos="2268"/>
        <w:tab w:val="clear" w:pos="2835"/>
      </w:tabs>
      <w:overflowPunct/>
      <w:autoSpaceDE/>
      <w:autoSpaceDN/>
      <w:adjustRightInd/>
      <w:spacing w:before="60" w:after="60"/>
      <w:ind w:left="1434" w:hanging="357"/>
      <w:jc w:val="both"/>
      <w:textAlignment w:val="auto"/>
    </w:pPr>
    <w:rPr>
      <w:rFonts w:eastAsiaTheme="minorEastAsia"/>
      <w:sz w:val="22"/>
      <w:szCs w:val="22"/>
      <w:lang w:val="en-GB" w:eastAsia="zh-CN"/>
    </w:rPr>
  </w:style>
  <w:style w:type="paragraph" w:customStyle="1" w:styleId="tabletext0">
    <w:name w:val="table_text"/>
    <w:basedOn w:val="Normal"/>
    <w:rsid w:val="00CE6D77"/>
    <w:pPr>
      <w:tabs>
        <w:tab w:val="clear" w:pos="567"/>
        <w:tab w:val="clear" w:pos="1134"/>
        <w:tab w:val="clear" w:pos="1701"/>
        <w:tab w:val="clear" w:pos="2268"/>
        <w:tab w:val="clear" w:pos="2835"/>
      </w:tabs>
      <w:overflowPunct/>
      <w:autoSpaceDE/>
      <w:autoSpaceDN/>
      <w:adjustRightInd/>
      <w:spacing w:before="80" w:after="80"/>
      <w:jc w:val="both"/>
      <w:textAlignment w:val="auto"/>
    </w:pPr>
    <w:rPr>
      <w:rFonts w:eastAsiaTheme="minorEastAsia" w:cs="Calibri"/>
      <w:sz w:val="22"/>
      <w:szCs w:val="22"/>
      <w:lang w:val="en-GB" w:eastAsia="zh-CN"/>
    </w:rPr>
  </w:style>
  <w:style w:type="character" w:customStyle="1" w:styleId="Heading9Char">
    <w:name w:val="Heading 9 Char"/>
    <w:basedOn w:val="DefaultParagraphFont"/>
    <w:link w:val="Heading9"/>
    <w:uiPriority w:val="9"/>
    <w:rsid w:val="00CE6D77"/>
    <w:rPr>
      <w:rFonts w:ascii="Calibri" w:hAnsi="Calibri"/>
      <w:b/>
      <w:sz w:val="24"/>
      <w:lang w:val="es-ES_tradnl" w:eastAsia="en-US"/>
    </w:rPr>
  </w:style>
  <w:style w:type="character" w:customStyle="1" w:styleId="A0">
    <w:name w:val="A0"/>
    <w:uiPriority w:val="99"/>
    <w:rsid w:val="00CE6D77"/>
    <w:rPr>
      <w:color w:val="404041"/>
      <w:sz w:val="21"/>
      <w:szCs w:val="21"/>
    </w:rPr>
  </w:style>
  <w:style w:type="table" w:customStyle="1" w:styleId="ListTable4-Accent11">
    <w:name w:val="List Table 4 - Accent 11"/>
    <w:basedOn w:val="TableNormal"/>
    <w:uiPriority w:val="49"/>
    <w:rsid w:val="00CE6D77"/>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CE6D77"/>
    <w:pPr>
      <w:tabs>
        <w:tab w:val="clear" w:pos="567"/>
        <w:tab w:val="clear" w:pos="1134"/>
        <w:tab w:val="clear" w:pos="1701"/>
        <w:tab w:val="clear" w:pos="2268"/>
        <w:tab w:val="clear" w:pos="283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CE6D7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character" w:customStyle="1" w:styleId="SmartLink1">
    <w:name w:val="SmartLink1"/>
    <w:basedOn w:val="DefaultParagraphFont"/>
    <w:uiPriority w:val="99"/>
    <w:semiHidden/>
    <w:unhideWhenUsed/>
    <w:rsid w:val="00CE6D77"/>
    <w:rPr>
      <w:color w:val="0000FF"/>
      <w:u w:val="single"/>
      <w:shd w:val="clear" w:color="auto" w:fill="F3F2F1"/>
    </w:rPr>
  </w:style>
  <w:style w:type="character" w:customStyle="1" w:styleId="apple-converted-space">
    <w:name w:val="apple-converted-space"/>
    <w:basedOn w:val="DefaultParagraphFont"/>
    <w:rsid w:val="00CE6D77"/>
  </w:style>
  <w:style w:type="character" w:customStyle="1" w:styleId="ms-rtethemeforecolor-2-0">
    <w:name w:val="ms-rtethemeforecolor-2-0"/>
    <w:basedOn w:val="DefaultParagraphFont"/>
    <w:rsid w:val="00CE6D77"/>
  </w:style>
  <w:style w:type="character" w:customStyle="1" w:styleId="Heading4Char">
    <w:name w:val="Heading 4 Char"/>
    <w:basedOn w:val="DefaultParagraphFont"/>
    <w:link w:val="Heading4"/>
    <w:uiPriority w:val="9"/>
    <w:rsid w:val="00CE6D77"/>
    <w:rPr>
      <w:rFonts w:ascii="Calibri" w:hAnsi="Calibri"/>
      <w:b/>
      <w:sz w:val="24"/>
      <w:lang w:val="es-ES_tradnl" w:eastAsia="en-US"/>
    </w:rPr>
  </w:style>
  <w:style w:type="character" w:customStyle="1" w:styleId="UnresolvedMention100">
    <w:name w:val="Unresolved Mention10"/>
    <w:basedOn w:val="DefaultParagraphFont"/>
    <w:uiPriority w:val="99"/>
    <w:unhideWhenUsed/>
    <w:rsid w:val="00CE6D77"/>
    <w:rPr>
      <w:color w:val="605E5C"/>
      <w:shd w:val="clear" w:color="auto" w:fill="E1DFDD"/>
    </w:rPr>
  </w:style>
  <w:style w:type="character" w:customStyle="1" w:styleId="Mention10">
    <w:name w:val="Mention10"/>
    <w:basedOn w:val="DefaultParagraphFont"/>
    <w:uiPriority w:val="99"/>
    <w:unhideWhenUsed/>
    <w:rsid w:val="00CE6D77"/>
    <w:rPr>
      <w:color w:val="2B579A"/>
      <w:shd w:val="clear" w:color="auto" w:fill="E1DFDD"/>
    </w:rPr>
  </w:style>
  <w:style w:type="character" w:customStyle="1" w:styleId="UnresolvedMention2">
    <w:name w:val="Unresolved Mention2"/>
    <w:basedOn w:val="DefaultParagraphFont"/>
    <w:uiPriority w:val="99"/>
    <w:semiHidden/>
    <w:unhideWhenUsed/>
    <w:rsid w:val="00CE6D77"/>
    <w:rPr>
      <w:color w:val="605E5C"/>
      <w:shd w:val="clear" w:color="auto" w:fill="E1DFDD"/>
    </w:rPr>
  </w:style>
  <w:style w:type="character" w:customStyle="1" w:styleId="Mention2">
    <w:name w:val="Mention2"/>
    <w:basedOn w:val="DefaultParagraphFont"/>
    <w:uiPriority w:val="99"/>
    <w:unhideWhenUsed/>
    <w:rsid w:val="00CE6D77"/>
    <w:rPr>
      <w:color w:val="2B579A"/>
      <w:shd w:val="clear" w:color="auto" w:fill="E1DFDD"/>
    </w:rPr>
  </w:style>
  <w:style w:type="paragraph" w:styleId="EndnoteText">
    <w:name w:val="endnote text"/>
    <w:basedOn w:val="Normal"/>
    <w:link w:val="EndnoteTextChar"/>
    <w:uiPriority w:val="99"/>
    <w:semiHidden/>
    <w:unhideWhenUsed/>
    <w:rsid w:val="00CE6D77"/>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EndnoteTextChar">
    <w:name w:val="Endnote Text Char"/>
    <w:basedOn w:val="DefaultParagraphFont"/>
    <w:link w:val="EndnoteText"/>
    <w:uiPriority w:val="99"/>
    <w:semiHidden/>
    <w:rsid w:val="00CE6D77"/>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CE6D77"/>
    <w:rPr>
      <w:vertAlign w:val="superscript"/>
    </w:rPr>
  </w:style>
  <w:style w:type="paragraph" w:customStyle="1" w:styleId="yiv3170009829msonormal">
    <w:name w:val="yiv3170009829msonormal"/>
    <w:basedOn w:val="Normal"/>
    <w:rsid w:val="00CE6D77"/>
    <w:pPr>
      <w:tabs>
        <w:tab w:val="clear" w:pos="567"/>
        <w:tab w:val="clear" w:pos="1134"/>
        <w:tab w:val="clear" w:pos="1701"/>
        <w:tab w:val="clear" w:pos="2268"/>
        <w:tab w:val="clear" w:pos="2835"/>
      </w:tabs>
      <w:suppressAutoHyphens/>
      <w:overflowPunct/>
      <w:autoSpaceDE/>
      <w:adjustRightInd/>
      <w:spacing w:before="100" w:after="100"/>
    </w:pPr>
    <w:rPr>
      <w:rFonts w:ascii="Times New Roman" w:hAnsi="Times New Roman"/>
      <w:szCs w:val="24"/>
      <w:lang w:val="fr-CH" w:eastAsia="fr-CH"/>
    </w:rPr>
  </w:style>
  <w:style w:type="character" w:customStyle="1" w:styleId="yiv3170009829msohyperlink">
    <w:name w:val="yiv3170009829msohyperlink"/>
    <w:basedOn w:val="DefaultParagraphFont"/>
    <w:rsid w:val="00CE6D77"/>
  </w:style>
  <w:style w:type="character" w:customStyle="1" w:styleId="enumlev1Char">
    <w:name w:val="enumlev1 Char"/>
    <w:basedOn w:val="DefaultParagraphFont"/>
    <w:link w:val="enumlev1"/>
    <w:rsid w:val="00A84AA8"/>
    <w:rPr>
      <w:rFonts w:ascii="Calibri" w:hAnsi="Calibri"/>
      <w:sz w:val="24"/>
      <w:lang w:val="es-ES_tradnl" w:eastAsia="en-US"/>
    </w:rPr>
  </w:style>
  <w:style w:type="character" w:customStyle="1" w:styleId="tabchar">
    <w:name w:val="tabchar"/>
    <w:basedOn w:val="DefaultParagraphFont"/>
    <w:rsid w:val="00CE6D77"/>
  </w:style>
  <w:style w:type="character" w:customStyle="1" w:styleId="ui-provider">
    <w:name w:val="ui-provider"/>
    <w:basedOn w:val="DefaultParagraphFont"/>
    <w:rsid w:val="00CE6D77"/>
  </w:style>
  <w:style w:type="paragraph" w:customStyle="1" w:styleId="Subtitle1">
    <w:name w:val="Subtitle1"/>
    <w:basedOn w:val="Title1"/>
    <w:qFormat/>
    <w:rsid w:val="00CE6D77"/>
    <w:pPr>
      <w:framePr w:hSpace="180" w:wrap="around" w:hAnchor="text" w:x="1821" w:y="2317"/>
      <w:spacing w:before="120" w:after="160"/>
      <w:jc w:val="left"/>
    </w:pPr>
    <w:rPr>
      <w:caps w:val="0"/>
      <w:sz w:val="34"/>
      <w:lang w:val="en-GB"/>
    </w:rPr>
  </w:style>
  <w:style w:type="paragraph" w:customStyle="1" w:styleId="xmsonormal">
    <w:name w:val="x_msonormal"/>
    <w:basedOn w:val="Normal"/>
    <w:rsid w:val="00CE6D7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styleId="NoSpacing">
    <w:name w:val="No Spacing"/>
    <w:uiPriority w:val="1"/>
    <w:qFormat/>
    <w:rsid w:val="00CE6D77"/>
    <w:rPr>
      <w:rFonts w:asciiTheme="minorHAnsi" w:eastAsiaTheme="minorEastAsia" w:hAnsiTheme="minorHAnsi" w:cstheme="minorBidi"/>
      <w:kern w:val="2"/>
      <w:sz w:val="22"/>
      <w:szCs w:val="22"/>
      <w:lang w:val="en-GB"/>
      <w14:ligatures w14:val="standardContextual"/>
    </w:rPr>
  </w:style>
  <w:style w:type="paragraph" w:customStyle="1" w:styleId="pf0">
    <w:name w:val="pf0"/>
    <w:basedOn w:val="Normal"/>
    <w:rsid w:val="00CE6D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cf01">
    <w:name w:val="cf01"/>
    <w:basedOn w:val="DefaultParagraphFont"/>
    <w:rsid w:val="00CE6D77"/>
    <w:rPr>
      <w:rFonts w:ascii="Segoe UI" w:hAnsi="Segoe UI" w:cs="Segoe UI" w:hint="default"/>
      <w:b/>
      <w:bCs/>
      <w:sz w:val="24"/>
      <w:szCs w:val="24"/>
    </w:rPr>
  </w:style>
  <w:style w:type="table" w:customStyle="1" w:styleId="TableGridLight1">
    <w:name w:val="Table Grid Light1"/>
    <w:basedOn w:val="TableNormal"/>
    <w:uiPriority w:val="40"/>
    <w:rsid w:val="005946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765A16"/>
    <w:rPr>
      <w:color w:val="605E5C"/>
      <w:shd w:val="clear" w:color="auto" w:fill="E1DFDD"/>
    </w:rPr>
  </w:style>
  <w:style w:type="character" w:styleId="UnresolvedMention">
    <w:name w:val="Unresolved Mention"/>
    <w:basedOn w:val="DefaultParagraphFont"/>
    <w:uiPriority w:val="99"/>
    <w:semiHidden/>
    <w:unhideWhenUsed/>
    <w:rsid w:val="0023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73083">
      <w:bodyDiv w:val="1"/>
      <w:marLeft w:val="0"/>
      <w:marRight w:val="0"/>
      <w:marTop w:val="0"/>
      <w:marBottom w:val="0"/>
      <w:divBdr>
        <w:top w:val="none" w:sz="0" w:space="0" w:color="auto"/>
        <w:left w:val="none" w:sz="0" w:space="0" w:color="auto"/>
        <w:bottom w:val="none" w:sz="0" w:space="0" w:color="auto"/>
        <w:right w:val="none" w:sz="0" w:space="0" w:color="auto"/>
      </w:divBdr>
    </w:div>
    <w:div w:id="20699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hub/2023/07/new-un-initiative-aims-to-step-up-ais-contribution-to-health/" TargetMode="External"/><Relationship Id="rId21" Type="http://schemas.openxmlformats.org/officeDocument/2006/relationships/hyperlink" Target="https://aiforgood.itu.int/scaling-up-global-action-on-sustainable-development-winning-ai-start-up-awarded-at-ai-for-good-global-summit/" TargetMode="External"/><Relationship Id="rId42" Type="http://schemas.openxmlformats.org/officeDocument/2006/relationships/hyperlink" Target="https://www.itu.int/highlights-report-activities/connect2030-agenda/" TargetMode="External"/><Relationship Id="rId63" Type="http://schemas.openxmlformats.org/officeDocument/2006/relationships/hyperlink" Target="https://www.itu.int/en/ITU-T/ssc/united/Pages/publication-U4SSC-KPIs.aspx" TargetMode="External"/><Relationship Id="rId84" Type="http://schemas.openxmlformats.org/officeDocument/2006/relationships/hyperlink" Target="https://www.itu.int/en/ITU-T/academia/kaleidoscope/2024/Pages/default.aspx" TargetMode="External"/><Relationship Id="rId138" Type="http://schemas.openxmlformats.org/officeDocument/2006/relationships/hyperlink" Target="http://www.itu.int/en/ITU-T/tsbdir/cto/Pages/default.aspx" TargetMode="External"/><Relationship Id="rId159" Type="http://schemas.openxmlformats.org/officeDocument/2006/relationships/hyperlink" Target="https://www.itu.int/net4/wsis/forum/2024/Home/WSISTalkX" TargetMode="External"/><Relationship Id="rId170" Type="http://schemas.openxmlformats.org/officeDocument/2006/relationships/hyperlink" Target="https://www.itu.int/en/ITU-T/Workshops-and-Seminars/Pages/default.aspx" TargetMode="External"/><Relationship Id="rId107" Type="http://schemas.openxmlformats.org/officeDocument/2006/relationships/hyperlink" Target="https://sdgs.un.org/es" TargetMode="External"/><Relationship Id="rId11" Type="http://schemas.openxmlformats.org/officeDocument/2006/relationships/hyperlink" Target="https://www.itu.int/en/council/Documents/basic-texts-2023/Convention-S.pdf" TargetMode="External"/><Relationship Id="rId32" Type="http://schemas.openxmlformats.org/officeDocument/2006/relationships/hyperlink" Target="https://www.itu.int/pub/R-RES-R.73/es" TargetMode="External"/><Relationship Id="rId53" Type="http://schemas.openxmlformats.org/officeDocument/2006/relationships/hyperlink" Target="https://www.itu.int/en/ITU-T/focusgroups/mv/Pages/default.aspx" TargetMode="External"/><Relationship Id="rId74" Type="http://schemas.openxmlformats.org/officeDocument/2006/relationships/hyperlink" Target="http://www.itu.int/gender" TargetMode="External"/><Relationship Id="rId128" Type="http://schemas.openxmlformats.org/officeDocument/2006/relationships/hyperlink" Target="https://www.itu.int/en/ITU-T/ssc/united/Pages/publication-U4SSC-KPIs.aspx" TargetMode="External"/><Relationship Id="rId149" Type="http://schemas.openxmlformats.org/officeDocument/2006/relationships/hyperlink" Target="https://www.worldstandardscooperation.org/what-we-do/world-standards-day/" TargetMode="External"/><Relationship Id="rId5" Type="http://schemas.openxmlformats.org/officeDocument/2006/relationships/webSettings" Target="webSettings.xml"/><Relationship Id="rId95" Type="http://schemas.openxmlformats.org/officeDocument/2006/relationships/hyperlink" Target="https://www.itu.int/itu-d/sites/digital-impact-unlocked/national-roll-outs-of-early-warnings-for-all-ew4all-initiative-begin/" TargetMode="External"/><Relationship Id="rId160" Type="http://schemas.openxmlformats.org/officeDocument/2006/relationships/hyperlink" Target="https://www.itu.int/net4/wsis/forum/2023/Home/Hackathon" TargetMode="External"/><Relationship Id="rId181" Type="http://schemas.openxmlformats.org/officeDocument/2006/relationships/hyperlink" Target="https://www.itu.int/net4/Search/CL24/" TargetMode="External"/><Relationship Id="rId22" Type="http://schemas.openxmlformats.org/officeDocument/2006/relationships/hyperlink" Target="https://www.itu.int/pub/R-REC/es" TargetMode="External"/><Relationship Id="rId43" Type="http://schemas.openxmlformats.org/officeDocument/2006/relationships/hyperlink" Target="https://www.itu.int/es/ITU-R/terrestrial/Pages/default.aspx" TargetMode="External"/><Relationship Id="rId64" Type="http://schemas.openxmlformats.org/officeDocument/2006/relationships/hyperlink" Target="https://u4ssc.itu.int/latest-meetings/7th-meeting/" TargetMode="External"/><Relationship Id="rId118" Type="http://schemas.openxmlformats.org/officeDocument/2006/relationships/hyperlink" Target="https://aiforgood.itu.int/summit23/" TargetMode="External"/><Relationship Id="rId139" Type="http://schemas.openxmlformats.org/officeDocument/2006/relationships/hyperlink" Target="https://www.itu.int/en/ITU-T/tsbdir/CxO/Pages/CxO-20231205.aspx" TargetMode="External"/><Relationship Id="rId85" Type="http://schemas.openxmlformats.org/officeDocument/2006/relationships/hyperlink" Target="https://www.itu.int/wtsa/2024/" TargetMode="External"/><Relationship Id="rId150" Type="http://schemas.openxmlformats.org/officeDocument/2006/relationships/hyperlink" Target="https://www.worldstandardscooperation.org/what-we-do/world-standards-day/" TargetMode="External"/><Relationship Id="rId171" Type="http://schemas.openxmlformats.org/officeDocument/2006/relationships/hyperlink" Target="https://www.itu.int/hub/membership/" TargetMode="External"/><Relationship Id="rId12" Type="http://schemas.openxmlformats.org/officeDocument/2006/relationships/header" Target="header1.xml"/><Relationship Id="rId33" Type="http://schemas.openxmlformats.org/officeDocument/2006/relationships/hyperlink" Target="https://www.itu.int/pub/R-RES-R.74/es" TargetMode="External"/><Relationship Id="rId108" Type="http://schemas.openxmlformats.org/officeDocument/2006/relationships/hyperlink" Target="https://www.un.org/en/conferences/SDGSummit2023/SDG-Action-Weekend" TargetMode="External"/><Relationship Id="rId129" Type="http://schemas.openxmlformats.org/officeDocument/2006/relationships/hyperlink" Target="https://u4ssc.itu.int/publications/" TargetMode="External"/><Relationship Id="rId54" Type="http://schemas.openxmlformats.org/officeDocument/2006/relationships/hyperlink" Target="https://www.itu.int/en/ITU-T/focusgroups/mv/Pages/deliverables.aspx" TargetMode="External"/><Relationship Id="rId75" Type="http://schemas.openxmlformats.org/officeDocument/2006/relationships/hyperlink" Target="http://www.itu.int/genderdashboard" TargetMode="External"/><Relationship Id="rId96" Type="http://schemas.openxmlformats.org/officeDocument/2006/relationships/hyperlink" Target="https://www.itu.int/es/ITU-T/publications/Pages/recs.aspx" TargetMode="External"/><Relationship Id="rId140" Type="http://schemas.openxmlformats.org/officeDocument/2006/relationships/hyperlink" Target="https://www.itu.int/en/ITU-T/tsbdir/cto/Documents/Communique_ITU_CxO_2023.pdf" TargetMode="External"/><Relationship Id="rId161" Type="http://schemas.openxmlformats.org/officeDocument/2006/relationships/hyperlink" Target="http://www.wsis.org/sdg" TargetMode="External"/><Relationship Id="rId182" Type="http://schemas.openxmlformats.org/officeDocument/2006/relationships/header" Target="header3.xml"/><Relationship Id="rId6" Type="http://schemas.openxmlformats.org/officeDocument/2006/relationships/footnotes" Target="footnotes.xml"/><Relationship Id="rId23" Type="http://schemas.openxmlformats.org/officeDocument/2006/relationships/hyperlink" Target="https://www.itu.int/hub/2024/03/new-itu-clock-concept-for-more-resilient-synchronization-networks/" TargetMode="External"/><Relationship Id="rId119" Type="http://schemas.openxmlformats.org/officeDocument/2006/relationships/hyperlink" Target="https://www.itu.int/en/ITU-T/focusgroups/ai4h/Pages/default.aspx" TargetMode="External"/><Relationship Id="rId44" Type="http://schemas.openxmlformats.org/officeDocument/2006/relationships/hyperlink" Target="https://www.itu.int/md/S23-CL-C-0035/es" TargetMode="External"/><Relationship Id="rId65" Type="http://schemas.openxmlformats.org/officeDocument/2006/relationships/hyperlink" Target="https://u4ssc.itu.int/u4ssc-management-team/" TargetMode="External"/><Relationship Id="rId86" Type="http://schemas.openxmlformats.org/officeDocument/2006/relationships/hyperlink" Target="https://www.itu.int/en/ITU-D/Digital-Inclusion/Pages/ICT-digital-accessibility/default.aspx" TargetMode="External"/><Relationship Id="rId130" Type="http://schemas.openxmlformats.org/officeDocument/2006/relationships/hyperlink" Target="https://u4ssc.itu.int/latest-meetings/7th-meeting/" TargetMode="External"/><Relationship Id="rId151" Type="http://schemas.openxmlformats.org/officeDocument/2006/relationships/hyperlink" Target="https://www.itu.int/en/ITU-T/focusgroups/ai4ndm/Pages/default.aspx" TargetMode="External"/><Relationship Id="rId172" Type="http://schemas.openxmlformats.org/officeDocument/2006/relationships/hyperlink" Target="https://www.itu.int/en/journal/j-fet/Pages/default.aspx" TargetMode="External"/><Relationship Id="rId13" Type="http://schemas.openxmlformats.org/officeDocument/2006/relationships/footer" Target="footer1.xml"/><Relationship Id="rId18" Type="http://schemas.openxmlformats.org/officeDocument/2006/relationships/hyperlink" Target="https://www.itu.int/es/council/planning/Pages/default.aspx" TargetMode="External"/><Relationship Id="rId39" Type="http://schemas.openxmlformats.org/officeDocument/2006/relationships/hyperlink" Target="https://www.itu.int/itu-d/reports/statistics/2023/10/10/ff23-mobile-phone-ownership/" TargetMode="External"/><Relationship Id="rId109" Type="http://schemas.openxmlformats.org/officeDocument/2006/relationships/hyperlink" Target="https://www.un.org/es/sdg-summit-2023/page/transformative-action" TargetMode="External"/><Relationship Id="rId34" Type="http://schemas.openxmlformats.org/officeDocument/2006/relationships/hyperlink" Target="https://www.itu.int/pub/R-RES-R.75/es" TargetMode="External"/><Relationship Id="rId50" Type="http://schemas.openxmlformats.org/officeDocument/2006/relationships/hyperlink" Target="https://aiforgood.itu.int/about-ai-for-good/geoai-challenge/" TargetMode="External"/><Relationship Id="rId55" Type="http://schemas.openxmlformats.org/officeDocument/2006/relationships/hyperlink" Target="https://www.itu.int/itu-d/sites/digital-impact-unlocked/opening-of-the-ipv6-laboratory-in-montenegro/" TargetMode="External"/><Relationship Id="rId76" Type="http://schemas.openxmlformats.org/officeDocument/2006/relationships/hyperlink" Target="https://www.itu.int/en/action/youth/Pages/itu-secretary-generals-youth-advisory-board.aspx" TargetMode="External"/><Relationship Id="rId97" Type="http://schemas.openxmlformats.org/officeDocument/2006/relationships/hyperlink" Target="https://www.itu.int/pub/R-REC/es" TargetMode="External"/><Relationship Id="rId104" Type="http://schemas.openxmlformats.org/officeDocument/2006/relationships/hyperlink" Target="https://www.itu.int/itu-d/sites/partner2connect/partner2connect-annual-meeting-2023/" TargetMode="External"/><Relationship Id="rId120" Type="http://schemas.openxmlformats.org/officeDocument/2006/relationships/hyperlink" Target="https://www.itu.int/en/ITU-T/dfs/Documents/ITU%20Cyber%20Security%20Resilience%20Assessment%20toolkit%20for%20DFS%20Critical%20Infrastructure.pdf" TargetMode="External"/><Relationship Id="rId125" Type="http://schemas.openxmlformats.org/officeDocument/2006/relationships/hyperlink" Target="http://www.itu.int/en/ITU-T/ssc/united/Pages/default.aspx" TargetMode="External"/><Relationship Id="rId141" Type="http://schemas.openxmlformats.org/officeDocument/2006/relationships/hyperlink" Target="https://www.itu.int/initiatives/green-digital-action-atcop28/" TargetMode="External"/><Relationship Id="rId146" Type="http://schemas.openxmlformats.org/officeDocument/2006/relationships/hyperlink" Target="https://aiforgood.itu.int/about-ai-for-good/innovation-factory/" TargetMode="External"/><Relationship Id="rId167" Type="http://schemas.openxmlformats.org/officeDocument/2006/relationships/hyperlink" Target="https://www.itu.int/en/ITU-R/study-groups/rsg4/Pages/Workshop-ITU-in-Service-of-Space.aspx" TargetMode="External"/><Relationship Id="rId7" Type="http://schemas.openxmlformats.org/officeDocument/2006/relationships/endnotes" Target="endnotes.xml"/><Relationship Id="rId71" Type="http://schemas.openxmlformats.org/officeDocument/2006/relationships/hyperlink" Target="https://www.itu.int/md/S24-CL-C-0018/es" TargetMode="External"/><Relationship Id="rId92" Type="http://schemas.openxmlformats.org/officeDocument/2006/relationships/hyperlink" Target="https://www.itu.int/es/ITU-R/information/Pages/disabilities-divide.aspx" TargetMode="External"/><Relationship Id="rId162" Type="http://schemas.openxmlformats.org/officeDocument/2006/relationships/hyperlink" Target="https://www.itu.int/itu-d/meetings/gsr-23/es/" TargetMode="External"/><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itu.int/pub/R-RES-R.56/es" TargetMode="External"/><Relationship Id="rId24" Type="http://schemas.openxmlformats.org/officeDocument/2006/relationships/hyperlink" Target="https://www.itu.int/es/mediacentre/Pages/PR-2024-03-20-e-waste-recycling.aspx" TargetMode="External"/><Relationship Id="rId40" Type="http://schemas.openxmlformats.org/officeDocument/2006/relationships/hyperlink" Target="https://www.itu.int/en/ITU-D/Statistics/Pages/expertgroups.aspx" TargetMode="External"/><Relationship Id="rId45" Type="http://schemas.openxmlformats.org/officeDocument/2006/relationships/hyperlink" Target="https://www.itu.int/itu-d/sites/digital-impact-unlocked/itu-deploys-satellite-telecommunications-equipment-to-papua-new-guinea/" TargetMode="External"/><Relationship Id="rId66" Type="http://schemas.openxmlformats.org/officeDocument/2006/relationships/hyperlink" Target="https://u4ssc.itu.int/publications/" TargetMode="External"/><Relationship Id="rId87" Type="http://schemas.openxmlformats.org/officeDocument/2006/relationships/hyperlink" Target="https://www.itu.int/en/action/accessibility/Pages/hlmdd2013.aspx" TargetMode="External"/><Relationship Id="rId110" Type="http://schemas.openxmlformats.org/officeDocument/2006/relationships/hyperlink" Target="https://www.broadbandcommission.org/publication/state-of-broadband-2023/" TargetMode="External"/><Relationship Id="rId115" Type="http://schemas.openxmlformats.org/officeDocument/2006/relationships/hyperlink" Target="https://aiforgood.itu.int/programme/" TargetMode="External"/><Relationship Id="rId131" Type="http://schemas.openxmlformats.org/officeDocument/2006/relationships/hyperlink" Target="https://u4ssc.itu.int/u4ssc-management-team/" TargetMode="External"/><Relationship Id="rId136" Type="http://schemas.openxmlformats.org/officeDocument/2006/relationships/hyperlink" Target="https://www.itu.int/en/ITU-T/extcoop/cits/Pages/egcomad.aspx" TargetMode="External"/><Relationship Id="rId157" Type="http://schemas.openxmlformats.org/officeDocument/2006/relationships/hyperlink" Target="http://www.wsis.org/prizes" TargetMode="External"/><Relationship Id="rId178" Type="http://schemas.openxmlformats.org/officeDocument/2006/relationships/hyperlink" Target="https://www.itu.int/hub/2023/03/itu-opens-area-office-and-innovation-centre-in-new-delhi/" TargetMode="External"/><Relationship Id="rId61" Type="http://schemas.openxmlformats.org/officeDocument/2006/relationships/hyperlink" Target="http://www.itu.int/en/ITU-T/ssc/united/Pages/default.aspx" TargetMode="External"/><Relationship Id="rId82" Type="http://schemas.openxmlformats.org/officeDocument/2006/relationships/hyperlink" Target="https://www.itu.int/md/S24-CL-C-0032/es" TargetMode="External"/><Relationship Id="rId152" Type="http://schemas.openxmlformats.org/officeDocument/2006/relationships/hyperlink" Target="https://www.itu.int/en/ITU-T/focusgroups/ai4a/Pages/default.aspx" TargetMode="External"/><Relationship Id="rId173" Type="http://schemas.openxmlformats.org/officeDocument/2006/relationships/hyperlink" Target="https://www.itu.int/en/ITU-T/academia/kaleidoscope/Pages/default.aspx" TargetMode="External"/><Relationship Id="rId19" Type="http://schemas.openxmlformats.org/officeDocument/2006/relationships/hyperlink" Target="https://www.itu.int/generationconnect/es/" TargetMode="External"/><Relationship Id="rId14" Type="http://schemas.openxmlformats.org/officeDocument/2006/relationships/header" Target="header2.xml"/><Relationship Id="rId30" Type="http://schemas.openxmlformats.org/officeDocument/2006/relationships/hyperlink" Target="https://www.itu.int/pub/R-RES-R.65/es" TargetMode="External"/><Relationship Id="rId35" Type="http://schemas.openxmlformats.org/officeDocument/2006/relationships/hyperlink" Target="https://www.itu.int/md/R23-WRC23-C-0217/es" TargetMode="External"/><Relationship Id="rId56" Type="http://schemas.openxmlformats.org/officeDocument/2006/relationships/hyperlink" Target="https://www.itu.int/en/ITU-D/Environment/Pages/Toolbox/Green-data-center-guide.aspx" TargetMode="External"/><Relationship Id="rId77" Type="http://schemas.openxmlformats.org/officeDocument/2006/relationships/hyperlink" Target="https://www.itu.int/generationconnect/es/empoderar/programa-de-liderazgo-joven-conectar-generacion-de-la-uit-en-asociacion-con-huawei/" TargetMode="External"/><Relationship Id="rId100" Type="http://schemas.openxmlformats.org/officeDocument/2006/relationships/hyperlink" Target="https://www.itu.int/es/ITU-T/studygroups/2022-2024/Pages/default.aspx" TargetMode="External"/><Relationship Id="rId105" Type="http://schemas.openxmlformats.org/officeDocument/2006/relationships/hyperlink" Target="https://www.itu.int/itu-d/reports/partner2connect-annual-report-2023/" TargetMode="External"/><Relationship Id="rId126" Type="http://schemas.openxmlformats.org/officeDocument/2006/relationships/hyperlink" Target="https://www.itu.int/en/ITU-T/ssc/united/Pages/publication-U4SSC-KPIs.aspx" TargetMode="External"/><Relationship Id="rId147" Type="http://schemas.openxmlformats.org/officeDocument/2006/relationships/hyperlink" Target="https://www.itu.int/es/ITU-T/extcoop/Pages/wsc.aspx" TargetMode="External"/><Relationship Id="rId168" Type="http://schemas.openxmlformats.org/officeDocument/2006/relationships/hyperlink" Target="https://www.itu.int/en/ITU-R/study-groups/workshops/sg6-itu-ebu-btc-2023/Pages/default.aspx" TargetMode="External"/><Relationship Id="rId8" Type="http://schemas.openxmlformats.org/officeDocument/2006/relationships/hyperlink" Target="https://www.itu.int/en/council/Documents/basic-texts-2023/RES-071-S.pdf" TargetMode="External"/><Relationship Id="rId51" Type="http://schemas.openxmlformats.org/officeDocument/2006/relationships/hyperlink" Target="https://aiforgood.itu.int/about-ai-for-good/aiml-solutions-for-climate-change/" TargetMode="External"/><Relationship Id="rId72" Type="http://schemas.openxmlformats.org/officeDocument/2006/relationships/hyperlink" Target="https://www.itu.int/en/action/cybersecurity/Pages/default.aspx" TargetMode="External"/><Relationship Id="rId93" Type="http://schemas.openxmlformats.org/officeDocument/2006/relationships/hyperlink" Target="https://www.itu.int/cities/wp-content/uploads/2023/04/The-role-of-Digital-Technologies-in-Aging-and-Health.pdf" TargetMode="External"/><Relationship Id="rId98" Type="http://schemas.openxmlformats.org/officeDocument/2006/relationships/hyperlink" Target="https://www.itu.int/itu-t/workprog/wp_search.aspx?isn_sp=8265&amp;isn_status=-1,2&amp;adf=2022-07-01&amp;adt=2023-03-20&amp;details=0&amp;field=acdefghijo" TargetMode="External"/><Relationship Id="rId121" Type="http://schemas.openxmlformats.org/officeDocument/2006/relationships/hyperlink" Target="https://figi.itu.int/figi-resources/dfs-security-lab/" TargetMode="External"/><Relationship Id="rId142" Type="http://schemas.openxmlformats.org/officeDocument/2006/relationships/hyperlink" Target="https://www.itu.int/initiatives/green-digital-action-atcop28/about/outcomes/" TargetMode="External"/><Relationship Id="rId163" Type="http://schemas.openxmlformats.org/officeDocument/2006/relationships/hyperlink" Target="https://www.itu.int/itu-d/meetings/gsr-23/es/" TargetMode="External"/><Relationship Id="rId184" Type="http://schemas.openxmlformats.org/officeDocument/2006/relationships/header" Target="header4.xml"/><Relationship Id="rId3" Type="http://schemas.openxmlformats.org/officeDocument/2006/relationships/styles" Target="styles.xml"/><Relationship Id="rId25" Type="http://schemas.openxmlformats.org/officeDocument/2006/relationships/hyperlink" Target="https://www.itu.int/dms_pubrec/itu-r/rec/bt/R-REC-BT.2100-2-201807-I!!PDF-S.pdf" TargetMode="External"/><Relationship Id="rId46" Type="http://schemas.openxmlformats.org/officeDocument/2006/relationships/hyperlink" Target="https://www.itu.int/en/action/ai/Pages/default.aspx" TargetMode="External"/><Relationship Id="rId67" Type="http://schemas.openxmlformats.org/officeDocument/2006/relationships/hyperlink" Target="https://www.itu.int/cities/publications/" TargetMode="External"/><Relationship Id="rId116" Type="http://schemas.openxmlformats.org/officeDocument/2006/relationships/hyperlink" Target="https://aiforgood.itu.int/neural-network/" TargetMode="External"/><Relationship Id="rId137" Type="http://schemas.openxmlformats.org/officeDocument/2006/relationships/hyperlink" Target="https://www.itu.int/en/ITU-T/ITS/Pages/default.aspx" TargetMode="External"/><Relationship Id="rId158" Type="http://schemas.openxmlformats.org/officeDocument/2006/relationships/hyperlink" Target="https://www.itu.int/net4/wsis/forum/2023/en" TargetMode="External"/><Relationship Id="rId20" Type="http://schemas.openxmlformats.org/officeDocument/2006/relationships/hyperlink" Target="https://www.itu.int/en/ITU-D/Digital-Inclusion/Pages/ICT-digital-accessibility/default.aspx" TargetMode="External"/><Relationship Id="rId41" Type="http://schemas.openxmlformats.org/officeDocument/2006/relationships/hyperlink" Target="https://www.itu.int/highlights-report-activities/connect2030-agenda/" TargetMode="External"/><Relationship Id="rId62" Type="http://schemas.openxmlformats.org/officeDocument/2006/relationships/hyperlink" Target="https://www.itu.int/en/ITU-T/ssc/united/Pages/publication-U4SSC-KPIs.aspx" TargetMode="External"/><Relationship Id="rId83" Type="http://schemas.openxmlformats.org/officeDocument/2006/relationships/hyperlink" Target="https://www.itu.int/itu-d/sites/digital-impact-unlocked/empowering-children-online-in-zimbabwe/" TargetMode="External"/><Relationship Id="rId88" Type="http://schemas.openxmlformats.org/officeDocument/2006/relationships/hyperlink" Target="https://www.itu.int/en/ITU-D/Digital-Inclusion/Pages/ICT-digital-accessibility/default.aspx" TargetMode="External"/><Relationship Id="rId111" Type="http://schemas.openxmlformats.org/officeDocument/2006/relationships/hyperlink" Target="https://www.equalsintech.org/awards" TargetMode="External"/><Relationship Id="rId132" Type="http://schemas.openxmlformats.org/officeDocument/2006/relationships/hyperlink" Target="https://u4ssc.itu.int/publications/" TargetMode="External"/><Relationship Id="rId153" Type="http://schemas.openxmlformats.org/officeDocument/2006/relationships/hyperlink" Target="http://www.wsis.org/forum" TargetMode="External"/><Relationship Id="rId174" Type="http://schemas.openxmlformats.org/officeDocument/2006/relationships/hyperlink" Target="https://www.itu.int/en/journal/j-fet/Pages/default.aspx" TargetMode="External"/><Relationship Id="rId179" Type="http://schemas.openxmlformats.org/officeDocument/2006/relationships/image" Target="media/image2.png"/><Relationship Id="rId15" Type="http://schemas.openxmlformats.org/officeDocument/2006/relationships/footer" Target="footer2.xml"/><Relationship Id="rId36" Type="http://schemas.openxmlformats.org/officeDocument/2006/relationships/hyperlink" Target="https://app.powerbi.com/view?r=eyJrIjoiYTFjNzM1NGEtNWE0NS00ODQzLTg5MDUtZTE3NGFlZjNjZjkyIiwidCI6IjIzZTQ2NGQ3LTA0ZTYtNGI4Ny05MTNjLTI0YmQ4OTIxOWZkMyIsImMiOjl9" TargetMode="External"/><Relationship Id="rId57" Type="http://schemas.openxmlformats.org/officeDocument/2006/relationships/hyperlink" Target="https://www.itu.int/hub/publication/d-hdb-guidelines-04-2023/" TargetMode="External"/><Relationship Id="rId106" Type="http://schemas.openxmlformats.org/officeDocument/2006/relationships/hyperlink" Target="https://www.itu.int/es/mediacentre/Pages/PR-2024-02-26-mobile-world-congress-universal-meaningful-connectivity.aspx" TargetMode="External"/><Relationship Id="rId127" Type="http://schemas.openxmlformats.org/officeDocument/2006/relationships/hyperlink" Target="https://www.itu.int/en/ITU-T/ssc/united/Pages/publication-U4SSC-KPIs.aspx" TargetMode="External"/><Relationship Id="rId10" Type="http://schemas.openxmlformats.org/officeDocument/2006/relationships/hyperlink" Target="https://www.itu.int/en/council/Documents/basic-texts-2023/RES-200-S.pdf" TargetMode="External"/><Relationship Id="rId31" Type="http://schemas.openxmlformats.org/officeDocument/2006/relationships/hyperlink" Target="https://www.itu.int/pub/R-RES-R.72/es" TargetMode="External"/><Relationship Id="rId52" Type="http://schemas.openxmlformats.org/officeDocument/2006/relationships/hyperlink" Target="https://aiforgood.itu.int/about-ai-for-good/ai-for-fusion-energy-challenge/" TargetMode="External"/><Relationship Id="rId73" Type="http://schemas.openxmlformats.org/officeDocument/2006/relationships/hyperlink" Target="https://www.itu.int/md/S24-CL-C-0006/en" TargetMode="External"/><Relationship Id="rId78" Type="http://schemas.openxmlformats.org/officeDocument/2006/relationships/hyperlink" Target="https://aiforgood.itu.int/event/how-chatgpt-will-change-the-classroom-teachers-and-students-discuss/" TargetMode="External"/><Relationship Id="rId94" Type="http://schemas.openxmlformats.org/officeDocument/2006/relationships/hyperlink" Target="https://www.itu.int/en/ITU-T/gap/Pages/default.aspx" TargetMode="External"/><Relationship Id="rId99" Type="http://schemas.openxmlformats.org/officeDocument/2006/relationships/hyperlink" Target="https://www.itu.int/es/ITU-T/publications/Pages/recs.aspx" TargetMode="External"/><Relationship Id="rId101" Type="http://schemas.openxmlformats.org/officeDocument/2006/relationships/hyperlink" Target="https://www.itu.int/en/ITU-T/focusgroups/Pages/default.aspx" TargetMode="External"/><Relationship Id="rId122" Type="http://schemas.openxmlformats.org/officeDocument/2006/relationships/hyperlink" Target="https://www.itu.int/en/ITU-T/webinars/dfs/sc/Pages/default.aspx" TargetMode="External"/><Relationship Id="rId143" Type="http://schemas.openxmlformats.org/officeDocument/2006/relationships/hyperlink" Target="https://www.worldstandardscooperation.org/" TargetMode="External"/><Relationship Id="rId148" Type="http://schemas.openxmlformats.org/officeDocument/2006/relationships/hyperlink" Target="https://www.worldstandardsday.org/home.html" TargetMode="External"/><Relationship Id="rId164" Type="http://schemas.openxmlformats.org/officeDocument/2006/relationships/hyperlink" Target="https://www.itu.int/es/ITU-R/seminars/rrs/RRS-23-Americas/Pages/default.aspx" TargetMode="External"/><Relationship Id="rId169" Type="http://schemas.openxmlformats.org/officeDocument/2006/relationships/hyperlink" Target="https://aiforgood.itu.int/" TargetMode="External"/><Relationship Id="rId18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Documents/basic-texts-2023/RES-151-S.pdf" TargetMode="External"/><Relationship Id="rId180" Type="http://schemas.openxmlformats.org/officeDocument/2006/relationships/image" Target="media/image3.png"/><Relationship Id="rId26" Type="http://schemas.openxmlformats.org/officeDocument/2006/relationships/hyperlink" Target="https://www.itu.int/hub/2023/10/itu-receives-emmy-award-for-hdr-tv-and-transforming-the-world-of-television/" TargetMode="External"/><Relationship Id="rId47" Type="http://schemas.openxmlformats.org/officeDocument/2006/relationships/hyperlink" Target="https://www.itu.int/en/ITU-T/focusgroups/Pages/default.aspx" TargetMode="External"/><Relationship Id="rId68" Type="http://schemas.openxmlformats.org/officeDocument/2006/relationships/hyperlink" Target="https://www.itu.int/cities/standards4dt/" TargetMode="External"/><Relationship Id="rId89" Type="http://schemas.openxmlformats.org/officeDocument/2006/relationships/hyperlink" Target="https://www.itu.int/en/ITU-T/accessibility/Pages/default.aspx" TargetMode="External"/><Relationship Id="rId112" Type="http://schemas.openxmlformats.org/officeDocument/2006/relationships/hyperlink" Target="https://giga.global/" TargetMode="External"/><Relationship Id="rId133" Type="http://schemas.openxmlformats.org/officeDocument/2006/relationships/hyperlink" Target="https://fnc.itu.int/" TargetMode="External"/><Relationship Id="rId154" Type="http://schemas.openxmlformats.org/officeDocument/2006/relationships/hyperlink" Target="https://www.itu.int/en/council/Documents/basic-texts-2023/RES-140-S.pdf" TargetMode="External"/><Relationship Id="rId175" Type="http://schemas.openxmlformats.org/officeDocument/2006/relationships/hyperlink" Target="https://www.itu.int/en/journal/j-fet/webinars/Pages/default.aspx" TargetMode="External"/><Relationship Id="rId16" Type="http://schemas.openxmlformats.org/officeDocument/2006/relationships/hyperlink" Target="https://www.itu.int/es/mediacentre/Pages/PR-2024-03-20-e-waste-recycling.aspx" TargetMode="External"/><Relationship Id="rId37" Type="http://schemas.openxmlformats.org/officeDocument/2006/relationships/hyperlink" Target="https://www.itu.int/en/ITU-D/Environment/Pages/Spotlight/Global-Ewaste-Monitor-2020.aspx" TargetMode="External"/><Relationship Id="rId58" Type="http://schemas.openxmlformats.org/officeDocument/2006/relationships/hyperlink" Target="https://www.itu.int/hub/publication/d-gen-E_WASTE.04-2023/" TargetMode="External"/><Relationship Id="rId79" Type="http://schemas.openxmlformats.org/officeDocument/2006/relationships/hyperlink" Target="https://mailchi.mp/aiforgood/join-the-global-dialogue-on-ai-and-youth-take-the-survey" TargetMode="External"/><Relationship Id="rId102" Type="http://schemas.openxmlformats.org/officeDocument/2006/relationships/hyperlink" Target="https://www.itu.int/pub/R-REC/es" TargetMode="External"/><Relationship Id="rId123" Type="http://schemas.openxmlformats.org/officeDocument/2006/relationships/hyperlink" Target="https://www.itu.int/en/ITU-T/dfs/Documents/Security%20recommendations%20for%20regulators%20and%20DFS%20providers%20developed%20under%20FIGI-updated%20March%202023.pdf" TargetMode="External"/><Relationship Id="rId144" Type="http://schemas.openxmlformats.org/officeDocument/2006/relationships/hyperlink" Target="https://www.itu.int/initiatives/green-digital-action-atcop28/wp-content/uploads/sites/4/2023/12/Call-to-Action-Pillar4-Green-standards.pdf" TargetMode="External"/><Relationship Id="rId90" Type="http://schemas.openxmlformats.org/officeDocument/2006/relationships/hyperlink" Target="https://www.itu.int/pub/R-RES-R.67/es" TargetMode="External"/><Relationship Id="rId165" Type="http://schemas.openxmlformats.org/officeDocument/2006/relationships/hyperlink" Target="https://www.itu.int/en/ITU-R/seminars/rrs/RRS-23-Africa/Pages/default.aspx" TargetMode="External"/><Relationship Id="rId186" Type="http://schemas.openxmlformats.org/officeDocument/2006/relationships/fontTable" Target="fontTable.xml"/><Relationship Id="rId27" Type="http://schemas.openxmlformats.org/officeDocument/2006/relationships/hyperlink" Target="https://www.itu.int/pub/R-RES-R.1/es" TargetMode="External"/><Relationship Id="rId48" Type="http://schemas.openxmlformats.org/officeDocument/2006/relationships/hyperlink" Target="https://aiforgood.itu.int/" TargetMode="External"/><Relationship Id="rId69" Type="http://schemas.openxmlformats.org/officeDocument/2006/relationships/hyperlink" Target="https://www.itu.int/itu-d/sites/digital-impact-unlocked/smart-seas-project-for-caribbean-small-scale-fishers/" TargetMode="External"/><Relationship Id="rId113" Type="http://schemas.openxmlformats.org/officeDocument/2006/relationships/hyperlink" Target="https://aiforgood.itu.int/" TargetMode="External"/><Relationship Id="rId134" Type="http://schemas.openxmlformats.org/officeDocument/2006/relationships/hyperlink" Target="https://www.itu.int/en/ITU-T/extcoop/cits/Pages/default.aspx" TargetMode="External"/><Relationship Id="rId80" Type="http://schemas.openxmlformats.org/officeDocument/2006/relationships/hyperlink" Target="https://aiforgood.itu.int/event/replay-the-impact-of-ai-on-youth-opportunities-and-challenges/" TargetMode="External"/><Relationship Id="rId155" Type="http://schemas.openxmlformats.org/officeDocument/2006/relationships/hyperlink" Target="http://www.itu.int/en/itu-wsis/Pages/Roadmaps.aspx" TargetMode="External"/><Relationship Id="rId176" Type="http://schemas.openxmlformats.org/officeDocument/2006/relationships/hyperlink" Target="https://www.itu.int/en/ITU-T/academia/kaleidoscope/Pages/default.aspx" TargetMode="External"/><Relationship Id="rId17" Type="http://schemas.openxmlformats.org/officeDocument/2006/relationships/hyperlink" Target="https://www.itu.int/pub/R-REC/es" TargetMode="External"/><Relationship Id="rId38" Type="http://schemas.openxmlformats.org/officeDocument/2006/relationships/hyperlink" Target="https://documents1.worldbank.org/curated/en/099121223165540890/pdf/P17859702a98880540a4b70d57876048abb.pdf" TargetMode="External"/><Relationship Id="rId59" Type="http://schemas.openxmlformats.org/officeDocument/2006/relationships/hyperlink" Target="https://www.itu.int/pub/D-HDB-E%20WASTE-2023-WB/es" TargetMode="External"/><Relationship Id="rId103" Type="http://schemas.openxmlformats.org/officeDocument/2006/relationships/hyperlink" Target="https://www.itu.int/itu-d/sites/partner2connect/es/" TargetMode="External"/><Relationship Id="rId124" Type="http://schemas.openxmlformats.org/officeDocument/2006/relationships/hyperlink" Target="https://figi.itu.int/" TargetMode="External"/><Relationship Id="rId70" Type="http://schemas.openxmlformats.org/officeDocument/2006/relationships/hyperlink" Target="https://www.youtube.com/watch?v=7zl5ZSdoJbE" TargetMode="External"/><Relationship Id="rId91" Type="http://schemas.openxmlformats.org/officeDocument/2006/relationships/hyperlink" Target="https://www.itu.int/rec/R-REC-BT.1702/es" TargetMode="External"/><Relationship Id="rId145" Type="http://schemas.openxmlformats.org/officeDocument/2006/relationships/hyperlink" Target="https://aiforgood.itu.int/about-ai-for-good/aiml-solutions-for-climate-change/" TargetMode="External"/><Relationship Id="rId166" Type="http://schemas.openxmlformats.org/officeDocument/2006/relationships/hyperlink" Target="https://www.itu.int/en/ITU-R/conferences/wrc/2023/irwsp/Pages/2023.aspx"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itu.int/pub/R-RES-R.5/es" TargetMode="External"/><Relationship Id="rId49" Type="http://schemas.openxmlformats.org/officeDocument/2006/relationships/hyperlink" Target="https://aiforgood.itu.int/about-ai-for-good/aiml-in-5g-challenge/" TargetMode="External"/><Relationship Id="rId114" Type="http://schemas.openxmlformats.org/officeDocument/2006/relationships/hyperlink" Target="https://aiforgood.itu.int/summit23/" TargetMode="External"/><Relationship Id="rId60" Type="http://schemas.openxmlformats.org/officeDocument/2006/relationships/hyperlink" Target="https://www.itu.int/itu-d/sites/environment/es/" TargetMode="External"/><Relationship Id="rId81" Type="http://schemas.openxmlformats.org/officeDocument/2006/relationships/hyperlink" Target="https://www.itu.int/md/S24-CL-C-0031/es" TargetMode="External"/><Relationship Id="rId135" Type="http://schemas.openxmlformats.org/officeDocument/2006/relationships/hyperlink" Target="https://www.itu.int/itu-t/landscape/?topic=tx21&amp;group=g&amp;search_text=" TargetMode="External"/><Relationship Id="rId156" Type="http://schemas.openxmlformats.org/officeDocument/2006/relationships/hyperlink" Target="http://www.wsis.org/stocktaking" TargetMode="External"/><Relationship Id="rId177" Type="http://schemas.openxmlformats.org/officeDocument/2006/relationships/hyperlink" Target="https://www.itu.int/en/ITU-D/Projects/Pages/report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8E83-E6FB-4635-BF24-E8F8F421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23292</Words>
  <Characters>138249</Characters>
  <Application>Microsoft Office Word</Application>
  <DocSecurity>0</DocSecurity>
  <Lines>1152</Lines>
  <Paragraphs>322</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International Telecommunication Union</Company>
  <LinksUpToDate>false</LinksUpToDate>
  <CharactersWithSpaces>161219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Consejo 2024 de la UIT</dc:subject>
  <dc:creator>Brouard, Ricarda</dc:creator>
  <cp:keywords>C2024, C24, Council-24</cp:keywords>
  <cp:lastModifiedBy>Brouard, Ricarda</cp:lastModifiedBy>
  <cp:revision>2</cp:revision>
  <cp:lastPrinted>2006-03-24T09:51:00Z</cp:lastPrinted>
  <dcterms:created xsi:type="dcterms:W3CDTF">2024-05-23T13:01:00Z</dcterms:created>
  <dcterms:modified xsi:type="dcterms:W3CDTF">2024-05-23T13:01:00Z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