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7D4E6897" w14:textId="77777777" w:rsidTr="00F363FE">
        <w:tc>
          <w:tcPr>
            <w:tcW w:w="6512" w:type="dxa"/>
          </w:tcPr>
          <w:p w14:paraId="04E3CDFE" w14:textId="0DBB4A4D"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BD3ABF">
              <w:rPr>
                <w:rFonts w:hint="cs"/>
                <w:b/>
                <w:bCs/>
                <w:rtl/>
                <w:lang w:bidi="ar-EG"/>
              </w:rPr>
              <w:t xml:space="preserve"> </w:t>
            </w:r>
            <w:r w:rsidR="00F0622B">
              <w:rPr>
                <w:b/>
                <w:bCs/>
                <w:lang w:bidi="ar-EG"/>
              </w:rPr>
              <w:t>PL 2</w:t>
            </w:r>
          </w:p>
        </w:tc>
        <w:tc>
          <w:tcPr>
            <w:tcW w:w="3117" w:type="dxa"/>
          </w:tcPr>
          <w:p w14:paraId="326239C1" w14:textId="4383F7D5"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F0622B">
              <w:rPr>
                <w:b/>
                <w:bCs/>
                <w:lang w:bidi="ar-EG"/>
              </w:rPr>
              <w:t>36</w:t>
            </w:r>
            <w:r w:rsidRPr="007B0AA0">
              <w:rPr>
                <w:b/>
                <w:bCs/>
                <w:lang w:bidi="ar-EG"/>
              </w:rPr>
              <w:t>-A</w:t>
            </w:r>
          </w:p>
        </w:tc>
      </w:tr>
      <w:tr w:rsidR="007B0AA0" w14:paraId="37DA608F" w14:textId="77777777" w:rsidTr="00F363FE">
        <w:tc>
          <w:tcPr>
            <w:tcW w:w="6512" w:type="dxa"/>
          </w:tcPr>
          <w:p w14:paraId="440F73FF" w14:textId="77777777" w:rsidR="007B0AA0" w:rsidRPr="007B0AA0" w:rsidRDefault="007B0AA0" w:rsidP="00F363FE">
            <w:pPr>
              <w:spacing w:before="60" w:after="60" w:line="260" w:lineRule="exact"/>
              <w:rPr>
                <w:b/>
                <w:bCs/>
                <w:rtl/>
                <w:lang w:bidi="ar-EG"/>
              </w:rPr>
            </w:pPr>
          </w:p>
        </w:tc>
        <w:tc>
          <w:tcPr>
            <w:tcW w:w="3117" w:type="dxa"/>
          </w:tcPr>
          <w:p w14:paraId="1FE1E351" w14:textId="026B01FB" w:rsidR="007B0AA0" w:rsidRPr="007B0AA0" w:rsidRDefault="00F0622B" w:rsidP="00F363FE">
            <w:pPr>
              <w:spacing w:before="60" w:after="60" w:line="260" w:lineRule="exact"/>
              <w:rPr>
                <w:b/>
                <w:bCs/>
                <w:rtl/>
                <w:lang w:bidi="ar-EG"/>
              </w:rPr>
            </w:pPr>
            <w:r>
              <w:rPr>
                <w:b/>
                <w:bCs/>
                <w:lang w:bidi="ar-EG"/>
              </w:rPr>
              <w:t>6</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38EC3B9A" w14:textId="77777777" w:rsidTr="00F363FE">
        <w:tc>
          <w:tcPr>
            <w:tcW w:w="6512" w:type="dxa"/>
          </w:tcPr>
          <w:p w14:paraId="4FB72863" w14:textId="77777777" w:rsidR="007B0AA0" w:rsidRPr="007B0AA0" w:rsidRDefault="007B0AA0" w:rsidP="00F363FE">
            <w:pPr>
              <w:spacing w:before="60" w:after="60" w:line="260" w:lineRule="exact"/>
              <w:rPr>
                <w:b/>
                <w:bCs/>
                <w:rtl/>
                <w:lang w:bidi="ar-EG"/>
              </w:rPr>
            </w:pPr>
          </w:p>
        </w:tc>
        <w:tc>
          <w:tcPr>
            <w:tcW w:w="3117" w:type="dxa"/>
          </w:tcPr>
          <w:p w14:paraId="40954105" w14:textId="65716F6A"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F0622B">
              <w:rPr>
                <w:rFonts w:hint="cs"/>
                <w:b/>
                <w:bCs/>
                <w:rtl/>
                <w:lang w:bidi="ar-EG"/>
              </w:rPr>
              <w:t>بالإنكليزية</w:t>
            </w:r>
          </w:p>
        </w:tc>
      </w:tr>
      <w:tr w:rsidR="007B0AA0" w14:paraId="43A23A44" w14:textId="77777777" w:rsidTr="00F363FE">
        <w:tc>
          <w:tcPr>
            <w:tcW w:w="6512" w:type="dxa"/>
          </w:tcPr>
          <w:p w14:paraId="59B7542B" w14:textId="77777777" w:rsidR="007B0AA0" w:rsidRDefault="007B0AA0" w:rsidP="00F363FE">
            <w:pPr>
              <w:spacing w:before="60" w:after="60" w:line="260" w:lineRule="exact"/>
              <w:rPr>
                <w:lang w:bidi="ar-EG"/>
              </w:rPr>
            </w:pPr>
          </w:p>
        </w:tc>
        <w:tc>
          <w:tcPr>
            <w:tcW w:w="3117" w:type="dxa"/>
          </w:tcPr>
          <w:p w14:paraId="6924CB90" w14:textId="77777777" w:rsidR="007B0AA0" w:rsidRDefault="007B0AA0" w:rsidP="00F363FE">
            <w:pPr>
              <w:spacing w:before="60" w:after="60" w:line="260" w:lineRule="exact"/>
              <w:rPr>
                <w:rtl/>
                <w:lang w:bidi="ar-EG"/>
              </w:rPr>
            </w:pPr>
          </w:p>
        </w:tc>
      </w:tr>
      <w:tr w:rsidR="007B0AA0" w14:paraId="00BB2E5D" w14:textId="77777777" w:rsidTr="00EE7446">
        <w:tc>
          <w:tcPr>
            <w:tcW w:w="9629" w:type="dxa"/>
            <w:gridSpan w:val="2"/>
          </w:tcPr>
          <w:p w14:paraId="41A20C35" w14:textId="01882EF1" w:rsidR="007B0AA0" w:rsidRDefault="00F0622B" w:rsidP="00F0622B">
            <w:pPr>
              <w:pStyle w:val="Source"/>
              <w:jc w:val="left"/>
              <w:rPr>
                <w:rFonts w:hint="cs"/>
                <w:rtl/>
                <w:lang w:bidi="ar-EG"/>
              </w:rPr>
            </w:pPr>
            <w:r w:rsidRPr="00F0622B">
              <w:rPr>
                <w:rtl/>
              </w:rPr>
              <w:t>تقرير من الأمينة العامة</w:t>
            </w:r>
          </w:p>
        </w:tc>
      </w:tr>
      <w:tr w:rsidR="007B0AA0" w14:paraId="0039161E" w14:textId="77777777" w:rsidTr="007B0AA0">
        <w:tc>
          <w:tcPr>
            <w:tcW w:w="9629" w:type="dxa"/>
            <w:gridSpan w:val="2"/>
            <w:tcBorders>
              <w:bottom w:val="single" w:sz="4" w:space="0" w:color="auto"/>
            </w:tcBorders>
          </w:tcPr>
          <w:p w14:paraId="27EE68D9" w14:textId="7CA18EE8" w:rsidR="007B0AA0" w:rsidRDefault="00F0622B" w:rsidP="00F0622B">
            <w:pPr>
              <w:pStyle w:val="Subtitle0"/>
            </w:pPr>
            <w:bookmarkStart w:id="0" w:name="_Hlk135504519"/>
            <w:r w:rsidRPr="00F0622B">
              <w:rPr>
                <w:rtl/>
                <w:lang w:bidi="ar-SA"/>
              </w:rPr>
              <w:t>دور الاتحاد الدولي للاتصالات في تنفيذ خطة "الفضاء ‏‎2030‎‏": الفضاء باعتباره محرك</w:t>
            </w:r>
            <w:r w:rsidR="00191A4B">
              <w:rPr>
                <w:rFonts w:hint="cs"/>
                <w:rtl/>
                <w:lang w:bidi="ar-SA"/>
              </w:rPr>
              <w:t xml:space="preserve">اً </w:t>
            </w:r>
            <w:r w:rsidRPr="00F0622B">
              <w:rPr>
                <w:rtl/>
                <w:lang w:bidi="ar-SA"/>
              </w:rPr>
              <w:t>‎‎للتنمية المستدامة، وفي عملية متابعة تنفيذ الخطة واستعراضه</w:t>
            </w:r>
            <w:bookmarkEnd w:id="0"/>
          </w:p>
        </w:tc>
      </w:tr>
      <w:tr w:rsidR="007B0AA0" w14:paraId="1A1F9EB2" w14:textId="77777777" w:rsidTr="007B0AA0">
        <w:tc>
          <w:tcPr>
            <w:tcW w:w="9629" w:type="dxa"/>
            <w:gridSpan w:val="2"/>
            <w:tcBorders>
              <w:top w:val="single" w:sz="4" w:space="0" w:color="auto"/>
              <w:bottom w:val="single" w:sz="4" w:space="0" w:color="auto"/>
            </w:tcBorders>
          </w:tcPr>
          <w:p w14:paraId="29122E3E" w14:textId="3C8EBA7D" w:rsidR="007B0AA0" w:rsidRPr="007B0AA0" w:rsidRDefault="007B0AA0" w:rsidP="007B0AA0">
            <w:pPr>
              <w:rPr>
                <w:b/>
                <w:bCs/>
                <w:rtl/>
              </w:rPr>
            </w:pPr>
            <w:r w:rsidRPr="007B0AA0">
              <w:rPr>
                <w:rFonts w:hint="cs"/>
                <w:b/>
                <w:bCs/>
                <w:rtl/>
              </w:rPr>
              <w:t>الغرض</w:t>
            </w:r>
          </w:p>
          <w:p w14:paraId="3984B83C" w14:textId="21A10693" w:rsidR="007B0AA0" w:rsidRDefault="00F0622B" w:rsidP="007B0AA0">
            <w:pPr>
              <w:rPr>
                <w:rtl/>
              </w:rPr>
            </w:pPr>
            <w:r w:rsidRPr="00F0622B">
              <w:rPr>
                <w:rtl/>
              </w:rPr>
              <w:t>تفي هذه المساهمة بمتطلبات إعداد التقارير بموجب القرار 218 (بوخارست، 2022) لمؤتمر المندوبين المفوضين بشأن تنفيذ الاتحاد لخطة "الفضاء 2030".</w:t>
            </w:r>
          </w:p>
          <w:p w14:paraId="339CACC1" w14:textId="77777777" w:rsidR="007B0AA0" w:rsidRPr="007B0AA0" w:rsidRDefault="007B0AA0" w:rsidP="007B0AA0">
            <w:pPr>
              <w:rPr>
                <w:b/>
                <w:bCs/>
                <w:rtl/>
              </w:rPr>
            </w:pPr>
            <w:r w:rsidRPr="007B0AA0">
              <w:rPr>
                <w:rFonts w:hint="cs"/>
                <w:b/>
                <w:bCs/>
                <w:rtl/>
              </w:rPr>
              <w:t>الإجراء المطلوب من المجلس</w:t>
            </w:r>
          </w:p>
          <w:p w14:paraId="1C9C26E8" w14:textId="6D188328" w:rsidR="007B0AA0" w:rsidRDefault="00F0622B" w:rsidP="00F0622B">
            <w:pPr>
              <w:rPr>
                <w:rtl/>
              </w:rPr>
            </w:pPr>
            <w:r w:rsidRPr="00F0622B">
              <w:rPr>
                <w:rtl/>
              </w:rPr>
              <w:t xml:space="preserve">يُدعى المجلس إلى </w:t>
            </w:r>
            <w:r w:rsidRPr="00F269A6">
              <w:rPr>
                <w:b/>
                <w:bCs/>
                <w:rtl/>
              </w:rPr>
              <w:t>الإحاطة علماً</w:t>
            </w:r>
            <w:r w:rsidRPr="00F0622B">
              <w:rPr>
                <w:rtl/>
              </w:rPr>
              <w:t xml:space="preserve"> بهذا التقرير.</w:t>
            </w:r>
          </w:p>
          <w:p w14:paraId="1F895283" w14:textId="750BA3FE" w:rsidR="00F0622B" w:rsidRPr="007B0AA0" w:rsidRDefault="00F0622B" w:rsidP="00F0622B">
            <w:pPr>
              <w:rPr>
                <w:b/>
                <w:bCs/>
                <w:rtl/>
              </w:rPr>
            </w:pPr>
            <w:r w:rsidRPr="00F0622B">
              <w:rPr>
                <w:b/>
                <w:bCs/>
                <w:rtl/>
              </w:rPr>
              <w:t>الصلة بالخطة الاستراتيجية</w:t>
            </w:r>
          </w:p>
          <w:p w14:paraId="606C79EF" w14:textId="4CD1420D" w:rsidR="00F0622B" w:rsidRDefault="00F0622B" w:rsidP="00F0622B">
            <w:pPr>
              <w:rPr>
                <w:rtl/>
              </w:rPr>
            </w:pPr>
            <w:r w:rsidRPr="00F0622B">
              <w:rPr>
                <w:rtl/>
              </w:rPr>
              <w:t>استخدام الطيف لخدمات الفضاء والأرض</w:t>
            </w:r>
          </w:p>
          <w:p w14:paraId="7438F0AE" w14:textId="20F9E09D" w:rsidR="00F0622B" w:rsidRPr="007B0AA0" w:rsidRDefault="00F269A6" w:rsidP="00F269A6">
            <w:pPr>
              <w:rPr>
                <w:b/>
                <w:bCs/>
                <w:rtl/>
              </w:rPr>
            </w:pPr>
            <w:r w:rsidRPr="00F269A6">
              <w:rPr>
                <w:b/>
                <w:bCs/>
                <w:rtl/>
              </w:rPr>
              <w:t>الآثار المالية</w:t>
            </w:r>
          </w:p>
          <w:p w14:paraId="66B52A91" w14:textId="7D81D528" w:rsidR="00F0622B" w:rsidRDefault="00F0622B" w:rsidP="00F0622B">
            <w:pPr>
              <w:rPr>
                <w:rtl/>
              </w:rPr>
            </w:pPr>
            <w:r w:rsidRPr="00F0622B">
              <w:rPr>
                <w:rtl/>
              </w:rPr>
              <w:t>في حدود الميزانية المخصصة للفترة 2024-2025</w:t>
            </w:r>
          </w:p>
          <w:p w14:paraId="2D8D4E00"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20F626ED" w14:textId="77777777" w:rsidR="007B0AA0" w:rsidRPr="007B0AA0" w:rsidRDefault="007B0AA0" w:rsidP="007B0AA0">
            <w:pPr>
              <w:rPr>
                <w:b/>
                <w:bCs/>
                <w:rtl/>
              </w:rPr>
            </w:pPr>
            <w:r w:rsidRPr="007B0AA0">
              <w:rPr>
                <w:rFonts w:hint="cs"/>
                <w:b/>
                <w:bCs/>
                <w:rtl/>
              </w:rPr>
              <w:t>المراجع</w:t>
            </w:r>
          </w:p>
          <w:p w14:paraId="1E400C2B" w14:textId="59AE831C" w:rsidR="007B0AA0" w:rsidRDefault="005F5169" w:rsidP="00797214">
            <w:pPr>
              <w:spacing w:after="120"/>
              <w:jc w:val="left"/>
              <w:rPr>
                <w:rtl/>
              </w:rPr>
            </w:pPr>
            <w:hyperlink r:id="rId8" w:history="1">
              <w:r w:rsidR="00F0622B" w:rsidRPr="0028427D">
                <w:rPr>
                  <w:rStyle w:val="Hyperlink"/>
                  <w:i/>
                  <w:iCs/>
                  <w:rtl/>
                </w:rPr>
                <w:t xml:space="preserve">القرار </w:t>
              </w:r>
              <w:r w:rsidR="00F0622B" w:rsidRPr="0028427D">
                <w:rPr>
                  <w:rStyle w:val="Hyperlink"/>
                  <w:i/>
                  <w:iCs/>
                  <w:cs/>
                </w:rPr>
                <w:t>‎</w:t>
              </w:r>
              <w:r w:rsidR="00F0622B" w:rsidRPr="0028427D">
                <w:rPr>
                  <w:rStyle w:val="Hyperlink"/>
                  <w:i/>
                  <w:iCs/>
                </w:rPr>
                <w:t>218</w:t>
              </w:r>
            </w:hyperlink>
            <w:r w:rsidR="00F0622B" w:rsidRPr="0028427D">
              <w:rPr>
                <w:i/>
                <w:iCs/>
                <w:rtl/>
              </w:rPr>
              <w:t xml:space="preserve"> (‏بوخارست، </w:t>
            </w:r>
            <w:r w:rsidR="00F0622B" w:rsidRPr="0028427D">
              <w:rPr>
                <w:i/>
                <w:iCs/>
                <w:cs/>
              </w:rPr>
              <w:t>‎</w:t>
            </w:r>
            <w:r w:rsidR="00F0622B" w:rsidRPr="0028427D">
              <w:rPr>
                <w:i/>
                <w:iCs/>
              </w:rPr>
              <w:t>2022</w:t>
            </w:r>
            <w:r w:rsidR="00F0622B" w:rsidRPr="0028427D">
              <w:rPr>
                <w:i/>
                <w:iCs/>
                <w:rtl/>
              </w:rPr>
              <w:t>) ‏لمؤتمر المندوبين المفوضين</w:t>
            </w:r>
            <w:r w:rsidR="00F0622B" w:rsidRPr="0028427D">
              <w:rPr>
                <w:i/>
                <w:iCs/>
                <w:cs/>
              </w:rPr>
              <w:t>‎</w:t>
            </w:r>
            <w:r w:rsidR="00797214">
              <w:rPr>
                <w:i/>
                <w:iCs/>
                <w:rtl/>
              </w:rPr>
              <w:br/>
            </w:r>
            <w:r w:rsidR="00F0622B" w:rsidRPr="0028427D">
              <w:rPr>
                <w:i/>
                <w:iCs/>
                <w:rtl/>
              </w:rPr>
              <w:t xml:space="preserve">‏وثيقة المجلس </w:t>
            </w:r>
            <w:hyperlink r:id="rId9" w:history="1">
              <w:r w:rsidR="0028427D" w:rsidRPr="0028427D">
                <w:rPr>
                  <w:rStyle w:val="Hyperlink"/>
                  <w:i/>
                  <w:iCs/>
                </w:rPr>
                <w:t>C23/58</w:t>
              </w:r>
            </w:hyperlink>
          </w:p>
        </w:tc>
      </w:tr>
    </w:tbl>
    <w:p w14:paraId="4A17DAAB" w14:textId="77777777" w:rsidR="00E61BE8" w:rsidRDefault="00E61BE8" w:rsidP="00E61BE8">
      <w:pPr>
        <w:rPr>
          <w:rtl/>
          <w:lang w:bidi="ar-EG"/>
        </w:rPr>
      </w:pPr>
    </w:p>
    <w:p w14:paraId="102CC151" w14:textId="77777777" w:rsidR="00F50E3F" w:rsidRDefault="00F50E3F" w:rsidP="00F0622B">
      <w:pPr>
        <w:rPr>
          <w:rtl/>
          <w:lang w:bidi="ar-EG"/>
        </w:rPr>
      </w:pPr>
      <w:r>
        <w:rPr>
          <w:rtl/>
          <w:lang w:bidi="ar-EG"/>
        </w:rPr>
        <w:br w:type="page"/>
      </w:r>
    </w:p>
    <w:p w14:paraId="2001092F" w14:textId="29F0D86A" w:rsidR="00F50E3F" w:rsidRDefault="00B70A43" w:rsidP="0028427D">
      <w:pPr>
        <w:pStyle w:val="Headingb"/>
        <w:rPr>
          <w:rtl/>
          <w:lang w:bidi="ar-EG"/>
        </w:rPr>
      </w:pPr>
      <w:r w:rsidRPr="00B70A43">
        <w:rPr>
          <w:rtl/>
        </w:rPr>
        <w:lastRenderedPageBreak/>
        <w:t>خلفية</w:t>
      </w:r>
    </w:p>
    <w:p w14:paraId="58522A4E" w14:textId="77777777" w:rsidR="00B70A43" w:rsidRDefault="00B70A43" w:rsidP="00B70A43">
      <w:pPr>
        <w:rPr>
          <w:rtl/>
          <w:lang w:bidi="ar-EG"/>
        </w:rPr>
      </w:pPr>
      <w:r>
        <w:rPr>
          <w:rtl/>
          <w:lang w:bidi="ar-EG"/>
        </w:rPr>
        <w:t>في خطة "الفضاء 2030" التي وضعتها لجنة الأمم المتحدة لاستخدام الفضاء الخارجي في الأغراض السلمية (</w:t>
      </w:r>
      <w:r>
        <w:rPr>
          <w:lang w:bidi="ar-EG"/>
        </w:rPr>
        <w:t>COPUOS</w:t>
      </w:r>
      <w:r>
        <w:rPr>
          <w:rtl/>
          <w:lang w:bidi="ar-EG"/>
        </w:rPr>
        <w:t>)، وضعت الدول الأعضاء رؤية لتعزيز استخدام علوم وتكنولوجيا الفضاء لتحقيق خطة التنمية المستدامة لعام 2030.</w:t>
      </w:r>
    </w:p>
    <w:p w14:paraId="632DDAA2" w14:textId="77777777" w:rsidR="00B70A43" w:rsidRDefault="00B70A43" w:rsidP="00B70A43">
      <w:pPr>
        <w:rPr>
          <w:rtl/>
          <w:lang w:bidi="ar-EG"/>
        </w:rPr>
      </w:pPr>
      <w:r>
        <w:rPr>
          <w:rtl/>
          <w:lang w:bidi="ar-EG"/>
        </w:rPr>
        <w:t xml:space="preserve">واعتمدت الجمعية العامة للأمم المتحدة خلال دورتها السادسة والسبعين التي عقدت في أكتوبر 2021، </w:t>
      </w:r>
      <w:r w:rsidRPr="0073513F">
        <w:rPr>
          <w:b/>
          <w:bCs/>
          <w:rtl/>
          <w:lang w:bidi="ar-EG"/>
        </w:rPr>
        <w:t>خطة الفضاء 2030: الفضاء باعتباره محركاً للتنمية المستدامة</w:t>
      </w:r>
      <w:r>
        <w:rPr>
          <w:rtl/>
          <w:lang w:bidi="ar-EG"/>
        </w:rPr>
        <w:t>، والتي تضمنت أربعة أهداف شاملة:</w:t>
      </w:r>
    </w:p>
    <w:p w14:paraId="7129730F" w14:textId="61B83CD5" w:rsidR="00B70A43" w:rsidRDefault="00B70A43" w:rsidP="00346B83">
      <w:pPr>
        <w:pStyle w:val="enumlev1"/>
        <w:rPr>
          <w:rtl/>
        </w:rPr>
      </w:pPr>
      <w:r>
        <w:rPr>
          <w:rtl/>
        </w:rPr>
        <w:t>1</w:t>
      </w:r>
      <w:r>
        <w:rPr>
          <w:rtl/>
        </w:rPr>
        <w:tab/>
        <w:t>تعزيز الفوائد الاقتصادية المستمدة من الفضاء وتدعيم دور قطاع الفضاء كمحرك رئيسي للتنمية المستدامة؛</w:t>
      </w:r>
    </w:p>
    <w:p w14:paraId="5E2FEA1A" w14:textId="5AD969AF" w:rsidR="00B70A43" w:rsidRPr="00346B83" w:rsidRDefault="00B70A43" w:rsidP="00346B83">
      <w:pPr>
        <w:pStyle w:val="enumlev1"/>
        <w:rPr>
          <w:spacing w:val="-2"/>
          <w:rtl/>
        </w:rPr>
      </w:pPr>
      <w:r w:rsidRPr="00346B83">
        <w:rPr>
          <w:spacing w:val="-2"/>
          <w:rtl/>
        </w:rPr>
        <w:t>2</w:t>
      </w:r>
      <w:r w:rsidRPr="00346B83">
        <w:rPr>
          <w:spacing w:val="-2"/>
          <w:rtl/>
        </w:rPr>
        <w:tab/>
        <w:t>تسخير إمكانات الفضاء لحل المشكلات اليومية والاستفادة من الابتكارات ذات الصلة بالفضاء في تحسين نوعية الحياة؛</w:t>
      </w:r>
    </w:p>
    <w:p w14:paraId="6F34D7C3" w14:textId="63FFD30D" w:rsidR="00B70A43" w:rsidRPr="00997AC4" w:rsidRDefault="00B70A43" w:rsidP="00346B83">
      <w:pPr>
        <w:pStyle w:val="enumlev1"/>
        <w:rPr>
          <w:spacing w:val="-2"/>
          <w:rtl/>
        </w:rPr>
      </w:pPr>
      <w:r w:rsidRPr="00997AC4">
        <w:rPr>
          <w:spacing w:val="-2"/>
          <w:rtl/>
        </w:rPr>
        <w:t>3</w:t>
      </w:r>
      <w:r w:rsidRPr="00997AC4">
        <w:rPr>
          <w:spacing w:val="-2"/>
          <w:rtl/>
        </w:rPr>
        <w:tab/>
        <w:t>تحسين سبل وصول الجميع إلى الفضاء وضمان انتفاع جميع البلدان اجتماعياً واقتصادياً من تطبيقات علوم وتكنولوجيا الفضاء والبيانات والمعلومات والمنتجات الفضائية، مما يدعم تحقيق أهداف التنمية المستدامة؛</w:t>
      </w:r>
    </w:p>
    <w:p w14:paraId="59463864" w14:textId="735C96BD" w:rsidR="00B70A43" w:rsidRDefault="00B70A43" w:rsidP="00346B83">
      <w:pPr>
        <w:pStyle w:val="enumlev1"/>
        <w:rPr>
          <w:rtl/>
        </w:rPr>
      </w:pPr>
      <w:r>
        <w:rPr>
          <w:rtl/>
        </w:rPr>
        <w:t>4</w:t>
      </w:r>
      <w:r>
        <w:rPr>
          <w:rtl/>
        </w:rPr>
        <w:tab/>
        <w:t>بناء الشراكات وتوطيد التعاون الدولي في استخدام الفضاء الخارجي في الأغراض السلمية وفي الإدارة العالمية لأنشطة الفضاء</w:t>
      </w:r>
      <w:r w:rsidR="00346B83">
        <w:rPr>
          <w:rFonts w:hint="cs"/>
          <w:rtl/>
        </w:rPr>
        <w:t> </w:t>
      </w:r>
      <w:r>
        <w:rPr>
          <w:rtl/>
        </w:rPr>
        <w:t>الخارجي.</w:t>
      </w:r>
    </w:p>
    <w:p w14:paraId="75EE4B89" w14:textId="77777777" w:rsidR="00B70A43" w:rsidRDefault="00B70A43" w:rsidP="00B70A43">
      <w:pPr>
        <w:rPr>
          <w:rtl/>
          <w:lang w:bidi="ar-EG"/>
        </w:rPr>
      </w:pPr>
      <w:r>
        <w:rPr>
          <w:rtl/>
          <w:lang w:bidi="ar-EG"/>
        </w:rPr>
        <w:t>وفي إطار تنفيذ خطة "الفضاء 2030"، تُدعى الدول الأعضاء إلى المساهمة من خلال الشراكات والأدوات والموارد.</w:t>
      </w:r>
    </w:p>
    <w:p w14:paraId="51D4C699" w14:textId="446D127C" w:rsidR="00B70A43" w:rsidRPr="00E47A06" w:rsidRDefault="00B70A43" w:rsidP="00B70A43">
      <w:pPr>
        <w:rPr>
          <w:spacing w:val="-2"/>
          <w:rtl/>
          <w:lang w:bidi="ar-EG"/>
        </w:rPr>
      </w:pPr>
      <w:r w:rsidRPr="00E47A06">
        <w:rPr>
          <w:b/>
          <w:bCs/>
          <w:spacing w:val="-2"/>
          <w:rtl/>
          <w:lang w:bidi="ar-EG"/>
        </w:rPr>
        <w:t>ويعمل مكتب الأمم المتحدة لشؤون الفضاء الخارجي (</w:t>
      </w:r>
      <w:r w:rsidRPr="00E47A06">
        <w:rPr>
          <w:b/>
          <w:bCs/>
          <w:spacing w:val="-2"/>
          <w:lang w:bidi="ar-EG"/>
        </w:rPr>
        <w:t>UNOOSA</w:t>
      </w:r>
      <w:r w:rsidRPr="00E47A06">
        <w:rPr>
          <w:b/>
          <w:bCs/>
          <w:spacing w:val="-2"/>
          <w:rtl/>
          <w:lang w:bidi="ar-EG"/>
        </w:rPr>
        <w:t>) بوصفه أمانة لجنة استخدام الفضاء الخارجي في</w:t>
      </w:r>
      <w:r w:rsidR="00E47A06">
        <w:rPr>
          <w:rFonts w:hint="cs"/>
          <w:b/>
          <w:bCs/>
          <w:spacing w:val="-2"/>
          <w:rtl/>
          <w:lang w:bidi="ar-EG"/>
        </w:rPr>
        <w:t> </w:t>
      </w:r>
      <w:r w:rsidRPr="00E47A06">
        <w:rPr>
          <w:b/>
          <w:bCs/>
          <w:spacing w:val="-2"/>
          <w:rtl/>
          <w:lang w:bidi="ar-EG"/>
        </w:rPr>
        <w:t>الأغراض السلمية</w:t>
      </w:r>
      <w:r w:rsidRPr="00E47A06">
        <w:rPr>
          <w:spacing w:val="-2"/>
          <w:rtl/>
          <w:lang w:bidi="ar-EG"/>
        </w:rPr>
        <w:t xml:space="preserve"> وينسق تنفيذ خطة "الفضاء 2030".</w:t>
      </w:r>
    </w:p>
    <w:p w14:paraId="6AD3B0EC" w14:textId="66F61638" w:rsidR="00B70A43" w:rsidRDefault="00B70A43" w:rsidP="00B70A43">
      <w:pPr>
        <w:rPr>
          <w:rtl/>
          <w:lang w:bidi="ar-EG"/>
        </w:rPr>
      </w:pPr>
      <w:r>
        <w:rPr>
          <w:rtl/>
          <w:lang w:bidi="ar-EG"/>
        </w:rPr>
        <w:t>وأقر مؤتمر المندوبين المفوضين لعام 2022 (</w:t>
      </w:r>
      <w:r>
        <w:rPr>
          <w:lang w:bidi="ar-EG"/>
        </w:rPr>
        <w:t>PP-22</w:t>
      </w:r>
      <w:r>
        <w:rPr>
          <w:rtl/>
          <w:lang w:bidi="ar-EG"/>
        </w:rPr>
        <w:t>) بأن الاتحاد يقوم بدور أساسي في تحقيق أهداف الخطة. ومن هذا المنطلق، اعتمد المؤتمر القرار 218 (بوخارست، 2022) حيث "</w:t>
      </w:r>
      <w:r w:rsidR="00692A72">
        <w:rPr>
          <w:rFonts w:hint="eastAsia"/>
          <w:rtl/>
          <w:lang w:bidi="ar-EG"/>
        </w:rPr>
        <w:t> </w:t>
      </w:r>
      <w:r w:rsidRPr="00E4531F">
        <w:rPr>
          <w:i/>
          <w:iCs/>
          <w:rtl/>
          <w:lang w:bidi="ar-EG"/>
        </w:rPr>
        <w:t>قرر</w:t>
      </w:r>
      <w:r>
        <w:rPr>
          <w:rtl/>
          <w:lang w:bidi="ar-EG"/>
        </w:rPr>
        <w:t>"،</w:t>
      </w:r>
    </w:p>
    <w:p w14:paraId="563749AA" w14:textId="09BF4939" w:rsidR="00B70A43" w:rsidRDefault="00B70A43" w:rsidP="006A05FB">
      <w:pPr>
        <w:pStyle w:val="enumlev1"/>
        <w:rPr>
          <w:rtl/>
        </w:rPr>
      </w:pPr>
      <w:r>
        <w:rPr>
          <w:rtl/>
        </w:rPr>
        <w:t>1</w:t>
      </w:r>
      <w:r>
        <w:rPr>
          <w:rtl/>
        </w:rPr>
        <w:tab/>
        <w:t>أن يدعم الاتحاد تنفيذ خطة "الفضاء 2030"، خاصة الأجزاء ذات الصلة بالخدمات الفضائية، من الهدف الشامل</w:t>
      </w:r>
      <w:r w:rsidR="00E4531F">
        <w:rPr>
          <w:rFonts w:hint="cs"/>
          <w:rtl/>
        </w:rPr>
        <w:t> </w:t>
      </w:r>
      <w:r>
        <w:rPr>
          <w:rtl/>
        </w:rPr>
        <w:t xml:space="preserve">3 المذكور في الفقرة </w:t>
      </w:r>
      <w:r w:rsidRPr="00692A72">
        <w:rPr>
          <w:i/>
          <w:iCs/>
          <w:rtl/>
        </w:rPr>
        <w:t>ب)</w:t>
      </w:r>
      <w:r>
        <w:rPr>
          <w:rtl/>
        </w:rPr>
        <w:t xml:space="preserve"> من "</w:t>
      </w:r>
      <w:r w:rsidR="00692A72">
        <w:rPr>
          <w:rFonts w:hint="cs"/>
          <w:rtl/>
        </w:rPr>
        <w:t> </w:t>
      </w:r>
      <w:r w:rsidRPr="00075D5F">
        <w:rPr>
          <w:i/>
          <w:iCs/>
          <w:rtl/>
        </w:rPr>
        <w:t>إذ يذكِّر</w:t>
      </w:r>
      <w:r>
        <w:rPr>
          <w:rtl/>
        </w:rPr>
        <w:t>" أعلاه، مع مراعاة الدور المتفرد للاتحاد فيما يتعلق بالنفاذ إلى طيف الترددات الراديوية والمدارات الساتلية ذات الصلة، وفقاً للمادة 44 من الدستور؛</w:t>
      </w:r>
    </w:p>
    <w:p w14:paraId="2211E962" w14:textId="60126A0D" w:rsidR="00B70A43" w:rsidRDefault="00B70A43" w:rsidP="0002213E">
      <w:pPr>
        <w:pStyle w:val="enumlev1"/>
        <w:rPr>
          <w:rtl/>
        </w:rPr>
      </w:pPr>
      <w:r w:rsidRPr="00692A72">
        <w:rPr>
          <w:rtl/>
        </w:rPr>
        <w:t>2</w:t>
      </w:r>
      <w:r w:rsidRPr="00692A72">
        <w:rPr>
          <w:rtl/>
        </w:rPr>
        <w:tab/>
        <w:t xml:space="preserve">أن تنفيذ الفقرة 1 </w:t>
      </w:r>
      <w:r w:rsidR="00692A72" w:rsidRPr="00692A72">
        <w:rPr>
          <w:rFonts w:hint="cs"/>
          <w:rtl/>
        </w:rPr>
        <w:t xml:space="preserve">من </w:t>
      </w:r>
      <w:r w:rsidRPr="00692A72">
        <w:rPr>
          <w:rtl/>
        </w:rPr>
        <w:t>"</w:t>
      </w:r>
      <w:r w:rsidRPr="00692A72">
        <w:rPr>
          <w:i/>
          <w:iCs/>
          <w:rtl/>
        </w:rPr>
        <w:t>يقرر</w:t>
      </w:r>
      <w:r w:rsidRPr="00692A72">
        <w:rPr>
          <w:rtl/>
        </w:rPr>
        <w:t xml:space="preserve">" أعلاه ينبغي أن يستفيد من مشاركة الحضور الإقليمي للاتحاد مع إيلاء اهتمام خاص للبلدان النامية وأقل البلدان نمواً </w:t>
      </w:r>
      <w:r w:rsidR="00C74265" w:rsidRPr="00692A72">
        <w:rPr>
          <w:bCs/>
          <w:lang w:bidi="ar-EG"/>
        </w:rPr>
        <w:t>(LDC)</w:t>
      </w:r>
      <w:r w:rsidR="00C74265" w:rsidRPr="00692A72">
        <w:rPr>
          <w:rFonts w:hint="cs"/>
          <w:rtl/>
        </w:rPr>
        <w:t xml:space="preserve"> </w:t>
      </w:r>
      <w:r w:rsidRPr="00692A72">
        <w:rPr>
          <w:rtl/>
        </w:rPr>
        <w:t>والدول الجزرية الصغيرة النامية</w:t>
      </w:r>
      <w:r w:rsidR="00C74265" w:rsidRPr="00692A72">
        <w:rPr>
          <w:rFonts w:hint="cs"/>
          <w:rtl/>
        </w:rPr>
        <w:t xml:space="preserve"> </w:t>
      </w:r>
      <w:r w:rsidR="00C74265" w:rsidRPr="00692A72">
        <w:rPr>
          <w:bCs/>
        </w:rPr>
        <w:t>(SIDS)</w:t>
      </w:r>
      <w:r w:rsidRPr="00692A72">
        <w:rPr>
          <w:rtl/>
        </w:rPr>
        <w:t xml:space="preserve"> والبلدان النامية غير الساحلية</w:t>
      </w:r>
      <w:r w:rsidR="00692A72" w:rsidRPr="00692A72">
        <w:rPr>
          <w:rFonts w:hint="eastAsia"/>
          <w:rtl/>
        </w:rPr>
        <w:t> </w:t>
      </w:r>
      <w:r w:rsidR="0002213E" w:rsidRPr="00692A72">
        <w:rPr>
          <w:bCs/>
        </w:rPr>
        <w:t>(LLDC)</w:t>
      </w:r>
      <w:r w:rsidRPr="00692A72">
        <w:rPr>
          <w:rtl/>
        </w:rPr>
        <w:t>؛</w:t>
      </w:r>
    </w:p>
    <w:p w14:paraId="24331A49" w14:textId="607C971A" w:rsidR="00B70A43" w:rsidRDefault="00B70A43" w:rsidP="006A05FB">
      <w:pPr>
        <w:pStyle w:val="enumlev1"/>
        <w:rPr>
          <w:rtl/>
        </w:rPr>
      </w:pPr>
      <w:r>
        <w:rPr>
          <w:rtl/>
        </w:rPr>
        <w:t>3</w:t>
      </w:r>
      <w:r>
        <w:rPr>
          <w:rtl/>
        </w:rPr>
        <w:tab/>
        <w:t>أن يواصل مكتب الاتصالات الراديوية (</w:t>
      </w:r>
      <w:r>
        <w:t>BR</w:t>
      </w:r>
      <w:r>
        <w:rPr>
          <w:rtl/>
        </w:rPr>
        <w:t>) ومكتب تنمية الاتصالات (</w:t>
      </w:r>
      <w:r>
        <w:t>BDT</w:t>
      </w:r>
      <w:r>
        <w:rPr>
          <w:rtl/>
        </w:rPr>
        <w:t>) في الاتحاد مساعدة البلدان النامية وأقل البلدان نمواً والدول الجزرية الصغيرة النامية والبلدان النامية غير الساحلية في النفاذ إلى طيف الترددات الراديوية والمدارات الساتلية ذات الصلة، ولا سيما لتحقيق أهداف خطة "الفضاء 2030"</w:t>
      </w:r>
      <w:r w:rsidR="00692A72">
        <w:rPr>
          <w:rFonts w:hint="cs"/>
          <w:rtl/>
        </w:rPr>
        <w:t>.</w:t>
      </w:r>
    </w:p>
    <w:p w14:paraId="57843983" w14:textId="77777777" w:rsidR="00B70A43" w:rsidRDefault="00B70A43" w:rsidP="006A05FB">
      <w:pPr>
        <w:pStyle w:val="Headingb"/>
        <w:rPr>
          <w:rtl/>
          <w:lang w:bidi="ar-EG"/>
        </w:rPr>
      </w:pPr>
      <w:r>
        <w:rPr>
          <w:rtl/>
          <w:lang w:bidi="ar-EG"/>
        </w:rPr>
        <w:t>تقديم التقارير عن تنفيذ الاتحاد لخطة الفضاء 2030</w:t>
      </w:r>
    </w:p>
    <w:p w14:paraId="069F2C03" w14:textId="67502D52" w:rsidR="00B70A43" w:rsidRDefault="00B70A43" w:rsidP="00B70A43">
      <w:pPr>
        <w:rPr>
          <w:rtl/>
          <w:lang w:bidi="ar-EG"/>
        </w:rPr>
      </w:pPr>
      <w:r>
        <w:rPr>
          <w:rtl/>
          <w:lang w:bidi="ar-EG"/>
        </w:rPr>
        <w:t xml:space="preserve">كلّف القرار 218 (بوخارست، 2022) الأمين العام للاتحاد ومديري المكاتب </w:t>
      </w:r>
      <w:r w:rsidRPr="00692A72">
        <w:rPr>
          <w:rtl/>
          <w:lang w:bidi="ar-EG"/>
        </w:rPr>
        <w:t>بعدة أمور</w:t>
      </w:r>
      <w:r>
        <w:rPr>
          <w:rtl/>
          <w:lang w:bidi="ar-EG"/>
        </w:rPr>
        <w:t>، من بينها:</w:t>
      </w:r>
    </w:p>
    <w:p w14:paraId="23682544" w14:textId="5DD4C631" w:rsidR="00B70A43" w:rsidRDefault="00B70A43" w:rsidP="006A05FB">
      <w:pPr>
        <w:pStyle w:val="enumlev1"/>
        <w:rPr>
          <w:rtl/>
        </w:rPr>
      </w:pPr>
      <w:r>
        <w:rPr>
          <w:rtl/>
        </w:rPr>
        <w:t>1</w:t>
      </w:r>
      <w:r>
        <w:rPr>
          <w:rtl/>
        </w:rPr>
        <w:tab/>
        <w:t xml:space="preserve">تقديم تقرير شامل إلى مجلس الاتحاد سنوياً عن حالة الخطط التي تحكمها </w:t>
      </w:r>
      <w:proofErr w:type="spellStart"/>
      <w:r>
        <w:rPr>
          <w:rtl/>
        </w:rPr>
        <w:t>التذييلات</w:t>
      </w:r>
      <w:proofErr w:type="spellEnd"/>
      <w:r>
        <w:rPr>
          <w:rtl/>
        </w:rPr>
        <w:t xml:space="preserve"> </w:t>
      </w:r>
      <w:r w:rsidRPr="00692A72">
        <w:rPr>
          <w:b/>
          <w:bCs/>
          <w:rtl/>
        </w:rPr>
        <w:t>30 و</w:t>
      </w:r>
      <w:r w:rsidR="006A05FB" w:rsidRPr="00692A72">
        <w:rPr>
          <w:b/>
          <w:bCs/>
        </w:rPr>
        <w:t>30A</w:t>
      </w:r>
      <w:r w:rsidRPr="00692A72">
        <w:rPr>
          <w:b/>
          <w:bCs/>
          <w:rtl/>
        </w:rPr>
        <w:t xml:space="preserve"> و</w:t>
      </w:r>
      <w:r w:rsidR="00E4531F" w:rsidRPr="00692A72">
        <w:rPr>
          <w:b/>
          <w:bCs/>
        </w:rPr>
        <w:t>30B</w:t>
      </w:r>
      <w:r w:rsidR="00E4531F">
        <w:rPr>
          <w:rFonts w:hint="cs"/>
          <w:rtl/>
          <w:lang w:bidi="ar-EG"/>
        </w:rPr>
        <w:t xml:space="preserve"> </w:t>
      </w:r>
      <w:r>
        <w:rPr>
          <w:rtl/>
        </w:rPr>
        <w:t xml:space="preserve">للوائح الراديو، مع إبراز حالة البلدان النامية وأي تحدٍ يتعلق بتنفيذ تلك الخطط، مثل تطور الحالات المرجعية لمختلف تخصيصات وتعيينات التردد، بما في ذلك أي صعوبات ومشاكل تواجه مكتب الاتصالات الراديوية في تنفيذ هذه الخطط وكذلك المشكلات التي أبلغت عنها الإدارات إلى المكتب؛ </w:t>
      </w:r>
      <w:r w:rsidRPr="00692A72">
        <w:rPr>
          <w:i/>
          <w:iCs/>
          <w:rtl/>
        </w:rPr>
        <w:t>(الفقرة 2 من "يكلف")</w:t>
      </w:r>
    </w:p>
    <w:p w14:paraId="6D6A61B0" w14:textId="46C4227D" w:rsidR="00B70A43" w:rsidRPr="00692A72" w:rsidRDefault="00B70A43" w:rsidP="006A05FB">
      <w:pPr>
        <w:pStyle w:val="enumlev1"/>
        <w:rPr>
          <w:i/>
          <w:iCs/>
          <w:rtl/>
        </w:rPr>
      </w:pPr>
      <w:r>
        <w:rPr>
          <w:rtl/>
        </w:rPr>
        <w:t>2</w:t>
      </w:r>
      <w:r>
        <w:rPr>
          <w:rtl/>
        </w:rPr>
        <w:tab/>
        <w:t xml:space="preserve">تقديم تقرير إلى المجلس سنوياً عن دور الاتحاد في تنفيذ خطة "الفضاء 2030"؛ </w:t>
      </w:r>
      <w:r w:rsidRPr="00692A72">
        <w:rPr>
          <w:i/>
          <w:iCs/>
          <w:rtl/>
        </w:rPr>
        <w:t>(الفقرة 3 من "يكلف")</w:t>
      </w:r>
    </w:p>
    <w:p w14:paraId="2532A1CA" w14:textId="3239E196" w:rsidR="00B70A43" w:rsidRDefault="00B70A43" w:rsidP="006A05FB">
      <w:pPr>
        <w:pStyle w:val="enumlev1"/>
        <w:rPr>
          <w:rtl/>
        </w:rPr>
      </w:pPr>
      <w:r>
        <w:rPr>
          <w:rtl/>
        </w:rPr>
        <w:t>3</w:t>
      </w:r>
      <w:r>
        <w:rPr>
          <w:rtl/>
        </w:rPr>
        <w:tab/>
        <w:t>تقديم تقرير إلى المجلس عن جلسات اجتماع الأمم المتحدة المشترك بين الوكالات بشأن أنشطة الفضاء الخارجي</w:t>
      </w:r>
      <w:r w:rsidR="00692A72">
        <w:rPr>
          <w:rFonts w:hint="cs"/>
          <w:rtl/>
        </w:rPr>
        <w:t> </w:t>
      </w:r>
      <w:r>
        <w:rPr>
          <w:rtl/>
        </w:rPr>
        <w:t>(</w:t>
      </w:r>
      <w:r>
        <w:t>UN-Space</w:t>
      </w:r>
      <w:r>
        <w:rPr>
          <w:rtl/>
        </w:rPr>
        <w:t xml:space="preserve">) والتدابير قيد التنفيذ لتعزيز أوجه التآزر وتجنب ازدواجية الجهود فيما يتعلق باستخدام تكنولوجيا الفضاء. </w:t>
      </w:r>
      <w:r w:rsidRPr="00692A72">
        <w:rPr>
          <w:i/>
          <w:iCs/>
          <w:rtl/>
        </w:rPr>
        <w:t>(الفقرة 8 من "يكلف")</w:t>
      </w:r>
    </w:p>
    <w:p w14:paraId="227577CF" w14:textId="36ACA1E5" w:rsidR="00B70A43" w:rsidRDefault="00B70A43" w:rsidP="00B70A43">
      <w:pPr>
        <w:rPr>
          <w:rtl/>
          <w:lang w:bidi="ar-EG"/>
        </w:rPr>
      </w:pPr>
      <w:r w:rsidRPr="005C5AF1">
        <w:rPr>
          <w:rtl/>
          <w:lang w:bidi="ar-EG"/>
        </w:rPr>
        <w:t xml:space="preserve">وترد التقارير عن كل من المسائل المذكورة أعلاه في الملحقات </w:t>
      </w:r>
      <w:hyperlink w:anchor="الملحق1" w:history="1">
        <w:r w:rsidR="00110C8A" w:rsidRPr="00692A72">
          <w:rPr>
            <w:rStyle w:val="Hyperlink"/>
            <w:b/>
            <w:bCs/>
          </w:rPr>
          <w:t>1</w:t>
        </w:r>
      </w:hyperlink>
      <w:r w:rsidRPr="005C5AF1">
        <w:rPr>
          <w:rtl/>
          <w:lang w:bidi="ar-EG"/>
        </w:rPr>
        <w:t xml:space="preserve"> و</w:t>
      </w:r>
      <w:hyperlink w:anchor="الملحق2" w:history="1">
        <w:r w:rsidR="00110C8A" w:rsidRPr="00692A72">
          <w:rPr>
            <w:rStyle w:val="Hyperlink"/>
            <w:b/>
            <w:bCs/>
          </w:rPr>
          <w:t>2</w:t>
        </w:r>
      </w:hyperlink>
      <w:r w:rsidRPr="005C5AF1">
        <w:rPr>
          <w:rtl/>
          <w:lang w:bidi="ar-EG"/>
        </w:rPr>
        <w:t xml:space="preserve"> و</w:t>
      </w:r>
      <w:hyperlink w:anchor="الملحق3" w:history="1">
        <w:r w:rsidR="00110C8A" w:rsidRPr="00692A72">
          <w:rPr>
            <w:rStyle w:val="Hyperlink"/>
            <w:b/>
            <w:bCs/>
          </w:rPr>
          <w:t>3</w:t>
        </w:r>
      </w:hyperlink>
      <w:r w:rsidRPr="005C5AF1">
        <w:rPr>
          <w:rtl/>
          <w:lang w:bidi="ar-EG"/>
        </w:rPr>
        <w:t xml:space="preserve"> من هذه المساهمة، على التوالي.</w:t>
      </w:r>
    </w:p>
    <w:p w14:paraId="0F82073C" w14:textId="5F95D0C9" w:rsidR="00B70A43" w:rsidRDefault="00B70A43" w:rsidP="00167CB4">
      <w:pPr>
        <w:pStyle w:val="Headingb"/>
        <w:keepLines/>
        <w:rPr>
          <w:rtl/>
          <w:lang w:bidi="ar-EG"/>
        </w:rPr>
      </w:pPr>
      <w:r>
        <w:rPr>
          <w:rtl/>
          <w:lang w:bidi="ar-EG"/>
        </w:rPr>
        <w:lastRenderedPageBreak/>
        <w:t>أبرز أنشطة الاتحاد الحديثة والمخططة</w:t>
      </w:r>
    </w:p>
    <w:p w14:paraId="0A5C43C5" w14:textId="182371DF" w:rsidR="00B70A43" w:rsidRDefault="000C10AD" w:rsidP="00167CB4">
      <w:pPr>
        <w:pStyle w:val="enumlev1"/>
        <w:keepNext/>
        <w:keepLines/>
        <w:rPr>
          <w:rtl/>
        </w:rPr>
      </w:pPr>
      <w:bookmarkStart w:id="1" w:name="_Hlk131153734"/>
      <w:r w:rsidRPr="000C10AD">
        <w:sym w:font="Symbol" w:char="F0B7"/>
      </w:r>
      <w:bookmarkEnd w:id="1"/>
      <w:r w:rsidR="00B70A43">
        <w:rPr>
          <w:rtl/>
        </w:rPr>
        <w:tab/>
        <w:t xml:space="preserve">بغية تعزيز الحوارات رفيعة المستوى والتوعية بالفرص التي تتيحها الأنظمة الفضائية، تكرس </w:t>
      </w:r>
      <w:hyperlink r:id="rId10" w:history="1">
        <w:r w:rsidR="00B70A43" w:rsidRPr="00622658">
          <w:rPr>
            <w:rStyle w:val="Hyperlink"/>
            <w:rtl/>
          </w:rPr>
          <w:t>جلسة</w:t>
        </w:r>
      </w:hyperlink>
      <w:r w:rsidR="00B70A43">
        <w:rPr>
          <w:rtl/>
        </w:rPr>
        <w:t xml:space="preserve"> في المنتدى رفيع المستوى </w:t>
      </w:r>
      <w:r w:rsidR="00B70A43">
        <w:t>WSIS+20</w:t>
      </w:r>
      <w:r w:rsidR="00B70A43">
        <w:rPr>
          <w:rtl/>
        </w:rPr>
        <w:t xml:space="preserve"> لاستعمال التكنولوجيات والتطبيقات الفضائية لأغراض التنمية المستدامة.</w:t>
      </w:r>
    </w:p>
    <w:p w14:paraId="10A08E2C" w14:textId="1D80CD60" w:rsidR="00B70A43" w:rsidRDefault="000C10AD" w:rsidP="00692A72">
      <w:pPr>
        <w:pStyle w:val="enumlev1"/>
        <w:rPr>
          <w:rtl/>
        </w:rPr>
      </w:pPr>
      <w:r w:rsidRPr="000C10AD">
        <w:sym w:font="Symbol" w:char="F0B7"/>
      </w:r>
      <w:r w:rsidR="00B70A43">
        <w:rPr>
          <w:rtl/>
        </w:rPr>
        <w:tab/>
        <w:t xml:space="preserve">وبالمثل، ستعقد </w:t>
      </w:r>
      <w:hyperlink r:id="rId11" w:anchor="/ar" w:history="1">
        <w:r w:rsidR="00B70A43" w:rsidRPr="00622658">
          <w:rPr>
            <w:rStyle w:val="Hyperlink"/>
            <w:rtl/>
          </w:rPr>
          <w:t>جلسة بشأن اقتصاد الفضاء</w:t>
        </w:r>
      </w:hyperlink>
      <w:r w:rsidR="00B70A43" w:rsidRPr="00622658">
        <w:rPr>
          <w:rtl/>
        </w:rPr>
        <w:t xml:space="preserve"> و</w:t>
      </w:r>
      <w:hyperlink r:id="rId12" w:anchor="/ar" w:history="1">
        <w:r w:rsidR="00B70A43" w:rsidRPr="00622658">
          <w:rPr>
            <w:rStyle w:val="Hyperlink"/>
            <w:rtl/>
          </w:rPr>
          <w:t>ورشة عمل بشأن أدوات الفضاء المستدام</w:t>
        </w:r>
      </w:hyperlink>
      <w:r w:rsidR="00B70A43">
        <w:rPr>
          <w:rtl/>
        </w:rPr>
        <w:t xml:space="preserve"> خلال الندوة العالمية لمنظمي الاتصالات لعام 2024.</w:t>
      </w:r>
    </w:p>
    <w:p w14:paraId="7A7AEAE6" w14:textId="07C17B9D" w:rsidR="00B70A43" w:rsidRDefault="000C10AD" w:rsidP="000C10AD">
      <w:pPr>
        <w:pStyle w:val="enumlev1"/>
        <w:rPr>
          <w:rtl/>
        </w:rPr>
      </w:pPr>
      <w:r w:rsidRPr="000C10AD">
        <w:sym w:font="Symbol" w:char="F0B7"/>
      </w:r>
      <w:r w:rsidR="00B70A43">
        <w:rPr>
          <w:rtl/>
        </w:rPr>
        <w:tab/>
        <w:t xml:space="preserve">اعتمدت جمعية الاتصالات الراديوية لعام </w:t>
      </w:r>
      <w:r w:rsidR="00B70A43">
        <w:rPr>
          <w:cs/>
        </w:rPr>
        <w:t>‎</w:t>
      </w:r>
      <w:r w:rsidR="00B70A43">
        <w:t>2023</w:t>
      </w:r>
      <w:r w:rsidR="00B70A43">
        <w:rPr>
          <w:rtl/>
        </w:rPr>
        <w:t xml:space="preserve"> </w:t>
      </w:r>
      <w:hyperlink r:id="rId13" w:history="1">
        <w:r w:rsidR="00B70A43" w:rsidRPr="007139E0">
          <w:rPr>
            <w:rStyle w:val="Hyperlink"/>
            <w:rtl/>
          </w:rPr>
          <w:t xml:space="preserve">‏القرار </w:t>
        </w:r>
        <w:r w:rsidR="00B70A43" w:rsidRPr="007139E0">
          <w:rPr>
            <w:rStyle w:val="Hyperlink"/>
            <w:cs/>
          </w:rPr>
          <w:t>‎</w:t>
        </w:r>
        <w:r w:rsidR="00B70A43" w:rsidRPr="007139E0">
          <w:rPr>
            <w:rStyle w:val="Hyperlink"/>
          </w:rPr>
          <w:t>ITU-R 74</w:t>
        </w:r>
      </w:hyperlink>
      <w:r w:rsidR="00B70A43">
        <w:rPr>
          <w:rtl/>
        </w:rPr>
        <w:t xml:space="preserve"> ‏بشأن الأنشطة المتعلقة بالاستعمال المستدام لطيف الترددات الراديوية وموارد المدار الساتلي المرتبطة به التي تستخدمها الخدمات الفضائية</w:t>
      </w:r>
      <w:r w:rsidR="00B70A43">
        <w:rPr>
          <w:cs/>
        </w:rPr>
        <w:t>‎</w:t>
      </w:r>
      <w:r w:rsidR="00B70A43">
        <w:rPr>
          <w:rtl/>
        </w:rPr>
        <w:t>.</w:t>
      </w:r>
    </w:p>
    <w:p w14:paraId="58926D3E" w14:textId="2532A1EA" w:rsidR="00B70A43" w:rsidRDefault="000C10AD" w:rsidP="000C10AD">
      <w:pPr>
        <w:pStyle w:val="enumlev1"/>
        <w:rPr>
          <w:rtl/>
        </w:rPr>
      </w:pPr>
      <w:r w:rsidRPr="000C10AD">
        <w:sym w:font="Symbol" w:char="F0B7"/>
      </w:r>
      <w:r w:rsidR="00B70A43">
        <w:rPr>
          <w:rtl/>
        </w:rPr>
        <w:tab/>
        <w:t>وفقاً للتعليمات الواردة في هذا القرار، أعدت صفحة إلكترونية مخصصة بعنوان "</w:t>
      </w:r>
      <w:hyperlink r:id="rId14" w:anchor="/ar" w:history="1">
        <w:r w:rsidR="00B70A43" w:rsidRPr="00680249">
          <w:rPr>
            <w:rStyle w:val="Hyperlink"/>
            <w:rtl/>
          </w:rPr>
          <w:t>بوابة الاستدامة الفضائية</w:t>
        </w:r>
      </w:hyperlink>
      <w:r w:rsidR="00B70A43">
        <w:rPr>
          <w:rtl/>
        </w:rPr>
        <w:t>" وأتيحت</w:t>
      </w:r>
      <w:r w:rsidR="00167CB4">
        <w:rPr>
          <w:rFonts w:hint="cs"/>
          <w:rtl/>
        </w:rPr>
        <w:t> </w:t>
      </w:r>
      <w:r w:rsidR="00B70A43">
        <w:rPr>
          <w:rtl/>
        </w:rPr>
        <w:t>للجمهور.</w:t>
      </w:r>
    </w:p>
    <w:p w14:paraId="0475CEC0" w14:textId="7C945ECC" w:rsidR="00B70A43" w:rsidRDefault="000C10AD" w:rsidP="000C10AD">
      <w:pPr>
        <w:pStyle w:val="enumlev1"/>
        <w:rPr>
          <w:rtl/>
        </w:rPr>
      </w:pPr>
      <w:r w:rsidRPr="000C10AD">
        <w:sym w:font="Symbol" w:char="F0B7"/>
      </w:r>
      <w:r w:rsidR="00B70A43">
        <w:rPr>
          <w:rtl/>
        </w:rPr>
        <w:tab/>
        <w:t xml:space="preserve">وبالتوازي مع ذلك، صدرت </w:t>
      </w:r>
      <w:hyperlink r:id="rId15" w:history="1">
        <w:r w:rsidR="00B70A43" w:rsidRPr="00680249">
          <w:rPr>
            <w:rStyle w:val="Hyperlink"/>
            <w:rtl/>
          </w:rPr>
          <w:t xml:space="preserve">الرسالة المعممة </w:t>
        </w:r>
        <w:r w:rsidR="00B70A43" w:rsidRPr="00680249">
          <w:rPr>
            <w:rStyle w:val="Hyperlink"/>
          </w:rPr>
          <w:t>CA/272</w:t>
        </w:r>
      </w:hyperlink>
      <w:r w:rsidR="00B70A43">
        <w:rPr>
          <w:rtl/>
        </w:rPr>
        <w:t xml:space="preserve"> لدعوة جميع أعضاء الاتحاد إلى تقديم المعلومات ذات الصلة بهدف تزويد بوابة الاستدامة الفضائية بالمعلومات. وقد وردت الردود الأولى ونشرت. ويدعى أعضاء الاتحاد إلى مواصلة تقديم المعلومات ذات الصلة بهذا الموضوع.</w:t>
      </w:r>
    </w:p>
    <w:p w14:paraId="36894C74" w14:textId="696C15C9" w:rsidR="00B70A43" w:rsidRDefault="000C10AD" w:rsidP="000C10AD">
      <w:pPr>
        <w:pStyle w:val="enumlev1"/>
        <w:rPr>
          <w:rtl/>
        </w:rPr>
      </w:pPr>
      <w:r w:rsidRPr="000C10AD">
        <w:sym w:font="Symbol" w:char="F0B7"/>
      </w:r>
      <w:r w:rsidR="00B70A43">
        <w:rPr>
          <w:rtl/>
        </w:rPr>
        <w:tab/>
        <w:t>ومن المقرر عقد منتدى لتقييم الردود الأولى على هذه الرسالة المعممة يومي 10 و11 سبتمبر 2024.</w:t>
      </w:r>
    </w:p>
    <w:p w14:paraId="742930DD" w14:textId="553A4575" w:rsidR="00B70A43" w:rsidRPr="00336E61" w:rsidRDefault="00B70A43" w:rsidP="00167CB4">
      <w:pPr>
        <w:spacing w:before="1440"/>
        <w:rPr>
          <w:i/>
          <w:iCs/>
          <w:rtl/>
          <w:lang w:bidi="ar-EG"/>
        </w:rPr>
      </w:pPr>
      <w:r w:rsidRPr="00167CB4">
        <w:rPr>
          <w:b/>
          <w:bCs/>
          <w:i/>
          <w:iCs/>
          <w:rtl/>
          <w:lang w:bidi="ar-EG"/>
        </w:rPr>
        <w:t>الملحقات</w:t>
      </w:r>
      <w:r w:rsidRPr="00336E61">
        <w:rPr>
          <w:b/>
          <w:bCs/>
          <w:i/>
          <w:iCs/>
          <w:rtl/>
          <w:lang w:bidi="ar-EG"/>
        </w:rPr>
        <w:t>:</w:t>
      </w:r>
      <w:r w:rsidRPr="00336E61">
        <w:rPr>
          <w:i/>
          <w:iCs/>
          <w:rtl/>
          <w:lang w:bidi="ar-EG"/>
        </w:rPr>
        <w:t xml:space="preserve"> 3</w:t>
      </w:r>
    </w:p>
    <w:p w14:paraId="3D358486" w14:textId="4CBFF042" w:rsidR="00167CB4" w:rsidRDefault="00167CB4" w:rsidP="00E61BE8">
      <w:pPr>
        <w:rPr>
          <w:rtl/>
          <w:lang w:bidi="ar-EG"/>
        </w:rPr>
      </w:pPr>
      <w:r>
        <w:rPr>
          <w:rtl/>
          <w:lang w:bidi="ar-EG"/>
        </w:rPr>
        <w:br w:type="page"/>
      </w:r>
    </w:p>
    <w:p w14:paraId="7A70F831" w14:textId="6BDA212E" w:rsidR="00B70A43" w:rsidRDefault="00336E61" w:rsidP="00336E61">
      <w:pPr>
        <w:pStyle w:val="AnnexNo"/>
        <w:rPr>
          <w:rtl/>
        </w:rPr>
      </w:pPr>
      <w:bookmarkStart w:id="2" w:name="الملحق1"/>
      <w:bookmarkEnd w:id="2"/>
      <w:r>
        <w:rPr>
          <w:rFonts w:hint="cs"/>
          <w:rtl/>
        </w:rPr>
        <w:lastRenderedPageBreak/>
        <w:t xml:space="preserve">الملحق </w:t>
      </w:r>
      <w:r>
        <w:t>1</w:t>
      </w:r>
    </w:p>
    <w:p w14:paraId="33E5D145" w14:textId="6348CF14" w:rsidR="00336E61" w:rsidRDefault="00336E61" w:rsidP="00336E61">
      <w:pPr>
        <w:pStyle w:val="Annextitle"/>
        <w:rPr>
          <w:rtl/>
        </w:rPr>
      </w:pPr>
      <w:r>
        <w:rPr>
          <w:rtl/>
        </w:rPr>
        <w:t xml:space="preserve">حالة الخطط التي تحكمها </w:t>
      </w:r>
      <w:proofErr w:type="spellStart"/>
      <w:r>
        <w:rPr>
          <w:rtl/>
        </w:rPr>
        <w:t>التذييلات</w:t>
      </w:r>
      <w:proofErr w:type="spellEnd"/>
      <w:r>
        <w:rPr>
          <w:rtl/>
        </w:rPr>
        <w:t xml:space="preserve"> </w:t>
      </w:r>
      <w:r>
        <w:t>30</w:t>
      </w:r>
      <w:r>
        <w:rPr>
          <w:rtl/>
        </w:rPr>
        <w:t xml:space="preserve"> و</w:t>
      </w:r>
      <w:r>
        <w:t>30A</w:t>
      </w:r>
      <w:r>
        <w:rPr>
          <w:rtl/>
        </w:rPr>
        <w:t xml:space="preserve"> و</w:t>
      </w:r>
      <w:r>
        <w:t>30B</w:t>
      </w:r>
      <w:r>
        <w:rPr>
          <w:rtl/>
        </w:rPr>
        <w:t xml:space="preserve"> للوائح الراديو</w:t>
      </w:r>
    </w:p>
    <w:p w14:paraId="129A0435" w14:textId="77777777" w:rsidR="00336E61" w:rsidRDefault="00336E61" w:rsidP="00336E61">
      <w:pPr>
        <w:pStyle w:val="Headingb"/>
        <w:rPr>
          <w:rtl/>
        </w:rPr>
      </w:pPr>
      <w:r>
        <w:rPr>
          <w:rtl/>
        </w:rPr>
        <w:t>مقدمة</w:t>
      </w:r>
    </w:p>
    <w:p w14:paraId="39A02B50" w14:textId="041505E4" w:rsidR="00336E61" w:rsidRDefault="00336E61" w:rsidP="00336E61">
      <w:pPr>
        <w:rPr>
          <w:rtl/>
        </w:rPr>
      </w:pPr>
      <w:r>
        <w:rPr>
          <w:rtl/>
        </w:rPr>
        <w:t>يكلف القرار ‏</w:t>
      </w:r>
      <w:r>
        <w:rPr>
          <w:cs/>
        </w:rPr>
        <w:t>‎</w:t>
      </w:r>
      <w:r>
        <w:t>218</w:t>
      </w:r>
      <w:r>
        <w:rPr>
          <w:cs/>
        </w:rPr>
        <w:t>‎</w:t>
      </w:r>
      <w:r>
        <w:rPr>
          <w:rtl/>
        </w:rPr>
        <w:t>، "</w:t>
      </w:r>
      <w:r w:rsidRPr="00B15640">
        <w:rPr>
          <w:i/>
          <w:iCs/>
          <w:rtl/>
        </w:rPr>
        <w:t>دور الاتحاد الدولي للاتصالات في تنفيذ خطة "الفضاء ‏</w:t>
      </w:r>
      <w:r w:rsidRPr="00B15640">
        <w:rPr>
          <w:i/>
          <w:iCs/>
          <w:cs/>
        </w:rPr>
        <w:t>‎</w:t>
      </w:r>
      <w:r w:rsidRPr="00B15640">
        <w:rPr>
          <w:i/>
          <w:iCs/>
        </w:rPr>
        <w:t>2030</w:t>
      </w:r>
      <w:r w:rsidRPr="00B15640">
        <w:rPr>
          <w:i/>
          <w:iCs/>
          <w:cs/>
        </w:rPr>
        <w:t>‎</w:t>
      </w:r>
      <w:r w:rsidRPr="00461ADB">
        <w:rPr>
          <w:i/>
          <w:iCs/>
          <w:rtl/>
        </w:rPr>
        <w:t>‏": الفضاء باعتباره محركاً‏</w:t>
      </w:r>
      <w:r w:rsidRPr="00461ADB">
        <w:rPr>
          <w:i/>
          <w:iCs/>
          <w:cs/>
        </w:rPr>
        <w:t>‎</w:t>
      </w:r>
      <w:r w:rsidRPr="00461ADB">
        <w:rPr>
          <w:i/>
          <w:iCs/>
        </w:rPr>
        <w:t xml:space="preserve"> </w:t>
      </w:r>
      <w:r w:rsidRPr="00461ADB">
        <w:rPr>
          <w:i/>
          <w:iCs/>
          <w:cs/>
        </w:rPr>
        <w:t>‎</w:t>
      </w:r>
      <w:r w:rsidRPr="00461ADB">
        <w:rPr>
          <w:i/>
          <w:iCs/>
          <w:rtl/>
        </w:rPr>
        <w:t>للتنمية ‏المستدامة، وفي</w:t>
      </w:r>
      <w:r w:rsidR="00B15640" w:rsidRPr="00461ADB">
        <w:rPr>
          <w:rFonts w:hint="cs"/>
          <w:i/>
          <w:iCs/>
          <w:rtl/>
        </w:rPr>
        <w:t> </w:t>
      </w:r>
      <w:r w:rsidRPr="00461ADB">
        <w:rPr>
          <w:i/>
          <w:iCs/>
          <w:rtl/>
        </w:rPr>
        <w:t>عملية متابعة تنفيذ الخطة واستعراضه</w:t>
      </w:r>
      <w:r>
        <w:rPr>
          <w:rtl/>
        </w:rPr>
        <w:t xml:space="preserve">"، الأمين العام ومديري المكاتب "بتقديم تقرير شامل إلى مجلس ‏الاتحاد سنوياً عن حالة الخطط التي تحكمها </w:t>
      </w:r>
      <w:proofErr w:type="spellStart"/>
      <w:r>
        <w:rPr>
          <w:rtl/>
        </w:rPr>
        <w:t>التذييلات</w:t>
      </w:r>
      <w:proofErr w:type="spellEnd"/>
      <w:r>
        <w:rPr>
          <w:rtl/>
        </w:rPr>
        <w:t xml:space="preserve"> </w:t>
      </w:r>
      <w:r w:rsidR="00B15640" w:rsidRPr="00692A72">
        <w:rPr>
          <w:b/>
          <w:bCs/>
        </w:rPr>
        <w:t>30</w:t>
      </w:r>
      <w:r w:rsidR="00B15640" w:rsidRPr="00692A72">
        <w:rPr>
          <w:b/>
          <w:bCs/>
          <w:rtl/>
        </w:rPr>
        <w:t xml:space="preserve"> و</w:t>
      </w:r>
      <w:r w:rsidR="00B15640" w:rsidRPr="00692A72">
        <w:rPr>
          <w:b/>
          <w:bCs/>
        </w:rPr>
        <w:t>30A</w:t>
      </w:r>
      <w:r w:rsidR="00B15640" w:rsidRPr="00692A72">
        <w:rPr>
          <w:b/>
          <w:bCs/>
          <w:rtl/>
        </w:rPr>
        <w:t xml:space="preserve"> و</w:t>
      </w:r>
      <w:r w:rsidR="00B15640" w:rsidRPr="00692A72">
        <w:rPr>
          <w:b/>
          <w:bCs/>
        </w:rPr>
        <w:t>30B</w:t>
      </w:r>
      <w:r>
        <w:rPr>
          <w:rtl/>
        </w:rPr>
        <w:t>‏ للوائح الراديو، مع إبراز حالة البلدان النامية وأي ‏تحدٍ يتعلق بتنفيذ تلك الخطط، مثل تطور الحالات المرجعية لمختلف تخصيصات وتعيينات التردد، بما في ذلك أي ‏صعوبات ومشاكل واجهها مكتب الاتصالات الراديوية في تنفيذ هذه الخطط وكذلك المشكلات التي أبلغت عنها الإدارات إلى ‏المكتب" (</w:t>
      </w:r>
      <w:r w:rsidRPr="00D85F3E">
        <w:rPr>
          <w:rtl/>
        </w:rPr>
        <w:t>انظر</w:t>
      </w:r>
      <w:r w:rsidRPr="00461ADB">
        <w:rPr>
          <w:i/>
          <w:iCs/>
          <w:rtl/>
        </w:rPr>
        <w:t xml:space="preserve"> الفقرة 2 من "يكلف"</w:t>
      </w:r>
      <w:r>
        <w:rPr>
          <w:rtl/>
        </w:rPr>
        <w:t>).‏</w:t>
      </w:r>
    </w:p>
    <w:p w14:paraId="50AA6F88" w14:textId="26DCCCE9" w:rsidR="00336E61" w:rsidRDefault="00336E61" w:rsidP="00336E61">
      <w:pPr>
        <w:rPr>
          <w:rtl/>
        </w:rPr>
      </w:pPr>
      <w:r>
        <w:rPr>
          <w:rtl/>
        </w:rPr>
        <w:t xml:space="preserve">ويلخص هذا التقرير حالة خطط الفضاء في نهاية أبريل 2024 ويقدم معلومات عن القضايا الأخرى ذات الصلة. وينقسم التقرير إلى جزأين: يعرض الجزء الأول الخدمة الإذاعية الساتلية وخطط وصلات التغذية المصاحبة لها في التذييلين </w:t>
      </w:r>
      <w:r w:rsidR="00B15640" w:rsidRPr="00C80CA9">
        <w:rPr>
          <w:b/>
          <w:bCs/>
        </w:rPr>
        <w:t>30</w:t>
      </w:r>
      <w:r>
        <w:rPr>
          <w:rtl/>
        </w:rPr>
        <w:t xml:space="preserve"> </w:t>
      </w:r>
      <w:r w:rsidRPr="001A3BBA">
        <w:rPr>
          <w:b/>
          <w:bCs/>
          <w:rtl/>
        </w:rPr>
        <w:t>و</w:t>
      </w:r>
      <w:r w:rsidR="00B15640" w:rsidRPr="00C80CA9">
        <w:rPr>
          <w:b/>
          <w:bCs/>
        </w:rPr>
        <w:t>30A</w:t>
      </w:r>
      <w:r>
        <w:rPr>
          <w:rtl/>
        </w:rPr>
        <w:t xml:space="preserve">. ويعرض الجزء الثاني حالة خطة الخدمة الثابتة الساتلية الواردة في التذييل </w:t>
      </w:r>
      <w:r w:rsidRPr="00461ADB">
        <w:rPr>
          <w:b/>
          <w:bCs/>
        </w:rPr>
        <w:t>30B</w:t>
      </w:r>
      <w:r>
        <w:rPr>
          <w:rtl/>
        </w:rPr>
        <w:t>.</w:t>
      </w:r>
    </w:p>
    <w:p w14:paraId="35859B95" w14:textId="51E94159" w:rsidR="00336E61" w:rsidRDefault="00336E61" w:rsidP="00692A72">
      <w:pPr>
        <w:pStyle w:val="Parttitle"/>
        <w:spacing w:before="360" w:after="0"/>
        <w:rPr>
          <w:rtl/>
        </w:rPr>
      </w:pPr>
      <w:r>
        <w:rPr>
          <w:rtl/>
        </w:rPr>
        <w:t xml:space="preserve">الجزء الأول - خطط الخدمة الإذاعية الساتلية ووصلات التغذية المصاحبة لها </w:t>
      </w:r>
      <w:r w:rsidR="002118B8">
        <w:br/>
      </w:r>
      <w:r>
        <w:rPr>
          <w:rtl/>
        </w:rPr>
        <w:t xml:space="preserve">في التذييلين </w:t>
      </w:r>
      <w:r w:rsidR="002118B8">
        <w:t>30</w:t>
      </w:r>
      <w:r>
        <w:rPr>
          <w:rtl/>
        </w:rPr>
        <w:t xml:space="preserve"> و</w:t>
      </w:r>
      <w:r w:rsidR="002118B8">
        <w:t>30A</w:t>
      </w:r>
      <w:r>
        <w:rPr>
          <w:rtl/>
        </w:rPr>
        <w:t xml:space="preserve"> من لوائح الراديو</w:t>
      </w:r>
    </w:p>
    <w:p w14:paraId="61AE8189" w14:textId="2993F6F8" w:rsidR="00336E61" w:rsidRDefault="00336E61" w:rsidP="00D94493">
      <w:pPr>
        <w:pStyle w:val="Heading1"/>
        <w:rPr>
          <w:rtl/>
        </w:rPr>
      </w:pPr>
      <w:r>
        <w:rPr>
          <w:rtl/>
        </w:rPr>
        <w:t>1</w:t>
      </w:r>
      <w:r>
        <w:rPr>
          <w:rtl/>
        </w:rPr>
        <w:tab/>
        <w:t xml:space="preserve">حالة الخطط التي يحكمها التذييلان </w:t>
      </w:r>
      <w:r w:rsidR="002118B8">
        <w:t>30</w:t>
      </w:r>
      <w:r>
        <w:rPr>
          <w:rtl/>
        </w:rPr>
        <w:t xml:space="preserve"> و</w:t>
      </w:r>
      <w:r w:rsidR="002118B8">
        <w:t>30A</w:t>
      </w:r>
      <w:r>
        <w:rPr>
          <w:rtl/>
        </w:rPr>
        <w:t xml:space="preserve"> للوائح الراديو في الإقليمين 1 و3</w:t>
      </w:r>
    </w:p>
    <w:p w14:paraId="7EAC5FE0" w14:textId="00840EBF" w:rsidR="00336E61" w:rsidRDefault="00336E61" w:rsidP="00D94493">
      <w:pPr>
        <w:pStyle w:val="Heading2"/>
        <w:rPr>
          <w:rtl/>
        </w:rPr>
      </w:pPr>
      <w:r>
        <w:rPr>
          <w:rtl/>
        </w:rPr>
        <w:t>1.1</w:t>
      </w:r>
      <w:r>
        <w:rPr>
          <w:rtl/>
        </w:rPr>
        <w:tab/>
        <w:t>نظرة عامة</w:t>
      </w:r>
    </w:p>
    <w:p w14:paraId="35E6FEED" w14:textId="22D8E3AC" w:rsidR="00336E61" w:rsidRDefault="00336E61" w:rsidP="00336E61">
      <w:pPr>
        <w:rPr>
          <w:rtl/>
        </w:rPr>
      </w:pPr>
      <w:r>
        <w:rPr>
          <w:rtl/>
        </w:rPr>
        <w:t xml:space="preserve">خطة التذييل </w:t>
      </w:r>
      <w:r w:rsidRPr="00461ADB">
        <w:rPr>
          <w:b/>
          <w:bCs/>
          <w:rtl/>
        </w:rPr>
        <w:t>30</w:t>
      </w:r>
      <w:r>
        <w:rPr>
          <w:rtl/>
        </w:rPr>
        <w:t xml:space="preserve"> في الإقليمين 1 و3 هي خطة للخدمة الإذاعية الساتلية (</w:t>
      </w:r>
      <w:r>
        <w:t>BSS</w:t>
      </w:r>
      <w:r>
        <w:rPr>
          <w:rtl/>
        </w:rPr>
        <w:t xml:space="preserve">) في نطاقي التردد 11,7-12,2 </w:t>
      </w:r>
      <w:r>
        <w:t>GHz</w:t>
      </w:r>
      <w:r>
        <w:rPr>
          <w:rtl/>
        </w:rPr>
        <w:t xml:space="preserve"> في</w:t>
      </w:r>
      <w:r w:rsidR="002118B8">
        <w:rPr>
          <w:rFonts w:hint="cs"/>
          <w:rtl/>
        </w:rPr>
        <w:t> </w:t>
      </w:r>
      <w:r>
        <w:rPr>
          <w:rtl/>
        </w:rPr>
        <w:t>الإقليم</w:t>
      </w:r>
      <w:r w:rsidR="002118B8">
        <w:rPr>
          <w:rFonts w:hint="cs"/>
          <w:rtl/>
        </w:rPr>
        <w:t> </w:t>
      </w:r>
      <w:r>
        <w:rPr>
          <w:rtl/>
        </w:rPr>
        <w:t xml:space="preserve">3 و11,7-12,5 </w:t>
      </w:r>
      <w:r>
        <w:t>GHz</w:t>
      </w:r>
      <w:r>
        <w:rPr>
          <w:rtl/>
        </w:rPr>
        <w:t xml:space="preserve"> في الإقليم 1. وخطة التذييل </w:t>
      </w:r>
      <w:r w:rsidR="002118B8" w:rsidRPr="002118B8">
        <w:rPr>
          <w:b/>
          <w:bCs/>
        </w:rPr>
        <w:t>30A</w:t>
      </w:r>
      <w:r>
        <w:rPr>
          <w:rtl/>
        </w:rPr>
        <w:t xml:space="preserve"> في الإقليمين 1 و3 عبارة عن خطة لوصلات تغذية المحطات </w:t>
      </w:r>
      <w:r>
        <w:t>BSS</w:t>
      </w:r>
      <w:r>
        <w:rPr>
          <w:rtl/>
        </w:rPr>
        <w:t xml:space="preserve"> في</w:t>
      </w:r>
      <w:r w:rsidR="00E01308">
        <w:rPr>
          <w:rFonts w:hint="cs"/>
          <w:rtl/>
        </w:rPr>
        <w:t> </w:t>
      </w:r>
      <w:r>
        <w:rPr>
          <w:rtl/>
        </w:rPr>
        <w:t xml:space="preserve">نطاقي التردد 17,3-18,1 </w:t>
      </w:r>
      <w:r>
        <w:t>GHz</w:t>
      </w:r>
      <w:r>
        <w:rPr>
          <w:rtl/>
        </w:rPr>
        <w:t xml:space="preserve"> في الإقليمين 1 و3 و14,5-14,8 </w:t>
      </w:r>
      <w:r>
        <w:t>GHz</w:t>
      </w:r>
      <w:r>
        <w:rPr>
          <w:rtl/>
        </w:rPr>
        <w:t xml:space="preserve"> للبلدان خارج أوروبا.</w:t>
      </w:r>
    </w:p>
    <w:p w14:paraId="79CE88F6" w14:textId="1B74D358" w:rsidR="00336E61" w:rsidRDefault="00336E61" w:rsidP="00336E61">
      <w:pPr>
        <w:rPr>
          <w:rtl/>
        </w:rPr>
      </w:pPr>
      <w:r>
        <w:rPr>
          <w:rtl/>
        </w:rPr>
        <w:t xml:space="preserve">وقد أنهى المؤتمر </w:t>
      </w:r>
      <w:r>
        <w:t>WRC-2000</w:t>
      </w:r>
      <w:r>
        <w:rPr>
          <w:rtl/>
        </w:rPr>
        <w:t xml:space="preserve"> بنجاح عملية إعادة تخطيط خطط التذييلين </w:t>
      </w:r>
      <w:r w:rsidR="00461ADB" w:rsidRPr="00461ADB">
        <w:rPr>
          <w:b/>
          <w:bCs/>
        </w:rPr>
        <w:t>30</w:t>
      </w:r>
      <w:r>
        <w:rPr>
          <w:rtl/>
        </w:rPr>
        <w:t xml:space="preserve"> </w:t>
      </w:r>
      <w:r w:rsidRPr="001A3BBA">
        <w:rPr>
          <w:b/>
          <w:bCs/>
          <w:rtl/>
        </w:rPr>
        <w:t>و</w:t>
      </w:r>
      <w:r w:rsidR="00461ADB" w:rsidRPr="001A3BBA">
        <w:rPr>
          <w:b/>
          <w:bCs/>
        </w:rPr>
        <w:t>30A</w:t>
      </w:r>
      <w:r>
        <w:rPr>
          <w:rtl/>
        </w:rPr>
        <w:t xml:space="preserve"> في الإقليمين 1 و3. ومنذ ذلك الحين، أدرجت على نحو متزايد تخصيصات لاستعمالات إضافية في قوائم هذين التذييلين بالاعتماد أكثر فأكثر على تطبيق "الاتفاق الضمني". ونتيجة لذلك، تراجعت على مر الزمن الحالات المرجعية (هامش الحماية المكافئة </w:t>
      </w:r>
      <w:r>
        <w:t>(EPM)</w:t>
      </w:r>
      <w:r>
        <w:rPr>
          <w:rtl/>
        </w:rPr>
        <w:t>) لمعظم تخصيصات خطط الإقليمين</w:t>
      </w:r>
      <w:r w:rsidR="004565F6">
        <w:rPr>
          <w:rFonts w:hint="cs"/>
          <w:rtl/>
        </w:rPr>
        <w:t> </w:t>
      </w:r>
      <w:r>
        <w:rPr>
          <w:rtl/>
        </w:rPr>
        <w:t>1 و3.</w:t>
      </w:r>
    </w:p>
    <w:p w14:paraId="03692E6C" w14:textId="25AF745E" w:rsidR="00336E61" w:rsidRDefault="00336E61" w:rsidP="00336E61">
      <w:pPr>
        <w:rPr>
          <w:rtl/>
        </w:rPr>
      </w:pPr>
      <w:r>
        <w:rPr>
          <w:rtl/>
        </w:rPr>
        <w:t xml:space="preserve">واعتمد المؤتمر </w:t>
      </w:r>
      <w:r>
        <w:t>WRC-19</w:t>
      </w:r>
      <w:r>
        <w:rPr>
          <w:rtl/>
        </w:rPr>
        <w:t xml:space="preserve"> القرار </w:t>
      </w:r>
      <w:r w:rsidR="00C80CA9" w:rsidRPr="00E01308">
        <w:rPr>
          <w:b/>
          <w:bCs/>
        </w:rPr>
        <w:t>559 (WRC</w:t>
      </w:r>
      <w:r w:rsidR="00C80CA9" w:rsidRPr="00E01308">
        <w:rPr>
          <w:b/>
          <w:bCs/>
        </w:rPr>
        <w:noBreakHyphen/>
        <w:t>19)</w:t>
      </w:r>
      <w:r>
        <w:rPr>
          <w:rtl/>
        </w:rPr>
        <w:t xml:space="preserve"> لتزويد بعض الإدارات في الإقليمين 1 و3 بإمكانية تقديم تخصيصات تردد جديدة تحل محل ما انحط من تخصيصاتها الترددية الوطنية في خطط التذييلين </w:t>
      </w:r>
      <w:r w:rsidR="00E01308" w:rsidRPr="00E01308">
        <w:rPr>
          <w:b/>
          <w:bCs/>
        </w:rPr>
        <w:t>30</w:t>
      </w:r>
      <w:r>
        <w:rPr>
          <w:rtl/>
        </w:rPr>
        <w:t xml:space="preserve"> </w:t>
      </w:r>
      <w:r w:rsidRPr="001A3BBA">
        <w:rPr>
          <w:b/>
          <w:bCs/>
          <w:rtl/>
        </w:rPr>
        <w:t>و</w:t>
      </w:r>
      <w:r w:rsidR="00E01308" w:rsidRPr="00E01308">
        <w:rPr>
          <w:b/>
          <w:bCs/>
        </w:rPr>
        <w:t>30A</w:t>
      </w:r>
      <w:r>
        <w:rPr>
          <w:rtl/>
        </w:rPr>
        <w:t xml:space="preserve">. وأرسل ما مجموعه 45 إدارة مؤهلة طلباتها بموجب القرار </w:t>
      </w:r>
      <w:r w:rsidR="00C80CA9" w:rsidRPr="00C80CA9">
        <w:rPr>
          <w:b/>
          <w:bCs/>
        </w:rPr>
        <w:t>559 (WRC</w:t>
      </w:r>
      <w:r w:rsidR="00C80CA9" w:rsidRPr="00C80CA9">
        <w:rPr>
          <w:b/>
          <w:bCs/>
        </w:rPr>
        <w:noBreakHyphen/>
        <w:t>19)</w:t>
      </w:r>
      <w:r>
        <w:rPr>
          <w:rtl/>
        </w:rPr>
        <w:t xml:space="preserve">، وأدرجت 41 إدارة بنجاح تخصيصاتها الجديدة في قوائم التذييلين </w:t>
      </w:r>
      <w:r w:rsidR="00E01308" w:rsidRPr="00E01308">
        <w:rPr>
          <w:b/>
          <w:bCs/>
        </w:rPr>
        <w:t>30</w:t>
      </w:r>
      <w:r>
        <w:rPr>
          <w:rtl/>
        </w:rPr>
        <w:t xml:space="preserve"> </w:t>
      </w:r>
      <w:r w:rsidRPr="001A3BBA">
        <w:rPr>
          <w:b/>
          <w:bCs/>
          <w:rtl/>
        </w:rPr>
        <w:t>و</w:t>
      </w:r>
      <w:r w:rsidR="00E01308" w:rsidRPr="00E01308">
        <w:rPr>
          <w:b/>
          <w:bCs/>
        </w:rPr>
        <w:t>30A</w:t>
      </w:r>
      <w:r>
        <w:rPr>
          <w:rtl/>
        </w:rPr>
        <w:t xml:space="preserve"> وقدمت بعد ذلك طلباتها لإدراجها في الخطط إلى المؤتمر </w:t>
      </w:r>
      <w:r>
        <w:t>WRC-23</w:t>
      </w:r>
      <w:r>
        <w:rPr>
          <w:rtl/>
        </w:rPr>
        <w:t>.</w:t>
      </w:r>
    </w:p>
    <w:p w14:paraId="75268BD2" w14:textId="4619FCAC" w:rsidR="00336E61" w:rsidRDefault="00336E61" w:rsidP="00336E61">
      <w:pPr>
        <w:rPr>
          <w:rtl/>
        </w:rPr>
      </w:pPr>
      <w:r>
        <w:rPr>
          <w:rtl/>
        </w:rPr>
        <w:t xml:space="preserve">ووافق المؤتمر </w:t>
      </w:r>
      <w:r>
        <w:t>WRC-23</w:t>
      </w:r>
      <w:r>
        <w:rPr>
          <w:rtl/>
        </w:rPr>
        <w:t xml:space="preserve"> على طلبات الإدارات </w:t>
      </w:r>
      <w:r w:rsidRPr="001A3BBA">
        <w:rPr>
          <w:rtl/>
        </w:rPr>
        <w:t>الإحدى والأربعين</w:t>
      </w:r>
      <w:r>
        <w:rPr>
          <w:rtl/>
        </w:rPr>
        <w:t xml:space="preserve"> المذكورة أعلاه. ونتيجةً لذلك، استعيض عن تخصيصات التردد الوطنية المتردية البالغ عددها 40 تخصيصاً في خطتي التذييلين </w:t>
      </w:r>
      <w:r w:rsidR="00E01308" w:rsidRPr="00E01308">
        <w:rPr>
          <w:b/>
          <w:bCs/>
        </w:rPr>
        <w:t>30</w:t>
      </w:r>
      <w:r>
        <w:rPr>
          <w:rtl/>
        </w:rPr>
        <w:t xml:space="preserve"> </w:t>
      </w:r>
      <w:r w:rsidRPr="001A3BBA">
        <w:rPr>
          <w:b/>
          <w:bCs/>
          <w:rtl/>
        </w:rPr>
        <w:t>و</w:t>
      </w:r>
      <w:r w:rsidR="00E01308" w:rsidRPr="00E01308">
        <w:rPr>
          <w:b/>
          <w:bCs/>
        </w:rPr>
        <w:t>30A</w:t>
      </w:r>
      <w:r>
        <w:rPr>
          <w:rtl/>
        </w:rPr>
        <w:t xml:space="preserve"> بتخصيصات تردد ناشئة عن تطبيق القرار </w:t>
      </w:r>
      <w:r w:rsidRPr="00E01308">
        <w:rPr>
          <w:b/>
          <w:bCs/>
          <w:rtl/>
        </w:rPr>
        <w:t>559</w:t>
      </w:r>
      <w:r>
        <w:rPr>
          <w:rtl/>
        </w:rPr>
        <w:t xml:space="preserve"> مع تحسين الحالات المرجعية. كما حصلت إدارة جنوب السودان على مدخلها الجديد في خطط التذييلين </w:t>
      </w:r>
      <w:r w:rsidR="00B17A06" w:rsidRPr="00B17A06">
        <w:rPr>
          <w:b/>
          <w:bCs/>
        </w:rPr>
        <w:t>30</w:t>
      </w:r>
      <w:r>
        <w:rPr>
          <w:rtl/>
        </w:rPr>
        <w:t xml:space="preserve"> </w:t>
      </w:r>
      <w:r w:rsidRPr="001A3BBA">
        <w:rPr>
          <w:b/>
          <w:bCs/>
          <w:rtl/>
        </w:rPr>
        <w:t>و</w:t>
      </w:r>
      <w:r w:rsidR="00B17A06" w:rsidRPr="00B17A06">
        <w:rPr>
          <w:b/>
          <w:bCs/>
        </w:rPr>
        <w:t>30A</w:t>
      </w:r>
      <w:r>
        <w:rPr>
          <w:rtl/>
        </w:rPr>
        <w:t>.</w:t>
      </w:r>
    </w:p>
    <w:p w14:paraId="62CEE608" w14:textId="2786A6C0" w:rsidR="00336E61" w:rsidRDefault="00336E61" w:rsidP="00336E61">
      <w:pPr>
        <w:rPr>
          <w:rtl/>
        </w:rPr>
      </w:pPr>
      <w:r>
        <w:rPr>
          <w:rtl/>
        </w:rPr>
        <w:t xml:space="preserve">وعدل المؤتمر </w:t>
      </w:r>
      <w:r>
        <w:t>WRC-23</w:t>
      </w:r>
      <w:r>
        <w:rPr>
          <w:rtl/>
        </w:rPr>
        <w:t xml:space="preserve"> أيضاً أحكام التذييلين </w:t>
      </w:r>
      <w:r w:rsidR="00B17A06" w:rsidRPr="00B17A06">
        <w:rPr>
          <w:b/>
          <w:bCs/>
        </w:rPr>
        <w:t>30</w:t>
      </w:r>
      <w:r>
        <w:rPr>
          <w:rtl/>
        </w:rPr>
        <w:t xml:space="preserve"> </w:t>
      </w:r>
      <w:r w:rsidRPr="001A3BBA">
        <w:rPr>
          <w:b/>
          <w:bCs/>
          <w:rtl/>
        </w:rPr>
        <w:t>و</w:t>
      </w:r>
      <w:r w:rsidR="00B17A06" w:rsidRPr="00B17A06">
        <w:rPr>
          <w:b/>
          <w:bCs/>
        </w:rPr>
        <w:t>30A</w:t>
      </w:r>
      <w:r>
        <w:rPr>
          <w:rtl/>
        </w:rPr>
        <w:t xml:space="preserve"> في الإقليمين 1 و3 بحيث يخضع أي انحطاط في الحالة المرجعية لتخصيصات خطة الإقليمين 1 و3 بما يتجاوز التفاوت المسموح به لموافقة صريحة من الإدارات التي يحتمل تأثرها.</w:t>
      </w:r>
    </w:p>
    <w:p w14:paraId="365BACBB" w14:textId="54BCB284" w:rsidR="00336E61" w:rsidRDefault="00D94493" w:rsidP="00D94493">
      <w:pPr>
        <w:pStyle w:val="Heading2"/>
        <w:rPr>
          <w:rtl/>
        </w:rPr>
      </w:pPr>
      <w:r>
        <w:t>2.1</w:t>
      </w:r>
      <w:r w:rsidR="00336E61">
        <w:rPr>
          <w:rtl/>
        </w:rPr>
        <w:tab/>
        <w:t>الحالة المرجعية للتخصيصات الوطنية المخطط لها</w:t>
      </w:r>
    </w:p>
    <w:p w14:paraId="75FE4404" w14:textId="64CF9EA6" w:rsidR="00336E61" w:rsidRDefault="00336E61" w:rsidP="00336E61">
      <w:pPr>
        <w:rPr>
          <w:rtl/>
        </w:rPr>
      </w:pPr>
      <w:r>
        <w:rPr>
          <w:rtl/>
        </w:rPr>
        <w:t>يشير الجدولان 1 و2 أدناه إلى التغييرات في الحالة المرجعية لتخصيصات الخطط في الإقليمين 1 و3 كما حددها المؤتمر</w:t>
      </w:r>
      <w:r w:rsidR="00F54552">
        <w:rPr>
          <w:rFonts w:hint="cs"/>
          <w:rtl/>
        </w:rPr>
        <w:t> </w:t>
      </w:r>
      <w:r>
        <w:t>WRC</w:t>
      </w:r>
      <w:r w:rsidR="00B17A06">
        <w:noBreakHyphen/>
      </w:r>
      <w:r>
        <w:t>2000</w:t>
      </w:r>
      <w:r>
        <w:rPr>
          <w:rtl/>
        </w:rPr>
        <w:t xml:space="preserve">، وقت صدور النشرة </w:t>
      </w:r>
      <w:r>
        <w:t xml:space="preserve">BR IFIC </w:t>
      </w:r>
      <w:r w:rsidR="00EF6FA6">
        <w:t>3015</w:t>
      </w:r>
      <w:r>
        <w:rPr>
          <w:rtl/>
        </w:rPr>
        <w:t xml:space="preserve"> في 20 فبراير 2024. وترد أيضاً في هذين الجدولين تخصيصات خطة الإقليمين 1 و3 الجديدة البالغ عددها 41 تخصيصاً والموصوفة في القسم 1.1 أعلاه (انظر الملاحظتين 1 و2). وتنعكس التغييرات في</w:t>
      </w:r>
      <w:r w:rsidR="00EF6FA6">
        <w:rPr>
          <w:rFonts w:hint="cs"/>
          <w:rtl/>
        </w:rPr>
        <w:t> </w:t>
      </w:r>
      <w:r>
        <w:rPr>
          <w:rtl/>
        </w:rPr>
        <w:t>نطاق القيم الدنيا والقيم القصوى لهامش الحماية المكافئة (</w:t>
      </w:r>
      <w:r>
        <w:t>EPM</w:t>
      </w:r>
      <w:r>
        <w:rPr>
          <w:rtl/>
        </w:rPr>
        <w:t>) لكل إدارة.</w:t>
      </w:r>
    </w:p>
    <w:p w14:paraId="36845599" w14:textId="77777777" w:rsidR="00336E61" w:rsidRDefault="00336E61" w:rsidP="00B15640">
      <w:pPr>
        <w:pStyle w:val="TableNo"/>
        <w:rPr>
          <w:rtl/>
        </w:rPr>
      </w:pPr>
      <w:r>
        <w:rPr>
          <w:rtl/>
        </w:rPr>
        <w:lastRenderedPageBreak/>
        <w:t>الجدول 1</w:t>
      </w:r>
    </w:p>
    <w:p w14:paraId="0DD4AA13" w14:textId="182F0A44" w:rsidR="00336E61" w:rsidRDefault="00336E61" w:rsidP="00B15640">
      <w:pPr>
        <w:pStyle w:val="Tabletitle"/>
        <w:rPr>
          <w:rtl/>
        </w:rPr>
      </w:pPr>
      <w:r>
        <w:rPr>
          <w:rtl/>
        </w:rPr>
        <w:t>التغيير في قيم هامش الحماية المكافئة (</w:t>
      </w:r>
      <w:r>
        <w:t>EPM</w:t>
      </w:r>
      <w:r>
        <w:rPr>
          <w:rtl/>
        </w:rPr>
        <w:t>) للتخصيصات في خطة الخدمة الإذاعية الساتلية (</w:t>
      </w:r>
      <w:r>
        <w:t>BSS</w:t>
      </w:r>
      <w:r>
        <w:rPr>
          <w:rtl/>
        </w:rPr>
        <w:t xml:space="preserve">) </w:t>
      </w:r>
      <w:r w:rsidR="00B25144">
        <w:rPr>
          <w:rtl/>
        </w:rPr>
        <w:br/>
      </w:r>
      <w:r>
        <w:rPr>
          <w:rtl/>
        </w:rPr>
        <w:t>في الإقليمين 1 و3 (الوصلة الهابطة)</w:t>
      </w:r>
    </w:p>
    <w:p w14:paraId="328D4610" w14:textId="000C640C" w:rsidR="00336E61" w:rsidRPr="00802861" w:rsidRDefault="005F5169" w:rsidP="00802861">
      <w:pPr>
        <w:spacing w:after="240"/>
        <w:jc w:val="center"/>
        <w:rPr>
          <w:b/>
          <w:bCs/>
          <w:rtl/>
        </w:rPr>
      </w:pPr>
      <w:hyperlink r:id="rId16" w:history="1">
        <w:r w:rsidR="00336E61" w:rsidRPr="00802861">
          <w:rPr>
            <w:rStyle w:val="Hyperlink"/>
            <w:b/>
            <w:bCs/>
            <w:rtl/>
          </w:rPr>
          <w:t>انظر الجدول1 هنا</w:t>
        </w:r>
      </w:hyperlink>
    </w:p>
    <w:p w14:paraId="70C59F43" w14:textId="66338D43" w:rsidR="00336E61" w:rsidRDefault="00336E61" w:rsidP="00802861">
      <w:pPr>
        <w:pStyle w:val="Note"/>
        <w:rPr>
          <w:rtl/>
        </w:rPr>
      </w:pPr>
      <w:r>
        <w:rPr>
          <w:rtl/>
        </w:rPr>
        <w:t>الملاحظة 1: استعيض عن تخصيصات خطة المؤتمر العالمي للاتصالات الراديوية لعام 2000 بتخصيصات ناشئة عن تطبيق القرار</w:t>
      </w:r>
      <w:r w:rsidR="00F54552">
        <w:rPr>
          <w:rFonts w:hint="cs"/>
          <w:rtl/>
        </w:rPr>
        <w:t> </w:t>
      </w:r>
      <w:r w:rsidR="00802861" w:rsidRPr="00E01308">
        <w:rPr>
          <w:b/>
          <w:bCs/>
        </w:rPr>
        <w:t>559 (WRC</w:t>
      </w:r>
      <w:r w:rsidR="00802861" w:rsidRPr="00E01308">
        <w:rPr>
          <w:b/>
          <w:bCs/>
        </w:rPr>
        <w:noBreakHyphen/>
        <w:t>19)</w:t>
      </w:r>
      <w:r>
        <w:rPr>
          <w:rtl/>
        </w:rPr>
        <w:t xml:space="preserve"> وفقاً لقرارات المؤتمر </w:t>
      </w:r>
      <w:r>
        <w:t>WRC-23</w:t>
      </w:r>
      <w:r>
        <w:rPr>
          <w:rtl/>
        </w:rPr>
        <w:t>.</w:t>
      </w:r>
    </w:p>
    <w:p w14:paraId="687BCA2B" w14:textId="5A33AF58" w:rsidR="00336E61" w:rsidRDefault="00336E61" w:rsidP="00802861">
      <w:pPr>
        <w:pStyle w:val="Note"/>
        <w:rPr>
          <w:rtl/>
        </w:rPr>
      </w:pPr>
      <w:r>
        <w:rPr>
          <w:rtl/>
        </w:rPr>
        <w:t xml:space="preserve">الملاحظة 2: حصلت إدارة جنوب السودان كدولة عضو جديدة في الاتحاد على تخصيصاتها في خطط التذييلين </w:t>
      </w:r>
      <w:r w:rsidR="00E56839" w:rsidRPr="00E56839">
        <w:rPr>
          <w:b/>
          <w:bCs/>
        </w:rPr>
        <w:t>30</w:t>
      </w:r>
      <w:r>
        <w:rPr>
          <w:rtl/>
        </w:rPr>
        <w:t xml:space="preserve"> </w:t>
      </w:r>
      <w:r w:rsidRPr="00F54552">
        <w:rPr>
          <w:b/>
          <w:bCs/>
          <w:rtl/>
        </w:rPr>
        <w:t>و</w:t>
      </w:r>
      <w:r w:rsidR="00E56839" w:rsidRPr="00E56839">
        <w:rPr>
          <w:b/>
          <w:bCs/>
        </w:rPr>
        <w:t>30A</w:t>
      </w:r>
      <w:r>
        <w:rPr>
          <w:rtl/>
        </w:rPr>
        <w:t xml:space="preserve"> في إطار القرار</w:t>
      </w:r>
      <w:r w:rsidR="00F54552">
        <w:rPr>
          <w:rFonts w:hint="cs"/>
          <w:rtl/>
        </w:rPr>
        <w:t> </w:t>
      </w:r>
      <w:r w:rsidR="00E56839" w:rsidRPr="00E01308">
        <w:rPr>
          <w:b/>
          <w:bCs/>
        </w:rPr>
        <w:t>559 (WRC</w:t>
      </w:r>
      <w:r w:rsidR="00E56839" w:rsidRPr="00E01308">
        <w:rPr>
          <w:b/>
          <w:bCs/>
        </w:rPr>
        <w:noBreakHyphen/>
        <w:t>19)</w:t>
      </w:r>
      <w:r>
        <w:rPr>
          <w:rtl/>
        </w:rPr>
        <w:t>.</w:t>
      </w:r>
    </w:p>
    <w:p w14:paraId="7007C523" w14:textId="77777777" w:rsidR="00336E61" w:rsidRDefault="00336E61" w:rsidP="00B15640">
      <w:pPr>
        <w:pStyle w:val="TableNo"/>
        <w:rPr>
          <w:rtl/>
        </w:rPr>
      </w:pPr>
      <w:r>
        <w:rPr>
          <w:rtl/>
        </w:rPr>
        <w:t>الجدول 2</w:t>
      </w:r>
    </w:p>
    <w:p w14:paraId="7522B0AB" w14:textId="0BDAB670" w:rsidR="00336E61" w:rsidRDefault="00336E61" w:rsidP="00B15640">
      <w:pPr>
        <w:pStyle w:val="Tabletitle"/>
        <w:rPr>
          <w:rtl/>
        </w:rPr>
      </w:pPr>
      <w:r>
        <w:rPr>
          <w:rtl/>
        </w:rPr>
        <w:t>التغيير في قيم هامش الحماية المكافئة (</w:t>
      </w:r>
      <w:r>
        <w:t>EPM</w:t>
      </w:r>
      <w:r>
        <w:rPr>
          <w:rtl/>
        </w:rPr>
        <w:t>) للتخصيصات في خطة الخدمة الإذاعية الساتلية (</w:t>
      </w:r>
      <w:r>
        <w:t>BSS</w:t>
      </w:r>
      <w:r>
        <w:rPr>
          <w:rtl/>
        </w:rPr>
        <w:t xml:space="preserve">) </w:t>
      </w:r>
      <w:r w:rsidR="00E56839">
        <w:br/>
      </w:r>
      <w:r>
        <w:rPr>
          <w:rtl/>
        </w:rPr>
        <w:t>في الإقليمين 1 و3</w:t>
      </w:r>
    </w:p>
    <w:p w14:paraId="4EE0921F" w14:textId="7DDB21C6" w:rsidR="00336E61" w:rsidRPr="00E56839" w:rsidRDefault="005F5169" w:rsidP="00E56839">
      <w:pPr>
        <w:spacing w:after="240"/>
        <w:jc w:val="center"/>
        <w:rPr>
          <w:b/>
          <w:bCs/>
          <w:rtl/>
        </w:rPr>
      </w:pPr>
      <w:hyperlink r:id="rId17" w:history="1">
        <w:r w:rsidR="00336E61" w:rsidRPr="00E56839">
          <w:rPr>
            <w:rStyle w:val="Hyperlink"/>
            <w:b/>
            <w:bCs/>
            <w:rtl/>
          </w:rPr>
          <w:t>انظر الجدول 2 هنا</w:t>
        </w:r>
      </w:hyperlink>
    </w:p>
    <w:p w14:paraId="18528ECC" w14:textId="65C0F502" w:rsidR="00336E61" w:rsidRDefault="00336E61" w:rsidP="00B15640">
      <w:pPr>
        <w:pStyle w:val="Note"/>
        <w:rPr>
          <w:rtl/>
        </w:rPr>
      </w:pPr>
      <w:r>
        <w:rPr>
          <w:rtl/>
        </w:rPr>
        <w:t>الملاحظة 1: استعيض عن تخصيصات خطة المؤتمر العالمي للاتصالات الراديوية لعام 2000 بتخصيصات ناشئة عن تطبيق القرار</w:t>
      </w:r>
      <w:r w:rsidR="00F54552">
        <w:rPr>
          <w:rFonts w:hint="cs"/>
          <w:rtl/>
        </w:rPr>
        <w:t> </w:t>
      </w:r>
      <w:r w:rsidR="00AC36AB" w:rsidRPr="00E01308">
        <w:rPr>
          <w:b/>
          <w:bCs/>
        </w:rPr>
        <w:t>559 (WRC</w:t>
      </w:r>
      <w:r w:rsidR="00AC36AB" w:rsidRPr="00E01308">
        <w:rPr>
          <w:b/>
          <w:bCs/>
        </w:rPr>
        <w:noBreakHyphen/>
        <w:t>19)</w:t>
      </w:r>
      <w:r>
        <w:rPr>
          <w:rtl/>
        </w:rPr>
        <w:t xml:space="preserve"> وفقاً لقرارات المؤتمر </w:t>
      </w:r>
      <w:r>
        <w:t>WRC-23</w:t>
      </w:r>
      <w:r>
        <w:rPr>
          <w:rtl/>
        </w:rPr>
        <w:t>.</w:t>
      </w:r>
    </w:p>
    <w:p w14:paraId="2A37DB19" w14:textId="75D57F3F" w:rsidR="00336E61" w:rsidRPr="00B25144" w:rsidRDefault="00336E61" w:rsidP="00B15640">
      <w:pPr>
        <w:pStyle w:val="Note"/>
        <w:rPr>
          <w:spacing w:val="-2"/>
        </w:rPr>
      </w:pPr>
      <w:r w:rsidRPr="00B25144">
        <w:rPr>
          <w:spacing w:val="-2"/>
          <w:rtl/>
        </w:rPr>
        <w:t xml:space="preserve">الملاحظة 2: حصلت إدارة جنوب السودان كدولة عضو جديدة في الاتحاد على مدخل جديد في المؤتمر </w:t>
      </w:r>
      <w:r w:rsidRPr="00B25144">
        <w:rPr>
          <w:spacing w:val="-2"/>
        </w:rPr>
        <w:t>WRC-23</w:t>
      </w:r>
      <w:r w:rsidRPr="00B25144">
        <w:rPr>
          <w:spacing w:val="-2"/>
          <w:rtl/>
        </w:rPr>
        <w:t xml:space="preserve"> في إطار القرار </w:t>
      </w:r>
      <w:r w:rsidR="00AC36AB" w:rsidRPr="00B25144">
        <w:rPr>
          <w:b/>
          <w:bCs/>
          <w:spacing w:val="-2"/>
        </w:rPr>
        <w:t>559 (WRC</w:t>
      </w:r>
      <w:r w:rsidR="00AC36AB" w:rsidRPr="00B25144">
        <w:rPr>
          <w:b/>
          <w:bCs/>
          <w:spacing w:val="-2"/>
        </w:rPr>
        <w:noBreakHyphen/>
        <w:t>19)</w:t>
      </w:r>
      <w:r w:rsidRPr="00B25144">
        <w:rPr>
          <w:spacing w:val="-2"/>
          <w:rtl/>
        </w:rPr>
        <w:t>.</w:t>
      </w:r>
    </w:p>
    <w:p w14:paraId="6146ACE1" w14:textId="58424E68" w:rsidR="008F15DF" w:rsidRPr="00DE4BCA" w:rsidRDefault="00C01925" w:rsidP="00DE4BCA">
      <w:pPr>
        <w:pStyle w:val="Heading2"/>
        <w:rPr>
          <w:rtl/>
        </w:rPr>
      </w:pPr>
      <w:r>
        <w:t>3.1</w:t>
      </w:r>
      <w:r w:rsidR="008F15DF" w:rsidRPr="00DE4BCA">
        <w:rPr>
          <w:rtl/>
        </w:rPr>
        <w:tab/>
        <w:t xml:space="preserve">تنفيذ القرار </w:t>
      </w:r>
      <w:r w:rsidR="00DE4BCA" w:rsidRPr="00DE4BCA">
        <w:t>559 (WRC</w:t>
      </w:r>
      <w:r w:rsidR="00DE4BCA" w:rsidRPr="00DE4BCA">
        <w:noBreakHyphen/>
        <w:t>19)</w:t>
      </w:r>
    </w:p>
    <w:p w14:paraId="6F631AFD" w14:textId="746B3326" w:rsidR="008F15DF" w:rsidRDefault="008F15DF" w:rsidP="008F15DF">
      <w:pPr>
        <w:pStyle w:val="Note"/>
        <w:rPr>
          <w:rtl/>
        </w:rPr>
      </w:pPr>
      <w:r>
        <w:rPr>
          <w:rtl/>
        </w:rPr>
        <w:t xml:space="preserve">كما ذكر في القسم 1.1 أعلاه، نجحت 41 إدارة من أصل 45 إدارة مؤهلة في تطبيق القرار </w:t>
      </w:r>
      <w:r w:rsidR="00DE4BCA" w:rsidRPr="00E01308">
        <w:rPr>
          <w:b/>
          <w:bCs/>
        </w:rPr>
        <w:t>559 (WRC</w:t>
      </w:r>
      <w:r w:rsidR="00DE4BCA" w:rsidRPr="00E01308">
        <w:rPr>
          <w:b/>
          <w:bCs/>
        </w:rPr>
        <w:noBreakHyphen/>
        <w:t>19)</w:t>
      </w:r>
      <w:r>
        <w:rPr>
          <w:rtl/>
        </w:rPr>
        <w:t xml:space="preserve"> وحصلت على تخصيصات جديدة في خطة الإقليمين 1 و3 في المؤتمر </w:t>
      </w:r>
      <w:r>
        <w:t>WRC-23</w:t>
      </w:r>
      <w:r>
        <w:rPr>
          <w:rtl/>
        </w:rPr>
        <w:t xml:space="preserve">. ويبين الجدول 3 أدناه قيم هامش الحماية المكافئة القصوى والدنيا للطلبات الأربع المتبقية المقدمة بموجب القرار </w:t>
      </w:r>
      <w:r w:rsidR="00DE4BCA" w:rsidRPr="00E01308">
        <w:rPr>
          <w:b/>
          <w:bCs/>
        </w:rPr>
        <w:t>559 (WRC</w:t>
      </w:r>
      <w:r w:rsidR="00DE4BCA" w:rsidRPr="00E01308">
        <w:rPr>
          <w:b/>
          <w:bCs/>
        </w:rPr>
        <w:noBreakHyphen/>
        <w:t>19)</w:t>
      </w:r>
      <w:r>
        <w:rPr>
          <w:rtl/>
        </w:rPr>
        <w:t xml:space="preserve">. ويواصل مكتب الاتصالات الراديوية مساعدة هذه الإدارات حتى تتمكن من الحصول على تخصيصات جديدة في خطة الإقليمين 1 و3 في المؤتمر </w:t>
      </w:r>
      <w:r>
        <w:t>WRC-27</w:t>
      </w:r>
      <w:r>
        <w:rPr>
          <w:rtl/>
        </w:rPr>
        <w:t>.</w:t>
      </w:r>
    </w:p>
    <w:p w14:paraId="480F414A" w14:textId="77777777" w:rsidR="008F15DF" w:rsidRDefault="008F15DF" w:rsidP="007B5C71">
      <w:pPr>
        <w:pStyle w:val="TableNo"/>
        <w:rPr>
          <w:rtl/>
        </w:rPr>
      </w:pPr>
      <w:r>
        <w:rPr>
          <w:rtl/>
        </w:rPr>
        <w:t>الجدول 3</w:t>
      </w:r>
    </w:p>
    <w:p w14:paraId="3278CCFD" w14:textId="36A53FAC" w:rsidR="008F15DF" w:rsidRDefault="008F15DF" w:rsidP="007B5C71">
      <w:pPr>
        <w:pStyle w:val="Tabletitle"/>
      </w:pPr>
      <w:r>
        <w:rPr>
          <w:rtl/>
        </w:rPr>
        <w:t xml:space="preserve">مدى قيم هامش الحماية المكافئة للطلبات الأربع المتبقية </w:t>
      </w:r>
      <w:r w:rsidR="007B5C71">
        <w:br/>
      </w:r>
      <w:r>
        <w:rPr>
          <w:rtl/>
        </w:rPr>
        <w:t xml:space="preserve">المقدمة بموجب القرار </w:t>
      </w:r>
      <w:r w:rsidR="00DE4BCA" w:rsidRPr="007B5C71">
        <w:t>559 (WRC</w:t>
      </w:r>
      <w:r w:rsidR="00DE4BCA" w:rsidRPr="007B5C71">
        <w:noBreakHyphen/>
        <w:t>19)</w:t>
      </w:r>
    </w:p>
    <w:tbl>
      <w:tblPr>
        <w:bidiVisual/>
        <w:tblW w:w="7725" w:type="dxa"/>
        <w:jc w:val="center"/>
        <w:tblLayout w:type="fixed"/>
        <w:tblLook w:val="04A0" w:firstRow="1" w:lastRow="0" w:firstColumn="1" w:lastColumn="0" w:noHBand="0" w:noVBand="1"/>
      </w:tblPr>
      <w:tblGrid>
        <w:gridCol w:w="1715"/>
        <w:gridCol w:w="1160"/>
        <w:gridCol w:w="1192"/>
        <w:gridCol w:w="1233"/>
        <w:gridCol w:w="1192"/>
        <w:gridCol w:w="1233"/>
      </w:tblGrid>
      <w:tr w:rsidR="007B5C71" w:rsidRPr="007B5C71" w14:paraId="4F8680AB" w14:textId="77777777" w:rsidTr="00260757">
        <w:trPr>
          <w:trHeight w:val="300"/>
          <w:tblHeader/>
          <w:jc w:val="center"/>
        </w:trPr>
        <w:tc>
          <w:tcPr>
            <w:tcW w:w="1715" w:type="dxa"/>
            <w:vMerge w:val="restart"/>
            <w:tcBorders>
              <w:top w:val="single" w:sz="4" w:space="0" w:color="auto"/>
              <w:left w:val="single" w:sz="4" w:space="0" w:color="auto"/>
              <w:right w:val="single" w:sz="4" w:space="0" w:color="auto"/>
            </w:tcBorders>
            <w:shd w:val="clear" w:color="auto" w:fill="auto"/>
            <w:noWrap/>
            <w:vAlign w:val="center"/>
          </w:tcPr>
          <w:p w14:paraId="5F2BCE56" w14:textId="39E613AD" w:rsidR="008441BD" w:rsidRPr="008441BD" w:rsidRDefault="007B5C71" w:rsidP="00F54552">
            <w:pPr>
              <w:pStyle w:val="TableHead"/>
            </w:pPr>
            <w:r w:rsidRPr="008441BD">
              <w:rPr>
                <w:rtl/>
              </w:rPr>
              <w:t>الإدارة</w:t>
            </w:r>
          </w:p>
        </w:tc>
        <w:tc>
          <w:tcPr>
            <w:tcW w:w="1160" w:type="dxa"/>
            <w:vMerge w:val="restart"/>
            <w:tcBorders>
              <w:top w:val="single" w:sz="4" w:space="0" w:color="auto"/>
              <w:left w:val="single" w:sz="4" w:space="0" w:color="auto"/>
              <w:right w:val="single" w:sz="4" w:space="0" w:color="auto"/>
            </w:tcBorders>
            <w:shd w:val="clear" w:color="auto" w:fill="auto"/>
            <w:noWrap/>
            <w:vAlign w:val="center"/>
          </w:tcPr>
          <w:p w14:paraId="2E97AFC8" w14:textId="588D8E8E" w:rsidR="007B5C71" w:rsidRPr="008441BD" w:rsidRDefault="007B5C71" w:rsidP="00F54552">
            <w:pPr>
              <w:pStyle w:val="TableHead"/>
            </w:pPr>
            <w:r w:rsidRPr="008441BD">
              <w:rPr>
                <w:rtl/>
              </w:rPr>
              <w:t>الموقع المداري</w:t>
            </w:r>
            <w:r w:rsidR="008441BD" w:rsidRPr="008441BD">
              <w:rPr>
                <w:rFonts w:hint="cs"/>
                <w:rtl/>
              </w:rPr>
              <w:t xml:space="preserve"> </w:t>
            </w:r>
            <w:r w:rsidR="008441BD" w:rsidRPr="008441BD">
              <w:t>(</w:t>
            </w:r>
            <w:r w:rsidR="008441BD" w:rsidRPr="008441BD">
              <w:rPr>
                <w:rFonts w:ascii="Arial" w:hAnsi="Arial" w:cs="Arial"/>
              </w:rPr>
              <w:t>⁰</w:t>
            </w:r>
            <w:r w:rsidR="008441BD" w:rsidRPr="008441BD">
              <w:t>E)</w:t>
            </w:r>
          </w:p>
        </w:tc>
        <w:tc>
          <w:tcPr>
            <w:tcW w:w="2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3F4CC6" w14:textId="77777777" w:rsidR="007B5C71" w:rsidRPr="008441BD" w:rsidRDefault="007B5C71" w:rsidP="00F54552">
            <w:pPr>
              <w:pStyle w:val="TableHead"/>
            </w:pPr>
            <w:r w:rsidRPr="008441BD">
              <w:rPr>
                <w:rtl/>
              </w:rPr>
              <w:t>الوصلة الهابطة</w:t>
            </w:r>
          </w:p>
        </w:tc>
        <w:tc>
          <w:tcPr>
            <w:tcW w:w="2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70F57C" w14:textId="77777777" w:rsidR="007B5C71" w:rsidRPr="008441BD" w:rsidRDefault="007B5C71" w:rsidP="00F54552">
            <w:pPr>
              <w:pStyle w:val="TableHead"/>
            </w:pPr>
            <w:r w:rsidRPr="008441BD">
              <w:rPr>
                <w:rtl/>
              </w:rPr>
              <w:t>وصلة التغذية</w:t>
            </w:r>
          </w:p>
        </w:tc>
      </w:tr>
      <w:tr w:rsidR="007B5C71" w:rsidRPr="007B5C71" w14:paraId="33F0607F" w14:textId="77777777" w:rsidTr="00260757">
        <w:trPr>
          <w:trHeight w:val="300"/>
          <w:tblHeader/>
          <w:jc w:val="center"/>
        </w:trPr>
        <w:tc>
          <w:tcPr>
            <w:tcW w:w="1715" w:type="dxa"/>
            <w:vMerge/>
            <w:tcBorders>
              <w:left w:val="single" w:sz="4" w:space="0" w:color="auto"/>
              <w:bottom w:val="single" w:sz="4" w:space="0" w:color="auto"/>
              <w:right w:val="single" w:sz="4" w:space="0" w:color="auto"/>
            </w:tcBorders>
            <w:shd w:val="clear" w:color="auto" w:fill="auto"/>
            <w:noWrap/>
            <w:vAlign w:val="center"/>
            <w:hideMark/>
          </w:tcPr>
          <w:p w14:paraId="76030C3D" w14:textId="77777777" w:rsidR="007B5C71" w:rsidRPr="008441BD" w:rsidRDefault="007B5C71" w:rsidP="00F54552">
            <w:pPr>
              <w:pStyle w:val="TableHead"/>
            </w:pPr>
          </w:p>
        </w:tc>
        <w:tc>
          <w:tcPr>
            <w:tcW w:w="1160" w:type="dxa"/>
            <w:vMerge/>
            <w:tcBorders>
              <w:left w:val="single" w:sz="4" w:space="0" w:color="auto"/>
              <w:bottom w:val="single" w:sz="4" w:space="0" w:color="auto"/>
              <w:right w:val="single" w:sz="4" w:space="0" w:color="auto"/>
            </w:tcBorders>
            <w:shd w:val="clear" w:color="auto" w:fill="auto"/>
            <w:noWrap/>
            <w:vAlign w:val="center"/>
            <w:hideMark/>
          </w:tcPr>
          <w:p w14:paraId="6DF9847B" w14:textId="77777777" w:rsidR="007B5C71" w:rsidRPr="008441BD" w:rsidRDefault="007B5C71" w:rsidP="00F54552">
            <w:pPr>
              <w:pStyle w:val="TableHead"/>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C5A7F" w14:textId="77777777" w:rsidR="007B5C71" w:rsidRPr="008441BD" w:rsidRDefault="007B5C71" w:rsidP="00F54552">
            <w:pPr>
              <w:pStyle w:val="TableHead"/>
            </w:pPr>
            <w:r w:rsidRPr="008441BD">
              <w:rPr>
                <w:rtl/>
              </w:rPr>
              <w:t>الحد الأدنى</w:t>
            </w:r>
          </w:p>
          <w:p w14:paraId="2A087EB3" w14:textId="04935B1D" w:rsidR="007B5C71" w:rsidRPr="008441BD" w:rsidRDefault="007B5C71" w:rsidP="00F54552">
            <w:pPr>
              <w:pStyle w:val="TableHead"/>
            </w:pPr>
            <w:r w:rsidRPr="008441BD">
              <w:rPr>
                <w:rtl/>
              </w:rPr>
              <w:t xml:space="preserve">لهامش الحماية المكافئة </w:t>
            </w:r>
            <w:r w:rsidR="008441BD" w:rsidRPr="008441BD">
              <w:t>(dB)</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15439" w14:textId="77777777" w:rsidR="007B5C71" w:rsidRPr="008441BD" w:rsidRDefault="007B5C71" w:rsidP="00F54552">
            <w:pPr>
              <w:pStyle w:val="TableHead"/>
            </w:pPr>
            <w:r w:rsidRPr="008441BD">
              <w:rPr>
                <w:rtl/>
              </w:rPr>
              <w:t>الحد الأقصى</w:t>
            </w:r>
          </w:p>
          <w:p w14:paraId="1F38D538" w14:textId="67A05EEA" w:rsidR="007B5C71" w:rsidRPr="008441BD" w:rsidRDefault="007B5C71" w:rsidP="00F54552">
            <w:pPr>
              <w:pStyle w:val="TableHead"/>
            </w:pPr>
            <w:r w:rsidRPr="008441BD">
              <w:rPr>
                <w:rtl/>
              </w:rPr>
              <w:t xml:space="preserve">لهامش الحماية المكافئة </w:t>
            </w:r>
            <w:r w:rsidR="008441BD" w:rsidRPr="008441BD">
              <w:t>(dB)</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875E5" w14:textId="77777777" w:rsidR="007B5C71" w:rsidRPr="008441BD" w:rsidRDefault="007B5C71" w:rsidP="00F54552">
            <w:pPr>
              <w:pStyle w:val="TableHead"/>
            </w:pPr>
            <w:r w:rsidRPr="008441BD">
              <w:rPr>
                <w:rtl/>
              </w:rPr>
              <w:t>الحد الأدنى</w:t>
            </w:r>
          </w:p>
          <w:p w14:paraId="76AFC700" w14:textId="4F5A58C3" w:rsidR="007B5C71" w:rsidRPr="008441BD" w:rsidRDefault="007B5C71" w:rsidP="00F54552">
            <w:pPr>
              <w:pStyle w:val="TableHead"/>
            </w:pPr>
            <w:r w:rsidRPr="008441BD">
              <w:rPr>
                <w:rtl/>
              </w:rPr>
              <w:t xml:space="preserve">لهامش الحماية المكافئة </w:t>
            </w:r>
            <w:r w:rsidR="008441BD" w:rsidRPr="008441BD">
              <w:t>(dB)</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25205" w14:textId="77777777" w:rsidR="007B5C71" w:rsidRPr="008441BD" w:rsidRDefault="007B5C71" w:rsidP="00F54552">
            <w:pPr>
              <w:pStyle w:val="TableHead"/>
            </w:pPr>
            <w:r w:rsidRPr="008441BD">
              <w:rPr>
                <w:rtl/>
              </w:rPr>
              <w:t>الحد الأقصى</w:t>
            </w:r>
          </w:p>
          <w:p w14:paraId="4CC16FF1" w14:textId="72BA5D9C" w:rsidR="007B5C71" w:rsidRPr="008441BD" w:rsidRDefault="007B5C71" w:rsidP="00F54552">
            <w:pPr>
              <w:pStyle w:val="TableHead"/>
            </w:pPr>
            <w:r w:rsidRPr="008441BD">
              <w:rPr>
                <w:rtl/>
              </w:rPr>
              <w:t xml:space="preserve">لهامش الحماية المكافئة </w:t>
            </w:r>
            <w:r w:rsidR="008441BD" w:rsidRPr="008441BD">
              <w:t>(dB)</w:t>
            </w:r>
          </w:p>
        </w:tc>
      </w:tr>
      <w:tr w:rsidR="00260757" w:rsidRPr="007B5C71" w14:paraId="78AB67EC" w14:textId="77777777" w:rsidTr="002C32A8">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2A9DA" w14:textId="77777777" w:rsidR="00260757" w:rsidRPr="007B5C71" w:rsidRDefault="00260757" w:rsidP="00F54552">
            <w:pPr>
              <w:pStyle w:val="Tabletexte"/>
              <w:jc w:val="center"/>
              <w:rPr>
                <w:lang w:val="ar-SA" w:eastAsia="zh-TW" w:bidi="en-GB"/>
              </w:rPr>
            </w:pPr>
            <w:r w:rsidRPr="007B5C71">
              <w:t>AFG</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ACF23" w14:textId="390419E6" w:rsidR="00260757" w:rsidRPr="007B5C71" w:rsidRDefault="00F54552" w:rsidP="00F54552">
            <w:pPr>
              <w:pStyle w:val="Tabletexte"/>
              <w:jc w:val="left"/>
              <w:rPr>
                <w:lang w:val="ar-SA" w:eastAsia="zh-TW" w:bidi="ar-EG"/>
              </w:rPr>
            </w:pPr>
            <w:r>
              <w:t>  </w:t>
            </w:r>
            <w:r w:rsidR="00260757" w:rsidRPr="007B5C71">
              <w:rPr>
                <w:rtl/>
              </w:rPr>
              <w:t>10</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3B5E" w14:textId="124A40E4" w:rsidR="00260757" w:rsidRPr="007B5C71" w:rsidRDefault="00260757" w:rsidP="00F54552">
            <w:pPr>
              <w:pStyle w:val="Tabletexte"/>
              <w:jc w:val="left"/>
              <w:rPr>
                <w:lang w:val="ar-SA" w:eastAsia="zh-TW" w:bidi="en-GB"/>
              </w:rPr>
            </w:pPr>
            <w:r w:rsidRPr="00F76C2B">
              <w:t>3</w:t>
            </w:r>
            <w:r>
              <w:t>,</w:t>
            </w:r>
            <w:r w:rsidRPr="00F76C2B">
              <w:t>706</w:t>
            </w:r>
            <w:r w:rsidR="00F54552">
              <w:t>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77431" w14:textId="5C6BD5D8" w:rsidR="00260757" w:rsidRPr="007B5C71" w:rsidRDefault="00260757" w:rsidP="00F54552">
            <w:pPr>
              <w:pStyle w:val="Tabletexte"/>
              <w:jc w:val="left"/>
              <w:rPr>
                <w:lang w:val="ar-SA" w:eastAsia="zh-TW" w:bidi="en-GB"/>
              </w:rPr>
            </w:pPr>
            <w:r w:rsidRPr="00F76C2B">
              <w:t>7</w:t>
            </w:r>
            <w:r>
              <w:t>,</w:t>
            </w:r>
            <w:r w:rsidRPr="00F76C2B">
              <w:t>389</w:t>
            </w:r>
            <w:r w:rsidR="00F54552">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15CFB" w14:textId="48BBCDAD" w:rsidR="00260757" w:rsidRPr="007B5C71" w:rsidRDefault="00260757" w:rsidP="00F54552">
            <w:pPr>
              <w:pStyle w:val="Tabletexte"/>
              <w:jc w:val="left"/>
              <w:rPr>
                <w:lang w:val="ar-SA" w:eastAsia="zh-TW" w:bidi="en-GB"/>
              </w:rPr>
            </w:pPr>
            <w:r w:rsidRPr="00F76C2B">
              <w:t>0</w:t>
            </w:r>
            <w:r>
              <w:t>,</w:t>
            </w:r>
            <w:r w:rsidRPr="00F76C2B">
              <w:t>094</w:t>
            </w:r>
            <w:r w:rsidR="00F54552">
              <w:t>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8F994" w14:textId="002CE55D" w:rsidR="00260757" w:rsidRPr="007B5C71" w:rsidRDefault="00260757" w:rsidP="00F54552">
            <w:pPr>
              <w:pStyle w:val="Tabletexte"/>
              <w:jc w:val="left"/>
              <w:rPr>
                <w:lang w:val="ar-SA" w:eastAsia="zh-TW" w:bidi="en-GB"/>
              </w:rPr>
            </w:pPr>
            <w:r w:rsidRPr="00F76C2B">
              <w:t>5</w:t>
            </w:r>
            <w:r>
              <w:t>,</w:t>
            </w:r>
            <w:r w:rsidRPr="00F76C2B">
              <w:t>01</w:t>
            </w:r>
            <w:r w:rsidR="00F54552">
              <w:t>  </w:t>
            </w:r>
          </w:p>
        </w:tc>
      </w:tr>
      <w:tr w:rsidR="00260757" w:rsidRPr="007B5C71" w14:paraId="6FDB5228" w14:textId="77777777" w:rsidTr="002C32A8">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BEBBAC" w14:textId="7DA5054B" w:rsidR="00260757" w:rsidRPr="007B5C71" w:rsidRDefault="00260757" w:rsidP="00F54552">
            <w:pPr>
              <w:pStyle w:val="Tabletexte"/>
              <w:jc w:val="center"/>
              <w:rPr>
                <w:lang w:val="ar-SA" w:eastAsia="zh-TW" w:bidi="en-GB"/>
              </w:rPr>
            </w:pPr>
            <w:r w:rsidRPr="00260757">
              <w:rPr>
                <w:lang w:val="es-ES_tradnl"/>
              </w:rPr>
              <w:t>GNE</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32A7E6" w14:textId="4CD83D49" w:rsidR="00260757" w:rsidRPr="007B5C71" w:rsidRDefault="00F54552" w:rsidP="00F54552">
            <w:pPr>
              <w:pStyle w:val="Tabletexte"/>
              <w:jc w:val="left"/>
              <w:rPr>
                <w:lang w:val="ar-SA" w:eastAsia="zh-TW" w:bidi="en-GB"/>
              </w:rPr>
            </w:pPr>
            <w:r>
              <w:t>–</w:t>
            </w:r>
            <w:r w:rsidR="00260757" w:rsidRPr="007B5C71">
              <w:rPr>
                <w:rtl/>
              </w:rPr>
              <w:t>42</w:t>
            </w:r>
          </w:p>
        </w:tc>
        <w:tc>
          <w:tcPr>
            <w:tcW w:w="11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600A69" w14:textId="458D5F96" w:rsidR="00260757" w:rsidRPr="007B5C71" w:rsidRDefault="00260757" w:rsidP="00F54552">
            <w:pPr>
              <w:pStyle w:val="Tabletexte"/>
              <w:jc w:val="left"/>
              <w:rPr>
                <w:lang w:val="ar-SA" w:eastAsia="zh-TW" w:bidi="en-GB"/>
              </w:rPr>
            </w:pPr>
            <w:r w:rsidRPr="00F76C2B">
              <w:t>1</w:t>
            </w:r>
            <w:r>
              <w:t>,</w:t>
            </w:r>
            <w:r w:rsidRPr="00F76C2B">
              <w:t>188</w:t>
            </w:r>
            <w:r w:rsidR="00F54552">
              <w:t>  </w:t>
            </w:r>
          </w:p>
        </w:tc>
        <w:tc>
          <w:tcPr>
            <w:tcW w:w="123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7C082E" w14:textId="4B873D6D" w:rsidR="00260757" w:rsidRPr="007B5C71" w:rsidRDefault="00260757" w:rsidP="00F54552">
            <w:pPr>
              <w:pStyle w:val="Tabletexte"/>
              <w:jc w:val="left"/>
              <w:rPr>
                <w:lang w:val="ar-SA" w:eastAsia="zh-TW" w:bidi="en-GB"/>
              </w:rPr>
            </w:pPr>
            <w:r w:rsidRPr="00F76C2B">
              <w:t>6</w:t>
            </w:r>
            <w:r>
              <w:t>,</w:t>
            </w:r>
            <w:r w:rsidRPr="00F76C2B">
              <w:t>783</w:t>
            </w:r>
            <w:r w:rsidR="00F54552">
              <w:t>  </w:t>
            </w:r>
          </w:p>
        </w:tc>
        <w:tc>
          <w:tcPr>
            <w:tcW w:w="11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52A2BB" w14:textId="6C041069" w:rsidR="00260757" w:rsidRPr="007B5C71" w:rsidRDefault="00260757" w:rsidP="00F54552">
            <w:pPr>
              <w:pStyle w:val="Tabletexte"/>
              <w:jc w:val="left"/>
              <w:rPr>
                <w:lang w:val="ar-SA" w:eastAsia="zh-TW" w:bidi="en-GB"/>
              </w:rPr>
            </w:pPr>
            <w:r w:rsidRPr="00F76C2B">
              <w:t>13</w:t>
            </w:r>
            <w:r>
              <w:t>,</w:t>
            </w:r>
            <w:r w:rsidRPr="00F76C2B">
              <w:t>794</w:t>
            </w:r>
            <w:r w:rsidR="00F54552">
              <w:t>  </w:t>
            </w:r>
          </w:p>
        </w:tc>
        <w:tc>
          <w:tcPr>
            <w:tcW w:w="123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39A77D" w14:textId="0858A1C5" w:rsidR="00260757" w:rsidRPr="007B5C71" w:rsidRDefault="00260757" w:rsidP="00F54552">
            <w:pPr>
              <w:pStyle w:val="Tabletexte"/>
              <w:jc w:val="left"/>
              <w:rPr>
                <w:lang w:val="ar-SA" w:eastAsia="zh-TW" w:bidi="en-GB"/>
              </w:rPr>
            </w:pPr>
            <w:r w:rsidRPr="00F76C2B">
              <w:t>18</w:t>
            </w:r>
            <w:r>
              <w:t>,</w:t>
            </w:r>
            <w:r w:rsidRPr="00F76C2B">
              <w:t>476</w:t>
            </w:r>
            <w:r w:rsidR="00F54552">
              <w:t>  </w:t>
            </w:r>
          </w:p>
        </w:tc>
      </w:tr>
      <w:tr w:rsidR="00260757" w:rsidRPr="007B5C71" w14:paraId="6BCEA5FF" w14:textId="77777777" w:rsidTr="002C32A8">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BAA03" w14:textId="77777777" w:rsidR="00260757" w:rsidRPr="007B5C71" w:rsidRDefault="00260757" w:rsidP="00F54552">
            <w:pPr>
              <w:pStyle w:val="Tabletexte"/>
              <w:jc w:val="center"/>
              <w:rPr>
                <w:lang w:val="ar-SA" w:eastAsia="zh-TW" w:bidi="en-GB"/>
              </w:rPr>
            </w:pPr>
            <w:r w:rsidRPr="007B5C71">
              <w:t>MLT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61B12" w14:textId="072554E5" w:rsidR="00260757" w:rsidRPr="007B5C71" w:rsidRDefault="00F54552" w:rsidP="00F54552">
            <w:pPr>
              <w:pStyle w:val="Tabletexte"/>
              <w:jc w:val="left"/>
              <w:rPr>
                <w:lang w:val="ar-SA" w:eastAsia="zh-TW" w:bidi="en-GB"/>
              </w:rPr>
            </w:pPr>
            <w:r>
              <w:t>–</w:t>
            </w:r>
            <w:r w:rsidR="00260757" w:rsidRPr="007B5C71">
              <w:rPr>
                <w:rtl/>
              </w:rPr>
              <w:t>37,5</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93D2E" w14:textId="71182AB0" w:rsidR="00260757" w:rsidRPr="007B5C71" w:rsidRDefault="00260757" w:rsidP="00F54552">
            <w:pPr>
              <w:pStyle w:val="Tabletexte"/>
              <w:jc w:val="left"/>
              <w:rPr>
                <w:lang w:val="ar-SA" w:eastAsia="zh-TW" w:bidi="en-GB"/>
              </w:rPr>
            </w:pPr>
            <w:r w:rsidRPr="00F76C2B">
              <w:t>2</w:t>
            </w:r>
            <w:r>
              <w:t>,</w:t>
            </w:r>
            <w:r w:rsidRPr="00F76C2B">
              <w:t>798</w:t>
            </w:r>
            <w:r w:rsidR="00F54552">
              <w:t>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CFE07" w14:textId="74875439" w:rsidR="00260757" w:rsidRPr="007B5C71" w:rsidRDefault="00260757" w:rsidP="00F54552">
            <w:pPr>
              <w:pStyle w:val="Tabletexte"/>
              <w:jc w:val="left"/>
              <w:rPr>
                <w:lang w:val="ar-SA" w:eastAsia="zh-TW" w:bidi="en-GB"/>
              </w:rPr>
            </w:pPr>
            <w:r w:rsidRPr="00F76C2B">
              <w:t>4</w:t>
            </w:r>
            <w:r>
              <w:t>,</w:t>
            </w:r>
            <w:r w:rsidRPr="00F76C2B">
              <w:t>39</w:t>
            </w:r>
            <w:r w:rsidR="00F54552">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A3718" w14:textId="77EE9E97" w:rsidR="00260757" w:rsidRPr="007B5C71" w:rsidRDefault="00260757" w:rsidP="00F54552">
            <w:pPr>
              <w:pStyle w:val="Tabletexte"/>
              <w:jc w:val="left"/>
              <w:rPr>
                <w:lang w:val="ar-SA" w:eastAsia="zh-TW" w:bidi="en-GB"/>
              </w:rPr>
            </w:pPr>
            <w:r w:rsidRPr="00F76C2B">
              <w:t>5</w:t>
            </w:r>
            <w:r>
              <w:t>,</w:t>
            </w:r>
            <w:r w:rsidRPr="00F76C2B">
              <w:t>221</w:t>
            </w:r>
            <w:r w:rsidR="00F54552">
              <w:t>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08AEF" w14:textId="5B9BDB28" w:rsidR="00260757" w:rsidRPr="007B5C71" w:rsidRDefault="00260757" w:rsidP="00F54552">
            <w:pPr>
              <w:pStyle w:val="Tabletexte"/>
              <w:jc w:val="left"/>
              <w:rPr>
                <w:lang w:val="ar-SA" w:eastAsia="zh-TW" w:bidi="en-GB"/>
              </w:rPr>
            </w:pPr>
            <w:r w:rsidRPr="00F76C2B">
              <w:t>5</w:t>
            </w:r>
            <w:r>
              <w:t>,</w:t>
            </w:r>
            <w:r w:rsidRPr="00F76C2B">
              <w:t>583</w:t>
            </w:r>
            <w:r w:rsidR="00F54552">
              <w:t>  </w:t>
            </w:r>
          </w:p>
        </w:tc>
      </w:tr>
      <w:tr w:rsidR="00260757" w:rsidRPr="007B5C71" w14:paraId="5DE43E36" w14:textId="77777777" w:rsidTr="002C32A8">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C32A29" w14:textId="77777777" w:rsidR="00260757" w:rsidRPr="007B5C71" w:rsidRDefault="00260757" w:rsidP="00F54552">
            <w:pPr>
              <w:pStyle w:val="Tabletexte"/>
              <w:jc w:val="center"/>
              <w:rPr>
                <w:lang w:val="ar-SA" w:eastAsia="zh-TW" w:bidi="en-GB"/>
              </w:rPr>
            </w:pPr>
            <w:r w:rsidRPr="007B5C71">
              <w:t>SEY</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3550EA" w14:textId="1A4F0757" w:rsidR="00260757" w:rsidRPr="007B5C71" w:rsidRDefault="00F54552" w:rsidP="00F54552">
            <w:pPr>
              <w:pStyle w:val="Tabletexte"/>
              <w:jc w:val="left"/>
              <w:rPr>
                <w:lang w:val="ar-SA" w:eastAsia="zh-TW" w:bidi="ar-EG"/>
              </w:rPr>
            </w:pPr>
            <w:r>
              <w:t>  </w:t>
            </w:r>
            <w:r w:rsidR="00260757" w:rsidRPr="007B5C71">
              <w:rPr>
                <w:rtl/>
              </w:rPr>
              <w:t>45,2</w:t>
            </w:r>
          </w:p>
        </w:tc>
        <w:tc>
          <w:tcPr>
            <w:tcW w:w="11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6E221D" w14:textId="73667DB4" w:rsidR="00260757" w:rsidRPr="007B5C71" w:rsidRDefault="00260757" w:rsidP="00F54552">
            <w:pPr>
              <w:pStyle w:val="Tabletexte"/>
              <w:jc w:val="left"/>
              <w:rPr>
                <w:lang w:val="ar-SA" w:eastAsia="zh-TW" w:bidi="en-GB"/>
              </w:rPr>
            </w:pPr>
            <w:r w:rsidRPr="00F76C2B">
              <w:t>6</w:t>
            </w:r>
            <w:r>
              <w:t>,</w:t>
            </w:r>
            <w:r w:rsidRPr="00F76C2B">
              <w:t>055</w:t>
            </w:r>
            <w:r w:rsidR="00F54552">
              <w:t>–</w:t>
            </w:r>
          </w:p>
        </w:tc>
        <w:tc>
          <w:tcPr>
            <w:tcW w:w="123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1F64BD" w14:textId="3787752F" w:rsidR="00260757" w:rsidRPr="007B5C71" w:rsidRDefault="00260757" w:rsidP="00F54552">
            <w:pPr>
              <w:pStyle w:val="Tabletexte"/>
              <w:jc w:val="left"/>
              <w:rPr>
                <w:lang w:val="ar-SA" w:eastAsia="zh-TW" w:bidi="en-GB"/>
              </w:rPr>
            </w:pPr>
            <w:r w:rsidRPr="00F76C2B">
              <w:t>0</w:t>
            </w:r>
            <w:r>
              <w:t>,</w:t>
            </w:r>
            <w:r w:rsidRPr="00F76C2B">
              <w:t>639</w:t>
            </w:r>
            <w:r w:rsidR="00F54552">
              <w:t>  </w:t>
            </w:r>
          </w:p>
        </w:tc>
        <w:tc>
          <w:tcPr>
            <w:tcW w:w="11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6874F6" w14:textId="765FADC8" w:rsidR="00260757" w:rsidRPr="007B5C71" w:rsidRDefault="00260757" w:rsidP="00F54552">
            <w:pPr>
              <w:pStyle w:val="Tabletexte"/>
              <w:jc w:val="left"/>
              <w:rPr>
                <w:lang w:val="ar-SA" w:eastAsia="zh-TW" w:bidi="en-GB"/>
              </w:rPr>
            </w:pPr>
            <w:r w:rsidRPr="00F76C2B">
              <w:t>20</w:t>
            </w:r>
            <w:r>
              <w:t>,</w:t>
            </w:r>
            <w:r w:rsidRPr="00F76C2B">
              <w:t>717</w:t>
            </w:r>
            <w:r w:rsidR="00F54552">
              <w:t>  </w:t>
            </w:r>
          </w:p>
        </w:tc>
        <w:tc>
          <w:tcPr>
            <w:tcW w:w="123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5BD418" w14:textId="1FE09B62" w:rsidR="00260757" w:rsidRPr="007B5C71" w:rsidRDefault="00260757" w:rsidP="00F54552">
            <w:pPr>
              <w:pStyle w:val="Tabletexte"/>
              <w:jc w:val="left"/>
              <w:rPr>
                <w:lang w:val="ar-SA" w:eastAsia="zh-TW" w:bidi="en-GB"/>
              </w:rPr>
            </w:pPr>
            <w:r w:rsidRPr="00F76C2B">
              <w:t>22</w:t>
            </w:r>
            <w:r>
              <w:t>,</w:t>
            </w:r>
            <w:r w:rsidRPr="00F76C2B">
              <w:t>543</w:t>
            </w:r>
            <w:r w:rsidR="00F54552">
              <w:t>  </w:t>
            </w:r>
          </w:p>
        </w:tc>
      </w:tr>
    </w:tbl>
    <w:p w14:paraId="02ECA148" w14:textId="3C4500E9" w:rsidR="00246E1E" w:rsidRDefault="00246E1E" w:rsidP="000818B3">
      <w:pPr>
        <w:pStyle w:val="Heading2"/>
        <w:rPr>
          <w:rtl/>
        </w:rPr>
      </w:pPr>
      <w:r>
        <w:t>4.1</w:t>
      </w:r>
      <w:r>
        <w:rPr>
          <w:rtl/>
        </w:rPr>
        <w:tab/>
        <w:t>ملخص حالة قوائم الاستعمالات الإضافية في الإقليمين 1 و3‏</w:t>
      </w:r>
    </w:p>
    <w:p w14:paraId="4AF403D9" w14:textId="36575178" w:rsidR="00246E1E" w:rsidRDefault="00246E1E" w:rsidP="00246E1E">
      <w:pPr>
        <w:rPr>
          <w:rtl/>
        </w:rPr>
      </w:pPr>
      <w:r>
        <w:rPr>
          <w:rtl/>
        </w:rPr>
        <w:t xml:space="preserve">الاستعمالات الإضافية في الإقليمين 1 و3 في التذييلين </w:t>
      </w:r>
      <w:r w:rsidR="000818B3" w:rsidRPr="000818B3">
        <w:rPr>
          <w:b/>
          <w:bCs/>
        </w:rPr>
        <w:t>30</w:t>
      </w:r>
      <w:r>
        <w:rPr>
          <w:rtl/>
        </w:rPr>
        <w:t xml:space="preserve"> </w:t>
      </w:r>
      <w:r w:rsidRPr="00F54552">
        <w:rPr>
          <w:b/>
          <w:bCs/>
          <w:rtl/>
        </w:rPr>
        <w:t>و</w:t>
      </w:r>
      <w:r w:rsidR="000818B3" w:rsidRPr="000818B3">
        <w:rPr>
          <w:b/>
          <w:bCs/>
        </w:rPr>
        <w:t>30A</w:t>
      </w:r>
      <w:r>
        <w:rPr>
          <w:rtl/>
        </w:rPr>
        <w:t xml:space="preserve"> هي:</w:t>
      </w:r>
    </w:p>
    <w:p w14:paraId="0E447A9F" w14:textId="799955D4" w:rsidR="00246E1E" w:rsidRDefault="000818B3" w:rsidP="000818B3">
      <w:pPr>
        <w:pStyle w:val="enumlev1"/>
        <w:rPr>
          <w:rtl/>
        </w:rPr>
      </w:pPr>
      <w:r w:rsidRPr="000818B3">
        <w:sym w:font="Symbol" w:char="F0B7"/>
      </w:r>
      <w:r w:rsidR="00246E1E">
        <w:rPr>
          <w:rtl/>
        </w:rPr>
        <w:tab/>
        <w:t>استعمال تخصيصات لها خصائص مختلفة عن الخصائص الواردة في الخطط والتي يمكن أن تتسبب في</w:t>
      </w:r>
      <w:r>
        <w:rPr>
          <w:rFonts w:hint="cs"/>
          <w:rtl/>
        </w:rPr>
        <w:t> </w:t>
      </w:r>
      <w:r w:rsidR="00246E1E">
        <w:rPr>
          <w:rtl/>
        </w:rPr>
        <w:t>‏تداخلات أكثر مما ورد في البنود المقابلة المدرجة في الخطط؛</w:t>
      </w:r>
    </w:p>
    <w:p w14:paraId="7420E79F" w14:textId="3480FFFB" w:rsidR="00246E1E" w:rsidRDefault="000818B3" w:rsidP="000818B3">
      <w:pPr>
        <w:pStyle w:val="enumlev1"/>
        <w:rPr>
          <w:rtl/>
        </w:rPr>
      </w:pPr>
      <w:r w:rsidRPr="000818B3">
        <w:lastRenderedPageBreak/>
        <w:sym w:font="Symbol" w:char="F0B7"/>
      </w:r>
      <w:r w:rsidR="00246E1E">
        <w:rPr>
          <w:rtl/>
        </w:rPr>
        <w:tab/>
        <w:t>استعمال تخصيصات بالإضافة إلى التخصيصات الواردة في الخطط.‏</w:t>
      </w:r>
    </w:p>
    <w:p w14:paraId="3F41290B" w14:textId="6A646603" w:rsidR="007B5C71" w:rsidRPr="000818B3" w:rsidRDefault="00246E1E" w:rsidP="00246E1E">
      <w:pPr>
        <w:rPr>
          <w:spacing w:val="-2"/>
        </w:rPr>
      </w:pPr>
      <w:r w:rsidRPr="000818B3">
        <w:rPr>
          <w:spacing w:val="-2"/>
          <w:rtl/>
        </w:rPr>
        <w:t xml:space="preserve">وقد طبّقت إدارات شتى إجراءات المادة 4 في التذييلين </w:t>
      </w:r>
      <w:r w:rsidRPr="000818B3">
        <w:rPr>
          <w:b/>
          <w:bCs/>
          <w:spacing w:val="-2"/>
          <w:rtl/>
        </w:rPr>
        <w:t>30</w:t>
      </w:r>
      <w:r w:rsidRPr="000818B3">
        <w:rPr>
          <w:spacing w:val="-2"/>
          <w:rtl/>
        </w:rPr>
        <w:t xml:space="preserve"> </w:t>
      </w:r>
      <w:r w:rsidRPr="00F54552">
        <w:rPr>
          <w:b/>
          <w:bCs/>
          <w:spacing w:val="-2"/>
          <w:rtl/>
        </w:rPr>
        <w:t>و</w:t>
      </w:r>
      <w:r w:rsidRPr="00F54552">
        <w:rPr>
          <w:b/>
          <w:bCs/>
          <w:spacing w:val="-2"/>
          <w:cs/>
        </w:rPr>
        <w:t>‎</w:t>
      </w:r>
      <w:r w:rsidRPr="00F54552">
        <w:rPr>
          <w:b/>
          <w:bCs/>
          <w:spacing w:val="-2"/>
        </w:rPr>
        <w:t>30A</w:t>
      </w:r>
      <w:r w:rsidRPr="000818B3">
        <w:rPr>
          <w:spacing w:val="-2"/>
          <w:cs/>
        </w:rPr>
        <w:t>‎</w:t>
      </w:r>
      <w:r w:rsidRPr="000818B3">
        <w:rPr>
          <w:spacing w:val="-2"/>
          <w:rtl/>
        </w:rPr>
        <w:t>‏ لاستعمالات إضافية في الإقليمين 1 و3. ويلخص ‏الجدولان</w:t>
      </w:r>
      <w:r w:rsidR="00105097">
        <w:rPr>
          <w:rFonts w:hint="cs"/>
          <w:spacing w:val="-2"/>
          <w:rtl/>
        </w:rPr>
        <w:t> </w:t>
      </w:r>
      <w:r w:rsidRPr="000818B3">
        <w:rPr>
          <w:spacing w:val="-2"/>
          <w:rtl/>
        </w:rPr>
        <w:t>4</w:t>
      </w:r>
      <w:r w:rsidR="00105097">
        <w:rPr>
          <w:rFonts w:hint="cs"/>
          <w:spacing w:val="-2"/>
          <w:rtl/>
        </w:rPr>
        <w:t> </w:t>
      </w:r>
      <w:r w:rsidRPr="000818B3">
        <w:rPr>
          <w:spacing w:val="-2"/>
          <w:rtl/>
        </w:rPr>
        <w:t xml:space="preserve">و5 أدناه عدد الشبكات للاستعمالات الإضافية التي أُدرجت في قوائم التذييلين </w:t>
      </w:r>
      <w:r w:rsidRPr="000818B3">
        <w:rPr>
          <w:b/>
          <w:bCs/>
          <w:spacing w:val="-2"/>
          <w:rtl/>
        </w:rPr>
        <w:t>30</w:t>
      </w:r>
      <w:r w:rsidRPr="000818B3">
        <w:rPr>
          <w:spacing w:val="-2"/>
          <w:rtl/>
        </w:rPr>
        <w:t xml:space="preserve"> </w:t>
      </w:r>
      <w:r w:rsidRPr="00F54552">
        <w:rPr>
          <w:b/>
          <w:bCs/>
          <w:spacing w:val="-2"/>
          <w:rtl/>
        </w:rPr>
        <w:t>و</w:t>
      </w:r>
      <w:r w:rsidRPr="000818B3">
        <w:rPr>
          <w:b/>
          <w:bCs/>
          <w:spacing w:val="-2"/>
          <w:cs/>
        </w:rPr>
        <w:t>‎</w:t>
      </w:r>
      <w:r w:rsidRPr="000818B3">
        <w:rPr>
          <w:b/>
          <w:bCs/>
          <w:spacing w:val="-2"/>
        </w:rPr>
        <w:t>30A</w:t>
      </w:r>
      <w:r w:rsidRPr="000818B3">
        <w:rPr>
          <w:spacing w:val="-2"/>
          <w:cs/>
        </w:rPr>
        <w:t>‎</w:t>
      </w:r>
      <w:r w:rsidRPr="000818B3">
        <w:rPr>
          <w:spacing w:val="-2"/>
          <w:rtl/>
        </w:rPr>
        <w:t>‏ حتى 20 فبراير 2024 ‏‏(‏</w:t>
      </w:r>
      <w:r w:rsidRPr="000818B3">
        <w:rPr>
          <w:spacing w:val="-2"/>
        </w:rPr>
        <w:t>BR</w:t>
      </w:r>
      <w:r w:rsidR="000818B3" w:rsidRPr="000818B3">
        <w:rPr>
          <w:spacing w:val="-2"/>
        </w:rPr>
        <w:t> </w:t>
      </w:r>
      <w:r w:rsidRPr="000818B3">
        <w:rPr>
          <w:spacing w:val="-2"/>
        </w:rPr>
        <w:t>IFIC</w:t>
      </w:r>
      <w:r w:rsidR="000818B3" w:rsidRPr="000818B3">
        <w:rPr>
          <w:spacing w:val="-2"/>
        </w:rPr>
        <w:t> </w:t>
      </w:r>
      <w:r w:rsidRPr="000818B3">
        <w:rPr>
          <w:spacing w:val="-2"/>
        </w:rPr>
        <w:t>3015</w:t>
      </w:r>
      <w:r w:rsidRPr="000818B3">
        <w:rPr>
          <w:spacing w:val="-2"/>
          <w:cs/>
        </w:rPr>
        <w:t>‎</w:t>
      </w:r>
      <w:r w:rsidRPr="000818B3">
        <w:rPr>
          <w:spacing w:val="-2"/>
          <w:rtl/>
        </w:rPr>
        <w:t>‏).‏</w:t>
      </w:r>
    </w:p>
    <w:p w14:paraId="7DED7F2D" w14:textId="77777777" w:rsidR="00246E1E" w:rsidRDefault="00246E1E" w:rsidP="000818B3">
      <w:pPr>
        <w:pStyle w:val="TableNo"/>
        <w:rPr>
          <w:rtl/>
        </w:rPr>
      </w:pPr>
      <w:r>
        <w:rPr>
          <w:rtl/>
        </w:rPr>
        <w:t>الجدول 4</w:t>
      </w:r>
    </w:p>
    <w:p w14:paraId="7168E68B" w14:textId="1B34DA70" w:rsidR="007B5C71" w:rsidRDefault="00246E1E" w:rsidP="000818B3">
      <w:pPr>
        <w:pStyle w:val="Tabletitle"/>
      </w:pPr>
      <w:r>
        <w:rPr>
          <w:rtl/>
        </w:rPr>
        <w:t>عدد الشبكات للاستعمالات الإضافية المدرجة في قائمة التذييل 30‏</w:t>
      </w:r>
    </w:p>
    <w:tbl>
      <w:tblPr>
        <w:bidiVisual/>
        <w:tblW w:w="6995" w:type="dxa"/>
        <w:jc w:val="center"/>
        <w:tblLayout w:type="fixed"/>
        <w:tblLook w:val="04A0" w:firstRow="1" w:lastRow="0" w:firstColumn="1" w:lastColumn="0" w:noHBand="0" w:noVBand="1"/>
      </w:tblPr>
      <w:tblGrid>
        <w:gridCol w:w="1715"/>
        <w:gridCol w:w="1735"/>
        <w:gridCol w:w="1715"/>
        <w:gridCol w:w="1830"/>
      </w:tblGrid>
      <w:tr w:rsidR="00246E1E" w:rsidRPr="00246E1E" w14:paraId="58467C5A" w14:textId="77777777" w:rsidTr="000818B3">
        <w:trPr>
          <w:trHeight w:val="300"/>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5C070" w14:textId="77777777" w:rsidR="00246E1E" w:rsidRPr="00246E1E" w:rsidRDefault="00246E1E" w:rsidP="000818B3">
            <w:pPr>
              <w:pStyle w:val="TableHead"/>
            </w:pPr>
            <w:r w:rsidRPr="00246E1E">
              <w:rPr>
                <w:rtl/>
              </w:rPr>
              <w:t>الإدارة</w:t>
            </w:r>
          </w:p>
          <w:p w14:paraId="75C4781A" w14:textId="77777777" w:rsidR="00246E1E" w:rsidRPr="00246E1E" w:rsidRDefault="00246E1E" w:rsidP="000818B3">
            <w:pPr>
              <w:pStyle w:val="TableHead"/>
            </w:pPr>
            <w:r w:rsidRPr="00246E1E">
              <w:rPr>
                <w:rtl/>
              </w:rPr>
              <w:t>(المنظمة)</w:t>
            </w:r>
          </w:p>
        </w:tc>
        <w:tc>
          <w:tcPr>
            <w:tcW w:w="1735" w:type="dxa"/>
            <w:tcBorders>
              <w:top w:val="single" w:sz="4" w:space="0" w:color="auto"/>
              <w:left w:val="nil"/>
              <w:bottom w:val="single" w:sz="4" w:space="0" w:color="auto"/>
              <w:right w:val="double" w:sz="4" w:space="0" w:color="auto"/>
            </w:tcBorders>
            <w:shd w:val="clear" w:color="auto" w:fill="auto"/>
            <w:noWrap/>
            <w:vAlign w:val="center"/>
            <w:hideMark/>
          </w:tcPr>
          <w:p w14:paraId="0D40818C" w14:textId="77777777" w:rsidR="00246E1E" w:rsidRPr="00246E1E" w:rsidRDefault="00246E1E" w:rsidP="000818B3">
            <w:pPr>
              <w:pStyle w:val="TableHead"/>
              <w:rPr>
                <w:lang w:bidi="en-GB"/>
              </w:rPr>
            </w:pPr>
            <w:r w:rsidRPr="00246E1E">
              <w:rPr>
                <w:rtl/>
              </w:rPr>
              <w:t>عدد الشبكات</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EB69453" w14:textId="77777777" w:rsidR="00246E1E" w:rsidRPr="00246E1E" w:rsidRDefault="00246E1E" w:rsidP="000818B3">
            <w:pPr>
              <w:pStyle w:val="TableHead"/>
            </w:pPr>
            <w:r w:rsidRPr="00246E1E">
              <w:rPr>
                <w:rtl/>
              </w:rPr>
              <w:t>الإدارة</w:t>
            </w:r>
          </w:p>
          <w:p w14:paraId="3D652465" w14:textId="77777777" w:rsidR="00246E1E" w:rsidRPr="00246E1E" w:rsidRDefault="00246E1E" w:rsidP="000818B3">
            <w:pPr>
              <w:pStyle w:val="TableHead"/>
            </w:pPr>
            <w:r w:rsidRPr="00246E1E">
              <w:rPr>
                <w:rtl/>
              </w:rPr>
              <w:t>(المنظمة)</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6C32146D" w14:textId="77777777" w:rsidR="00246E1E" w:rsidRPr="00246E1E" w:rsidRDefault="00246E1E" w:rsidP="000818B3">
            <w:pPr>
              <w:pStyle w:val="TableHead"/>
            </w:pPr>
            <w:r w:rsidRPr="00246E1E">
              <w:rPr>
                <w:rtl/>
              </w:rPr>
              <w:t>عدد الشبكات</w:t>
            </w:r>
          </w:p>
        </w:tc>
      </w:tr>
      <w:tr w:rsidR="000818B3" w:rsidRPr="00246E1E" w14:paraId="6E45DC4B"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231D721F" w14:textId="71AA6C57" w:rsidR="000818B3" w:rsidRPr="00246E1E" w:rsidRDefault="000818B3" w:rsidP="00F54552">
            <w:pPr>
              <w:pStyle w:val="Tabletexte"/>
              <w:jc w:val="left"/>
              <w:rPr>
                <w:lang w:bidi="ar-SA"/>
              </w:rPr>
            </w:pPr>
            <w:r w:rsidRPr="00F76C2B">
              <w:t>ALG</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BAFD88B" w14:textId="754B4A53" w:rsidR="000818B3" w:rsidRPr="00246E1E" w:rsidRDefault="000818B3" w:rsidP="000818B3">
            <w:pPr>
              <w:pStyle w:val="Tabletexte"/>
              <w:jc w:val="center"/>
              <w:rPr>
                <w:lang w:bidi="ar-SA"/>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41318B2" w14:textId="1DE25CF1" w:rsidR="000818B3" w:rsidRPr="00246E1E" w:rsidRDefault="000818B3" w:rsidP="00F54552">
            <w:pPr>
              <w:pStyle w:val="Tabletexte"/>
              <w:jc w:val="left"/>
              <w:rPr>
                <w:lang w:bidi="ar-SA"/>
              </w:rPr>
            </w:pPr>
            <w:r w:rsidRPr="00F76C2B">
              <w:t>ISR</w:t>
            </w:r>
          </w:p>
        </w:tc>
        <w:tc>
          <w:tcPr>
            <w:tcW w:w="1830" w:type="dxa"/>
            <w:tcBorders>
              <w:top w:val="nil"/>
              <w:left w:val="nil"/>
              <w:bottom w:val="single" w:sz="4" w:space="0" w:color="auto"/>
              <w:right w:val="single" w:sz="4" w:space="0" w:color="auto"/>
            </w:tcBorders>
            <w:shd w:val="clear" w:color="auto" w:fill="auto"/>
            <w:noWrap/>
            <w:vAlign w:val="bottom"/>
          </w:tcPr>
          <w:p w14:paraId="4BA75A73" w14:textId="77B77632" w:rsidR="000818B3" w:rsidRPr="00246E1E" w:rsidRDefault="000818B3" w:rsidP="000818B3">
            <w:pPr>
              <w:pStyle w:val="Tabletexte"/>
              <w:jc w:val="center"/>
              <w:rPr>
                <w:lang w:bidi="ar-SA"/>
              </w:rPr>
            </w:pPr>
            <w:r w:rsidRPr="00F76C2B">
              <w:t>1</w:t>
            </w:r>
          </w:p>
        </w:tc>
      </w:tr>
      <w:tr w:rsidR="000818B3" w:rsidRPr="00246E1E" w14:paraId="12CA8CF0"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09212661" w14:textId="78FFA195" w:rsidR="000818B3" w:rsidRPr="00246E1E" w:rsidRDefault="000818B3" w:rsidP="00F54552">
            <w:pPr>
              <w:pStyle w:val="Tabletexte"/>
              <w:jc w:val="left"/>
              <w:rPr>
                <w:lang w:bidi="ar-SA"/>
              </w:rPr>
            </w:pPr>
            <w:r w:rsidRPr="00F76C2B">
              <w:t>ARS/ARB</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57CA17E6" w14:textId="0E10A62E" w:rsidR="000818B3" w:rsidRPr="00246E1E" w:rsidRDefault="000818B3" w:rsidP="000818B3">
            <w:pPr>
              <w:pStyle w:val="Tabletexte"/>
              <w:jc w:val="center"/>
              <w:rPr>
                <w:lang w:bidi="ar-SA"/>
              </w:rPr>
            </w:pPr>
            <w:r w:rsidRPr="00F76C2B">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F03C963" w14:textId="09B044A0" w:rsidR="000818B3" w:rsidRPr="00246E1E" w:rsidRDefault="000818B3" w:rsidP="00F54552">
            <w:pPr>
              <w:pStyle w:val="Tabletexte"/>
              <w:jc w:val="left"/>
              <w:rPr>
                <w:lang w:bidi="ar-SA"/>
              </w:rPr>
            </w:pPr>
            <w:r w:rsidRPr="00F76C2B">
              <w:t>J</w:t>
            </w:r>
          </w:p>
        </w:tc>
        <w:tc>
          <w:tcPr>
            <w:tcW w:w="1830" w:type="dxa"/>
            <w:tcBorders>
              <w:top w:val="nil"/>
              <w:left w:val="nil"/>
              <w:bottom w:val="single" w:sz="4" w:space="0" w:color="auto"/>
              <w:right w:val="single" w:sz="4" w:space="0" w:color="auto"/>
            </w:tcBorders>
            <w:shd w:val="clear" w:color="auto" w:fill="auto"/>
            <w:noWrap/>
            <w:vAlign w:val="bottom"/>
          </w:tcPr>
          <w:p w14:paraId="4F51DE50" w14:textId="61E3AC72" w:rsidR="000818B3" w:rsidRPr="00246E1E" w:rsidRDefault="000818B3" w:rsidP="000818B3">
            <w:pPr>
              <w:pStyle w:val="Tabletexte"/>
              <w:jc w:val="center"/>
              <w:rPr>
                <w:lang w:bidi="ar-SA"/>
              </w:rPr>
            </w:pPr>
            <w:r w:rsidRPr="00F76C2B">
              <w:t>9</w:t>
            </w:r>
          </w:p>
        </w:tc>
      </w:tr>
      <w:tr w:rsidR="000818B3" w:rsidRPr="00246E1E" w14:paraId="765272AC"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7F8D9FE9" w14:textId="2D0EA433" w:rsidR="000818B3" w:rsidRPr="00246E1E" w:rsidRDefault="000818B3" w:rsidP="00F54552">
            <w:pPr>
              <w:pStyle w:val="Tabletexte"/>
              <w:jc w:val="left"/>
              <w:rPr>
                <w:lang w:bidi="ar-SA"/>
              </w:rPr>
            </w:pPr>
            <w:r w:rsidRPr="00F76C2B">
              <w:t>AUS</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773CADD8" w14:textId="05948BB0" w:rsidR="000818B3" w:rsidRPr="00246E1E" w:rsidRDefault="000818B3" w:rsidP="000818B3">
            <w:pPr>
              <w:pStyle w:val="Tabletexte"/>
              <w:jc w:val="center"/>
              <w:rPr>
                <w:lang w:bidi="ar-SA"/>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DE62F94" w14:textId="09185EE3" w:rsidR="000818B3" w:rsidRPr="00246E1E" w:rsidRDefault="000818B3" w:rsidP="00F54552">
            <w:pPr>
              <w:pStyle w:val="Tabletexte"/>
              <w:jc w:val="left"/>
              <w:rPr>
                <w:lang w:bidi="ar-SA"/>
              </w:rPr>
            </w:pPr>
            <w:r w:rsidRPr="00F76C2B">
              <w:t>KOR</w:t>
            </w:r>
          </w:p>
        </w:tc>
        <w:tc>
          <w:tcPr>
            <w:tcW w:w="1830" w:type="dxa"/>
            <w:tcBorders>
              <w:top w:val="nil"/>
              <w:left w:val="nil"/>
              <w:bottom w:val="single" w:sz="4" w:space="0" w:color="auto"/>
              <w:right w:val="single" w:sz="4" w:space="0" w:color="auto"/>
            </w:tcBorders>
            <w:shd w:val="clear" w:color="auto" w:fill="auto"/>
            <w:noWrap/>
            <w:vAlign w:val="bottom"/>
          </w:tcPr>
          <w:p w14:paraId="32BC2133" w14:textId="2DCFB8BE" w:rsidR="000818B3" w:rsidRPr="00246E1E" w:rsidRDefault="000818B3" w:rsidP="000818B3">
            <w:pPr>
              <w:pStyle w:val="Tabletexte"/>
              <w:jc w:val="center"/>
              <w:rPr>
                <w:lang w:bidi="ar-SA"/>
              </w:rPr>
            </w:pPr>
            <w:r w:rsidRPr="00F76C2B">
              <w:t>2</w:t>
            </w:r>
          </w:p>
        </w:tc>
      </w:tr>
      <w:tr w:rsidR="000818B3" w:rsidRPr="00246E1E" w14:paraId="6A778249"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540625D2" w14:textId="32F3987F" w:rsidR="000818B3" w:rsidRPr="00246E1E" w:rsidRDefault="000818B3" w:rsidP="00F54552">
            <w:pPr>
              <w:pStyle w:val="Tabletexte"/>
              <w:jc w:val="left"/>
              <w:rPr>
                <w:lang w:bidi="ar-SA"/>
              </w:rPr>
            </w:pPr>
            <w:r w:rsidRPr="00F76C2B">
              <w:t>BUL</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0AE5D484" w14:textId="71A75D7D" w:rsidR="000818B3" w:rsidRPr="00246E1E" w:rsidRDefault="000818B3" w:rsidP="000818B3">
            <w:pPr>
              <w:pStyle w:val="Tabletexte"/>
              <w:jc w:val="center"/>
              <w:rPr>
                <w:lang w:bidi="ar-SA"/>
              </w:rPr>
            </w:pPr>
            <w:r w:rsidRPr="00F76C2B">
              <w:t>2</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E167CA8" w14:textId="5A6D0D8E" w:rsidR="000818B3" w:rsidRPr="00246E1E" w:rsidRDefault="000818B3" w:rsidP="00F54552">
            <w:pPr>
              <w:pStyle w:val="Tabletexte"/>
              <w:jc w:val="left"/>
              <w:rPr>
                <w:lang w:bidi="ar-SA"/>
              </w:rPr>
            </w:pPr>
            <w:r w:rsidRPr="00F76C2B">
              <w:t>LUX</w:t>
            </w:r>
          </w:p>
        </w:tc>
        <w:tc>
          <w:tcPr>
            <w:tcW w:w="1830" w:type="dxa"/>
            <w:tcBorders>
              <w:top w:val="nil"/>
              <w:left w:val="nil"/>
              <w:bottom w:val="single" w:sz="4" w:space="0" w:color="auto"/>
              <w:right w:val="single" w:sz="4" w:space="0" w:color="auto"/>
            </w:tcBorders>
            <w:shd w:val="clear" w:color="auto" w:fill="auto"/>
            <w:noWrap/>
            <w:vAlign w:val="bottom"/>
          </w:tcPr>
          <w:p w14:paraId="2FB9156B" w14:textId="41500357" w:rsidR="000818B3" w:rsidRPr="00246E1E" w:rsidRDefault="000818B3" w:rsidP="000818B3">
            <w:pPr>
              <w:pStyle w:val="Tabletexte"/>
              <w:jc w:val="center"/>
              <w:rPr>
                <w:lang w:bidi="ar-SA"/>
              </w:rPr>
            </w:pPr>
            <w:r w:rsidRPr="00F76C2B">
              <w:t>14</w:t>
            </w:r>
          </w:p>
        </w:tc>
      </w:tr>
      <w:tr w:rsidR="000818B3" w:rsidRPr="00246E1E" w14:paraId="0ED79547"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05CE1140" w14:textId="635D4C48" w:rsidR="000818B3" w:rsidRPr="00246E1E" w:rsidRDefault="000818B3" w:rsidP="00F54552">
            <w:pPr>
              <w:pStyle w:val="Tabletexte"/>
              <w:jc w:val="left"/>
              <w:rPr>
                <w:lang w:bidi="ar-SA"/>
              </w:rPr>
            </w:pPr>
            <w:r w:rsidRPr="00F76C2B">
              <w:t>CHN</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4D7878D9" w14:textId="106033E7" w:rsidR="000818B3" w:rsidRPr="00246E1E" w:rsidRDefault="000818B3" w:rsidP="000818B3">
            <w:pPr>
              <w:pStyle w:val="Tabletexte"/>
              <w:jc w:val="center"/>
              <w:rPr>
                <w:lang w:bidi="ar-SA"/>
              </w:rPr>
            </w:pPr>
            <w:r w:rsidRPr="00F76C2B">
              <w:t>6</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1C10A4E" w14:textId="72A36847" w:rsidR="000818B3" w:rsidRPr="00246E1E" w:rsidRDefault="000818B3" w:rsidP="00F54552">
            <w:pPr>
              <w:pStyle w:val="Tabletexte"/>
              <w:jc w:val="left"/>
              <w:rPr>
                <w:lang w:bidi="ar-SA"/>
              </w:rPr>
            </w:pPr>
            <w:r w:rsidRPr="00F76C2B">
              <w:t>MCO</w:t>
            </w:r>
          </w:p>
        </w:tc>
        <w:tc>
          <w:tcPr>
            <w:tcW w:w="1830" w:type="dxa"/>
            <w:tcBorders>
              <w:top w:val="nil"/>
              <w:left w:val="nil"/>
              <w:bottom w:val="single" w:sz="4" w:space="0" w:color="auto"/>
              <w:right w:val="single" w:sz="4" w:space="0" w:color="auto"/>
            </w:tcBorders>
            <w:shd w:val="clear" w:color="auto" w:fill="auto"/>
            <w:noWrap/>
            <w:vAlign w:val="bottom"/>
          </w:tcPr>
          <w:p w14:paraId="05B51447" w14:textId="3329C625" w:rsidR="000818B3" w:rsidRPr="00246E1E" w:rsidRDefault="000818B3" w:rsidP="000818B3">
            <w:pPr>
              <w:pStyle w:val="Tabletexte"/>
              <w:jc w:val="center"/>
              <w:rPr>
                <w:lang w:bidi="ar-SA"/>
              </w:rPr>
            </w:pPr>
            <w:r w:rsidRPr="00F76C2B">
              <w:t>3</w:t>
            </w:r>
          </w:p>
        </w:tc>
      </w:tr>
      <w:tr w:rsidR="000818B3" w:rsidRPr="00246E1E" w14:paraId="4D34E142"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7F868215" w14:textId="68DE7868" w:rsidR="000818B3" w:rsidRPr="00246E1E" w:rsidRDefault="000818B3" w:rsidP="00F54552">
            <w:pPr>
              <w:pStyle w:val="Tabletexte"/>
              <w:jc w:val="left"/>
              <w:rPr>
                <w:lang w:bidi="ar-SA"/>
              </w:rPr>
            </w:pPr>
            <w:r w:rsidRPr="00F76C2B">
              <w:t>CYP</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6394FCB" w14:textId="4D7E8AAB" w:rsidR="000818B3" w:rsidRPr="00246E1E" w:rsidRDefault="000818B3" w:rsidP="000818B3">
            <w:pPr>
              <w:pStyle w:val="Tabletexte"/>
              <w:jc w:val="center"/>
              <w:rPr>
                <w:lang w:bidi="ar-SA"/>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FB71BCD" w14:textId="6BF014E9" w:rsidR="000818B3" w:rsidRPr="00246E1E" w:rsidRDefault="000818B3" w:rsidP="00F54552">
            <w:pPr>
              <w:pStyle w:val="Tabletexte"/>
              <w:jc w:val="left"/>
              <w:rPr>
                <w:lang w:bidi="ar-SA"/>
              </w:rPr>
            </w:pPr>
            <w:r w:rsidRPr="00F76C2B">
              <w:t>MLA</w:t>
            </w:r>
          </w:p>
        </w:tc>
        <w:tc>
          <w:tcPr>
            <w:tcW w:w="1830" w:type="dxa"/>
            <w:tcBorders>
              <w:top w:val="nil"/>
              <w:left w:val="nil"/>
              <w:bottom w:val="single" w:sz="4" w:space="0" w:color="auto"/>
              <w:right w:val="single" w:sz="4" w:space="0" w:color="auto"/>
            </w:tcBorders>
            <w:shd w:val="clear" w:color="auto" w:fill="auto"/>
            <w:noWrap/>
            <w:vAlign w:val="bottom"/>
          </w:tcPr>
          <w:p w14:paraId="6EB26761" w14:textId="019817F7" w:rsidR="000818B3" w:rsidRPr="00246E1E" w:rsidRDefault="000818B3" w:rsidP="000818B3">
            <w:pPr>
              <w:pStyle w:val="Tabletexte"/>
              <w:jc w:val="center"/>
              <w:rPr>
                <w:lang w:bidi="ar-SA"/>
              </w:rPr>
            </w:pPr>
            <w:r w:rsidRPr="00F76C2B">
              <w:t>1</w:t>
            </w:r>
          </w:p>
        </w:tc>
      </w:tr>
      <w:tr w:rsidR="000818B3" w:rsidRPr="00246E1E" w14:paraId="32C8F927"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00B285E9" w14:textId="0D8B65C3" w:rsidR="000818B3" w:rsidRPr="00246E1E" w:rsidRDefault="000818B3" w:rsidP="00F54552">
            <w:pPr>
              <w:pStyle w:val="Tabletexte"/>
              <w:jc w:val="left"/>
              <w:rPr>
                <w:lang w:bidi="ar-SA"/>
              </w:rPr>
            </w:pPr>
            <w:r w:rsidRPr="00F76C2B">
              <w:t>D</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5BC7E275" w14:textId="18DDA3EC" w:rsidR="000818B3" w:rsidRPr="00246E1E" w:rsidRDefault="000818B3" w:rsidP="000818B3">
            <w:pPr>
              <w:pStyle w:val="Tabletexte"/>
              <w:jc w:val="center"/>
              <w:rPr>
                <w:lang w:bidi="ar-SA"/>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E477FCB" w14:textId="61677D0E" w:rsidR="000818B3" w:rsidRPr="00246E1E" w:rsidRDefault="000818B3" w:rsidP="00F54552">
            <w:pPr>
              <w:pStyle w:val="Tabletexte"/>
              <w:jc w:val="left"/>
              <w:rPr>
                <w:lang w:bidi="ar-SA"/>
              </w:rPr>
            </w:pPr>
            <w:r w:rsidRPr="00F76C2B">
              <w:t>NOR</w:t>
            </w:r>
          </w:p>
        </w:tc>
        <w:tc>
          <w:tcPr>
            <w:tcW w:w="1830" w:type="dxa"/>
            <w:tcBorders>
              <w:top w:val="nil"/>
              <w:left w:val="nil"/>
              <w:bottom w:val="single" w:sz="4" w:space="0" w:color="auto"/>
              <w:right w:val="single" w:sz="4" w:space="0" w:color="auto"/>
            </w:tcBorders>
            <w:shd w:val="clear" w:color="auto" w:fill="auto"/>
            <w:noWrap/>
            <w:vAlign w:val="bottom"/>
          </w:tcPr>
          <w:p w14:paraId="37FE5328" w14:textId="50785234" w:rsidR="000818B3" w:rsidRPr="00246E1E" w:rsidRDefault="000818B3" w:rsidP="000818B3">
            <w:pPr>
              <w:pStyle w:val="Tabletexte"/>
              <w:jc w:val="center"/>
              <w:rPr>
                <w:lang w:bidi="ar-SA"/>
              </w:rPr>
            </w:pPr>
            <w:r w:rsidRPr="00F76C2B">
              <w:t>4</w:t>
            </w:r>
          </w:p>
        </w:tc>
      </w:tr>
      <w:tr w:rsidR="000818B3" w:rsidRPr="00246E1E" w14:paraId="356472B8"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630B1BEA" w14:textId="32EEAE83" w:rsidR="000818B3" w:rsidRPr="00246E1E" w:rsidRDefault="000818B3" w:rsidP="00F54552">
            <w:pPr>
              <w:pStyle w:val="Tabletexte"/>
              <w:jc w:val="left"/>
              <w:rPr>
                <w:lang w:bidi="ar-SA"/>
              </w:rPr>
            </w:pPr>
            <w:r w:rsidRPr="00F76C2B">
              <w:t>E</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C3ADC8A" w14:textId="4C8A4BD5" w:rsidR="000818B3" w:rsidRPr="00246E1E" w:rsidRDefault="000818B3" w:rsidP="000818B3">
            <w:pPr>
              <w:pStyle w:val="Tabletexte"/>
              <w:jc w:val="center"/>
              <w:rPr>
                <w:lang w:bidi="ar-SA"/>
              </w:rPr>
            </w:pPr>
            <w:r>
              <w:t>4</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92B6FA0" w14:textId="481FF7C8" w:rsidR="000818B3" w:rsidRPr="00246E1E" w:rsidRDefault="000818B3" w:rsidP="00F54552">
            <w:pPr>
              <w:pStyle w:val="Tabletexte"/>
              <w:jc w:val="left"/>
              <w:rPr>
                <w:lang w:bidi="ar-SA"/>
              </w:rPr>
            </w:pPr>
            <w:r w:rsidRPr="00F76C2B">
              <w:t>PAK</w:t>
            </w:r>
          </w:p>
        </w:tc>
        <w:tc>
          <w:tcPr>
            <w:tcW w:w="1830" w:type="dxa"/>
            <w:tcBorders>
              <w:top w:val="nil"/>
              <w:left w:val="nil"/>
              <w:bottom w:val="single" w:sz="4" w:space="0" w:color="auto"/>
              <w:right w:val="single" w:sz="4" w:space="0" w:color="auto"/>
            </w:tcBorders>
            <w:shd w:val="clear" w:color="auto" w:fill="auto"/>
            <w:noWrap/>
            <w:vAlign w:val="bottom"/>
          </w:tcPr>
          <w:p w14:paraId="526630A1" w14:textId="57681D27" w:rsidR="000818B3" w:rsidRPr="00246E1E" w:rsidRDefault="000818B3" w:rsidP="000818B3">
            <w:pPr>
              <w:pStyle w:val="Tabletexte"/>
              <w:jc w:val="center"/>
              <w:rPr>
                <w:lang w:bidi="ar-SA"/>
              </w:rPr>
            </w:pPr>
            <w:r w:rsidRPr="00F76C2B">
              <w:t>1</w:t>
            </w:r>
          </w:p>
        </w:tc>
      </w:tr>
      <w:tr w:rsidR="000818B3" w:rsidRPr="00246E1E" w14:paraId="4F3D5A4B"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6991DBB3" w14:textId="5BC426DC" w:rsidR="000818B3" w:rsidRPr="00246E1E" w:rsidRDefault="000818B3" w:rsidP="00F54552">
            <w:pPr>
              <w:pStyle w:val="Tabletexte"/>
              <w:jc w:val="left"/>
              <w:rPr>
                <w:lang w:bidi="ar-SA"/>
              </w:rPr>
            </w:pPr>
            <w:r w:rsidRPr="00F76C2B">
              <w:t>EGY</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1BA66095" w14:textId="7EC24F0F" w:rsidR="000818B3" w:rsidRPr="00246E1E" w:rsidRDefault="000818B3" w:rsidP="000818B3">
            <w:pPr>
              <w:pStyle w:val="Tabletexte"/>
              <w:jc w:val="center"/>
              <w:rPr>
                <w:lang w:bidi="ar-SA"/>
              </w:rPr>
            </w:pPr>
            <w:r w:rsidRPr="00F76C2B">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8D405F3" w14:textId="2084F00D" w:rsidR="000818B3" w:rsidRPr="00246E1E" w:rsidRDefault="000818B3" w:rsidP="00F54552">
            <w:pPr>
              <w:pStyle w:val="Tabletexte"/>
              <w:jc w:val="left"/>
              <w:rPr>
                <w:lang w:bidi="ar-SA"/>
              </w:rPr>
            </w:pPr>
            <w:r w:rsidRPr="00F76C2B">
              <w:t>PNG</w:t>
            </w:r>
          </w:p>
        </w:tc>
        <w:tc>
          <w:tcPr>
            <w:tcW w:w="1830" w:type="dxa"/>
            <w:tcBorders>
              <w:top w:val="nil"/>
              <w:left w:val="nil"/>
              <w:bottom w:val="single" w:sz="4" w:space="0" w:color="auto"/>
              <w:right w:val="single" w:sz="4" w:space="0" w:color="auto"/>
            </w:tcBorders>
            <w:shd w:val="clear" w:color="auto" w:fill="auto"/>
            <w:noWrap/>
            <w:vAlign w:val="bottom"/>
          </w:tcPr>
          <w:p w14:paraId="58F5229A" w14:textId="5EE2376A" w:rsidR="000818B3" w:rsidRPr="00246E1E" w:rsidRDefault="000818B3" w:rsidP="000818B3">
            <w:pPr>
              <w:pStyle w:val="Tabletexte"/>
              <w:jc w:val="center"/>
              <w:rPr>
                <w:lang w:bidi="ar-SA"/>
              </w:rPr>
            </w:pPr>
            <w:r w:rsidRPr="00F76C2B">
              <w:t>9</w:t>
            </w:r>
          </w:p>
        </w:tc>
      </w:tr>
      <w:tr w:rsidR="000818B3" w:rsidRPr="00246E1E" w14:paraId="681793FA"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7FBDBBBF" w14:textId="468A81E5" w:rsidR="000818B3" w:rsidRPr="00246E1E" w:rsidRDefault="000818B3" w:rsidP="00F54552">
            <w:pPr>
              <w:pStyle w:val="Tabletexte"/>
              <w:jc w:val="left"/>
              <w:rPr>
                <w:lang w:bidi="ar-SA"/>
              </w:rPr>
            </w:pPr>
            <w:r w:rsidRPr="00F76C2B">
              <w:t>F</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2CD879AF" w14:textId="615D8C3F" w:rsidR="000818B3" w:rsidRPr="00246E1E" w:rsidRDefault="000818B3" w:rsidP="000818B3">
            <w:pPr>
              <w:pStyle w:val="Tabletexte"/>
              <w:jc w:val="center"/>
              <w:rPr>
                <w:lang w:bidi="ar-SA"/>
              </w:rPr>
            </w:pPr>
            <w:r w:rsidRPr="00F76C2B">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7C10C9D" w14:textId="38CFF673" w:rsidR="000818B3" w:rsidRPr="00246E1E" w:rsidRDefault="000818B3" w:rsidP="00F54552">
            <w:pPr>
              <w:pStyle w:val="Tabletexte"/>
              <w:jc w:val="left"/>
              <w:rPr>
                <w:lang w:bidi="ar-SA"/>
              </w:rPr>
            </w:pPr>
            <w:r w:rsidRPr="00F76C2B">
              <w:t>RUS</w:t>
            </w:r>
          </w:p>
        </w:tc>
        <w:tc>
          <w:tcPr>
            <w:tcW w:w="1830" w:type="dxa"/>
            <w:tcBorders>
              <w:top w:val="nil"/>
              <w:left w:val="nil"/>
              <w:bottom w:val="single" w:sz="4" w:space="0" w:color="auto"/>
              <w:right w:val="single" w:sz="4" w:space="0" w:color="auto"/>
            </w:tcBorders>
            <w:shd w:val="clear" w:color="auto" w:fill="auto"/>
            <w:noWrap/>
            <w:vAlign w:val="bottom"/>
          </w:tcPr>
          <w:p w14:paraId="140D94F1" w14:textId="18449B06" w:rsidR="000818B3" w:rsidRPr="00246E1E" w:rsidRDefault="000818B3" w:rsidP="000818B3">
            <w:pPr>
              <w:pStyle w:val="Tabletexte"/>
              <w:jc w:val="center"/>
              <w:rPr>
                <w:lang w:bidi="ar-SA"/>
              </w:rPr>
            </w:pPr>
            <w:r w:rsidRPr="00F76C2B">
              <w:t>5</w:t>
            </w:r>
          </w:p>
        </w:tc>
      </w:tr>
      <w:tr w:rsidR="000818B3" w:rsidRPr="00246E1E" w14:paraId="1712D1B0"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6B94C106" w14:textId="4F582CD6" w:rsidR="000818B3" w:rsidRPr="00246E1E" w:rsidRDefault="000818B3" w:rsidP="00F54552">
            <w:pPr>
              <w:pStyle w:val="Tabletexte"/>
              <w:jc w:val="left"/>
              <w:rPr>
                <w:lang w:bidi="ar-SA"/>
              </w:rPr>
            </w:pPr>
            <w:r w:rsidRPr="00F76C2B">
              <w:t>F/EUT</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44BDEFE7" w14:textId="60F2AF6F" w:rsidR="000818B3" w:rsidRPr="00246E1E" w:rsidRDefault="000818B3" w:rsidP="000818B3">
            <w:pPr>
              <w:pStyle w:val="Tabletexte"/>
              <w:jc w:val="center"/>
              <w:rPr>
                <w:lang w:bidi="ar-SA"/>
              </w:rPr>
            </w:pPr>
            <w:r w:rsidRPr="00F76C2B">
              <w:t>8</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5A939F9" w14:textId="3181FDD3" w:rsidR="000818B3" w:rsidRPr="00246E1E" w:rsidRDefault="000818B3" w:rsidP="00F54552">
            <w:pPr>
              <w:pStyle w:val="Tabletexte"/>
              <w:jc w:val="left"/>
              <w:rPr>
                <w:lang w:bidi="ar-SA"/>
              </w:rPr>
            </w:pPr>
            <w:r w:rsidRPr="00F76C2B">
              <w:t>RUS/IK</w:t>
            </w:r>
          </w:p>
        </w:tc>
        <w:tc>
          <w:tcPr>
            <w:tcW w:w="1830" w:type="dxa"/>
            <w:tcBorders>
              <w:top w:val="nil"/>
              <w:left w:val="nil"/>
              <w:bottom w:val="single" w:sz="4" w:space="0" w:color="auto"/>
              <w:right w:val="single" w:sz="4" w:space="0" w:color="auto"/>
            </w:tcBorders>
            <w:shd w:val="clear" w:color="auto" w:fill="auto"/>
            <w:noWrap/>
            <w:vAlign w:val="bottom"/>
          </w:tcPr>
          <w:p w14:paraId="0821E31F" w14:textId="2DA533CF" w:rsidR="000818B3" w:rsidRPr="00246E1E" w:rsidRDefault="000818B3" w:rsidP="000818B3">
            <w:pPr>
              <w:pStyle w:val="Tabletexte"/>
              <w:jc w:val="center"/>
              <w:rPr>
                <w:lang w:bidi="ar-SA"/>
              </w:rPr>
            </w:pPr>
            <w:r w:rsidRPr="00F76C2B">
              <w:t>4</w:t>
            </w:r>
          </w:p>
        </w:tc>
      </w:tr>
      <w:tr w:rsidR="000818B3" w:rsidRPr="00246E1E" w14:paraId="142DDE8C"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480313F8" w14:textId="56326DCA" w:rsidR="000818B3" w:rsidRPr="00246E1E" w:rsidRDefault="000818B3" w:rsidP="00F54552">
            <w:pPr>
              <w:pStyle w:val="Tabletexte"/>
              <w:jc w:val="left"/>
              <w:rPr>
                <w:lang w:bidi="ar-SA"/>
              </w:rPr>
            </w:pPr>
            <w:r w:rsidRPr="00F76C2B">
              <w:t>G</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921F26D" w14:textId="1B86F317" w:rsidR="000818B3" w:rsidRPr="00246E1E" w:rsidRDefault="000818B3" w:rsidP="000818B3">
            <w:pPr>
              <w:pStyle w:val="Tabletexte"/>
              <w:jc w:val="center"/>
              <w:rPr>
                <w:lang w:bidi="ar-SA"/>
              </w:rPr>
            </w:pPr>
            <w:r w:rsidRPr="00F76C2B">
              <w:t>6</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65E1790" w14:textId="60657EBD" w:rsidR="000818B3" w:rsidRPr="00246E1E" w:rsidRDefault="000818B3" w:rsidP="00F54552">
            <w:pPr>
              <w:pStyle w:val="Tabletexte"/>
              <w:jc w:val="left"/>
              <w:rPr>
                <w:lang w:bidi="ar-SA"/>
              </w:rPr>
            </w:pPr>
            <w:r w:rsidRPr="00F76C2B">
              <w:t>S</w:t>
            </w:r>
          </w:p>
        </w:tc>
        <w:tc>
          <w:tcPr>
            <w:tcW w:w="1830" w:type="dxa"/>
            <w:tcBorders>
              <w:top w:val="nil"/>
              <w:left w:val="nil"/>
              <w:bottom w:val="single" w:sz="4" w:space="0" w:color="auto"/>
              <w:right w:val="single" w:sz="4" w:space="0" w:color="auto"/>
            </w:tcBorders>
            <w:shd w:val="clear" w:color="auto" w:fill="auto"/>
            <w:noWrap/>
            <w:vAlign w:val="bottom"/>
          </w:tcPr>
          <w:p w14:paraId="42BAD298" w14:textId="396EFAD7" w:rsidR="000818B3" w:rsidRPr="00246E1E" w:rsidRDefault="000818B3" w:rsidP="000818B3">
            <w:pPr>
              <w:pStyle w:val="Tabletexte"/>
              <w:jc w:val="center"/>
              <w:rPr>
                <w:lang w:bidi="ar-SA"/>
              </w:rPr>
            </w:pPr>
            <w:r w:rsidRPr="00F76C2B">
              <w:t>6</w:t>
            </w:r>
          </w:p>
        </w:tc>
      </w:tr>
      <w:tr w:rsidR="000818B3" w:rsidRPr="00246E1E" w14:paraId="1CF9F085"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3EBF65B8" w14:textId="35E7A250" w:rsidR="000818B3" w:rsidRPr="00246E1E" w:rsidRDefault="000818B3" w:rsidP="00F54552">
            <w:pPr>
              <w:pStyle w:val="Tabletexte"/>
              <w:jc w:val="left"/>
              <w:rPr>
                <w:lang w:bidi="ar-SA"/>
              </w:rPr>
            </w:pPr>
            <w:r w:rsidRPr="00F76C2B">
              <w:t>GRC</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4FAE1AE9" w14:textId="56AADD01" w:rsidR="000818B3" w:rsidRPr="00246E1E" w:rsidRDefault="000818B3" w:rsidP="000818B3">
            <w:pPr>
              <w:pStyle w:val="Tabletexte"/>
              <w:jc w:val="center"/>
              <w:rPr>
                <w:lang w:bidi="ar-SA"/>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54B3907" w14:textId="70326C2A" w:rsidR="000818B3" w:rsidRPr="00246E1E" w:rsidRDefault="000818B3" w:rsidP="00F54552">
            <w:pPr>
              <w:pStyle w:val="Tabletexte"/>
              <w:jc w:val="left"/>
              <w:rPr>
                <w:lang w:bidi="ar-SA"/>
              </w:rPr>
            </w:pPr>
            <w:r w:rsidRPr="00F76C2B">
              <w:t>TUR</w:t>
            </w:r>
          </w:p>
        </w:tc>
        <w:tc>
          <w:tcPr>
            <w:tcW w:w="1830" w:type="dxa"/>
            <w:tcBorders>
              <w:top w:val="nil"/>
              <w:left w:val="nil"/>
              <w:bottom w:val="single" w:sz="4" w:space="0" w:color="auto"/>
              <w:right w:val="single" w:sz="4" w:space="0" w:color="auto"/>
            </w:tcBorders>
            <w:shd w:val="clear" w:color="auto" w:fill="auto"/>
            <w:noWrap/>
            <w:vAlign w:val="bottom"/>
          </w:tcPr>
          <w:p w14:paraId="11D7C053" w14:textId="326A9911" w:rsidR="000818B3" w:rsidRPr="00246E1E" w:rsidRDefault="000818B3" w:rsidP="000818B3">
            <w:pPr>
              <w:pStyle w:val="Tabletexte"/>
              <w:jc w:val="center"/>
              <w:rPr>
                <w:lang w:bidi="ar-SA"/>
              </w:rPr>
            </w:pPr>
            <w:r w:rsidRPr="00F76C2B">
              <w:t>2</w:t>
            </w:r>
          </w:p>
        </w:tc>
      </w:tr>
      <w:tr w:rsidR="000818B3" w:rsidRPr="00246E1E" w14:paraId="7100E0F7"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3B8CD2EB" w14:textId="24A7E5B6" w:rsidR="000818B3" w:rsidRPr="00246E1E" w:rsidRDefault="000818B3" w:rsidP="00F54552">
            <w:pPr>
              <w:pStyle w:val="Tabletexte"/>
              <w:jc w:val="left"/>
              <w:rPr>
                <w:lang w:bidi="ar-SA"/>
              </w:rPr>
            </w:pPr>
            <w:r w:rsidRPr="00F76C2B">
              <w:t>HOL</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2484487B" w14:textId="7F99AE58" w:rsidR="000818B3" w:rsidRPr="00246E1E" w:rsidRDefault="000818B3" w:rsidP="000818B3">
            <w:pPr>
              <w:pStyle w:val="Tabletexte"/>
              <w:jc w:val="center"/>
              <w:rPr>
                <w:lang w:bidi="ar-SA"/>
              </w:rPr>
            </w:pPr>
            <w:r w:rsidRPr="00F76C2B">
              <w:t>9</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1DD58A0" w14:textId="4B5B3463" w:rsidR="000818B3" w:rsidRPr="00246E1E" w:rsidRDefault="000818B3" w:rsidP="00F54552">
            <w:pPr>
              <w:pStyle w:val="Tabletexte"/>
              <w:jc w:val="left"/>
              <w:rPr>
                <w:lang w:bidi="ar-SA"/>
              </w:rPr>
            </w:pPr>
            <w:r>
              <w:t>UAE</w:t>
            </w:r>
          </w:p>
        </w:tc>
        <w:tc>
          <w:tcPr>
            <w:tcW w:w="1830" w:type="dxa"/>
            <w:tcBorders>
              <w:top w:val="nil"/>
              <w:left w:val="nil"/>
              <w:bottom w:val="single" w:sz="4" w:space="0" w:color="auto"/>
              <w:right w:val="single" w:sz="4" w:space="0" w:color="auto"/>
            </w:tcBorders>
            <w:shd w:val="clear" w:color="auto" w:fill="auto"/>
            <w:noWrap/>
            <w:vAlign w:val="bottom"/>
          </w:tcPr>
          <w:p w14:paraId="239D9F9C" w14:textId="5CBB316E" w:rsidR="000818B3" w:rsidRPr="00246E1E" w:rsidRDefault="000818B3" w:rsidP="000818B3">
            <w:pPr>
              <w:pStyle w:val="Tabletexte"/>
              <w:jc w:val="center"/>
              <w:rPr>
                <w:lang w:bidi="ar-SA"/>
              </w:rPr>
            </w:pPr>
            <w:r>
              <w:t>5</w:t>
            </w:r>
          </w:p>
        </w:tc>
      </w:tr>
      <w:tr w:rsidR="000818B3" w:rsidRPr="00246E1E" w14:paraId="7A2D8E35" w14:textId="77777777" w:rsidTr="002C32A8">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3448A" w14:textId="603EC827" w:rsidR="000818B3" w:rsidRPr="00246E1E" w:rsidRDefault="000818B3" w:rsidP="00F54552">
            <w:pPr>
              <w:pStyle w:val="Tabletexte"/>
              <w:jc w:val="left"/>
              <w:rPr>
                <w:lang w:bidi="ar-SA"/>
              </w:rPr>
            </w:pPr>
            <w:r w:rsidRPr="00F76C2B">
              <w:t>I</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3292FAF" w14:textId="5C0B5B51" w:rsidR="000818B3" w:rsidRPr="00246E1E" w:rsidRDefault="000818B3" w:rsidP="000818B3">
            <w:pPr>
              <w:pStyle w:val="Tabletexte"/>
              <w:jc w:val="center"/>
              <w:rPr>
                <w:lang w:bidi="ar-SA"/>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3E172657" w14:textId="37929EB1" w:rsidR="000818B3" w:rsidRPr="00246E1E" w:rsidRDefault="000818B3" w:rsidP="00F54552">
            <w:pPr>
              <w:pStyle w:val="Tabletexte"/>
              <w:jc w:val="left"/>
              <w:rPr>
                <w:lang w:bidi="ar-SA"/>
              </w:rPr>
            </w:pPr>
            <w:r>
              <w:t>USA</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14:paraId="1926A250" w14:textId="117E5A9C" w:rsidR="000818B3" w:rsidRPr="00246E1E" w:rsidRDefault="000818B3" w:rsidP="000818B3">
            <w:pPr>
              <w:pStyle w:val="Tabletexte"/>
              <w:jc w:val="center"/>
              <w:rPr>
                <w:lang w:bidi="ar-SA"/>
              </w:rPr>
            </w:pPr>
            <w:r>
              <w:t>3</w:t>
            </w:r>
          </w:p>
        </w:tc>
      </w:tr>
      <w:tr w:rsidR="000818B3" w:rsidRPr="00246E1E" w14:paraId="7DEDAD61" w14:textId="77777777" w:rsidTr="002C32A8">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57B78" w14:textId="7D9E4808" w:rsidR="000818B3" w:rsidRPr="00246E1E" w:rsidRDefault="000818B3" w:rsidP="00F54552">
            <w:pPr>
              <w:pStyle w:val="Tabletexte"/>
              <w:jc w:val="left"/>
              <w:rPr>
                <w:lang w:bidi="ar-SA"/>
              </w:rPr>
            </w:pPr>
            <w:r w:rsidRPr="00F76C2B">
              <w:t>IRN</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0D4E79F2" w14:textId="4011A94B" w:rsidR="000818B3" w:rsidRPr="00246E1E" w:rsidRDefault="000818B3" w:rsidP="000818B3">
            <w:pPr>
              <w:pStyle w:val="Tabletexte"/>
              <w:jc w:val="center"/>
              <w:rPr>
                <w:lang w:bidi="ar-SA"/>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6A8FA1B" w14:textId="77777777" w:rsidR="000818B3" w:rsidRPr="00246E1E" w:rsidRDefault="000818B3" w:rsidP="00F54552">
            <w:pPr>
              <w:pStyle w:val="Tabletexte"/>
              <w:jc w:val="left"/>
            </w:pPr>
          </w:p>
        </w:tc>
        <w:tc>
          <w:tcPr>
            <w:tcW w:w="1830" w:type="dxa"/>
            <w:tcBorders>
              <w:top w:val="single" w:sz="4" w:space="0" w:color="auto"/>
              <w:left w:val="nil"/>
              <w:bottom w:val="single" w:sz="4" w:space="0" w:color="auto"/>
              <w:right w:val="single" w:sz="4" w:space="0" w:color="auto"/>
            </w:tcBorders>
            <w:shd w:val="clear" w:color="auto" w:fill="auto"/>
            <w:noWrap/>
            <w:vAlign w:val="bottom"/>
          </w:tcPr>
          <w:p w14:paraId="6B8F9255" w14:textId="77777777" w:rsidR="000818B3" w:rsidRPr="00246E1E" w:rsidRDefault="000818B3" w:rsidP="000818B3">
            <w:pPr>
              <w:pStyle w:val="Tabletexte"/>
              <w:jc w:val="center"/>
            </w:pPr>
          </w:p>
        </w:tc>
      </w:tr>
    </w:tbl>
    <w:p w14:paraId="3CE057DD" w14:textId="77777777" w:rsidR="00246E1E" w:rsidRPr="00246E1E" w:rsidRDefault="00246E1E" w:rsidP="000818B3">
      <w:pPr>
        <w:pStyle w:val="TableNo"/>
        <w:rPr>
          <w:lang w:bidi="ar-SA"/>
        </w:rPr>
      </w:pPr>
      <w:r w:rsidRPr="00246E1E">
        <w:rPr>
          <w:rtl/>
        </w:rPr>
        <w:t>الجدول 5</w:t>
      </w:r>
    </w:p>
    <w:p w14:paraId="05979D18" w14:textId="77777777" w:rsidR="00246E1E" w:rsidRPr="00246E1E" w:rsidRDefault="00246E1E" w:rsidP="000818B3">
      <w:pPr>
        <w:pStyle w:val="Tabletitle"/>
        <w:rPr>
          <w:lang w:bidi="ar-SA"/>
        </w:rPr>
      </w:pPr>
      <w:r w:rsidRPr="00246E1E">
        <w:rPr>
          <w:rtl/>
        </w:rPr>
        <w:t>عدد الشبكات للاستعمالات الإضافية المدرجة في قائمة التذييل 30A</w:t>
      </w:r>
    </w:p>
    <w:tbl>
      <w:tblPr>
        <w:bidiVisual/>
        <w:tblW w:w="6995" w:type="dxa"/>
        <w:jc w:val="center"/>
        <w:tblLayout w:type="fixed"/>
        <w:tblLook w:val="04A0" w:firstRow="1" w:lastRow="0" w:firstColumn="1" w:lastColumn="0" w:noHBand="0" w:noVBand="1"/>
      </w:tblPr>
      <w:tblGrid>
        <w:gridCol w:w="1715"/>
        <w:gridCol w:w="1735"/>
        <w:gridCol w:w="1715"/>
        <w:gridCol w:w="1830"/>
      </w:tblGrid>
      <w:tr w:rsidR="00246E1E" w:rsidRPr="00246E1E" w14:paraId="49215269" w14:textId="77777777" w:rsidTr="000818B3">
        <w:trPr>
          <w:trHeight w:val="300"/>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7FE8E" w14:textId="77777777" w:rsidR="00246E1E" w:rsidRPr="00246E1E" w:rsidRDefault="00246E1E" w:rsidP="000818B3">
            <w:pPr>
              <w:pStyle w:val="TableHead"/>
            </w:pPr>
            <w:r w:rsidRPr="00246E1E">
              <w:rPr>
                <w:rtl/>
              </w:rPr>
              <w:t>الإدارة</w:t>
            </w:r>
          </w:p>
          <w:p w14:paraId="78521B10" w14:textId="12898D92" w:rsidR="00246E1E" w:rsidRPr="00246E1E" w:rsidRDefault="00246E1E" w:rsidP="000818B3">
            <w:pPr>
              <w:pStyle w:val="TableHead"/>
            </w:pPr>
            <w:r w:rsidRPr="00246E1E">
              <w:rPr>
                <w:rtl/>
              </w:rPr>
              <w:t>(المنظمة)</w:t>
            </w:r>
          </w:p>
        </w:tc>
        <w:tc>
          <w:tcPr>
            <w:tcW w:w="1735" w:type="dxa"/>
            <w:tcBorders>
              <w:top w:val="single" w:sz="4" w:space="0" w:color="auto"/>
              <w:left w:val="nil"/>
              <w:bottom w:val="single" w:sz="4" w:space="0" w:color="auto"/>
              <w:right w:val="double" w:sz="4" w:space="0" w:color="auto"/>
            </w:tcBorders>
            <w:shd w:val="clear" w:color="auto" w:fill="auto"/>
            <w:noWrap/>
            <w:vAlign w:val="center"/>
            <w:hideMark/>
          </w:tcPr>
          <w:p w14:paraId="00E51A0B" w14:textId="77777777" w:rsidR="00246E1E" w:rsidRPr="00246E1E" w:rsidRDefault="00246E1E" w:rsidP="000818B3">
            <w:pPr>
              <w:pStyle w:val="TableHead"/>
            </w:pPr>
            <w:r w:rsidRPr="00246E1E">
              <w:rPr>
                <w:rtl/>
              </w:rPr>
              <w:t>عدد الشبكات</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024DAC1" w14:textId="77777777" w:rsidR="00246E1E" w:rsidRPr="00246E1E" w:rsidRDefault="00246E1E" w:rsidP="000818B3">
            <w:pPr>
              <w:pStyle w:val="TableHead"/>
            </w:pPr>
            <w:r w:rsidRPr="00246E1E">
              <w:rPr>
                <w:rtl/>
              </w:rPr>
              <w:t>الإدارة</w:t>
            </w:r>
          </w:p>
          <w:p w14:paraId="50E9183F" w14:textId="77777777" w:rsidR="00246E1E" w:rsidRPr="00246E1E" w:rsidRDefault="00246E1E" w:rsidP="000818B3">
            <w:pPr>
              <w:pStyle w:val="TableHead"/>
            </w:pPr>
            <w:r w:rsidRPr="00246E1E">
              <w:rPr>
                <w:rtl/>
              </w:rPr>
              <w:t>(المنظمة)</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1954111D" w14:textId="77777777" w:rsidR="00246E1E" w:rsidRPr="00246E1E" w:rsidRDefault="00246E1E" w:rsidP="000818B3">
            <w:pPr>
              <w:pStyle w:val="TableHead"/>
            </w:pPr>
            <w:r w:rsidRPr="00246E1E">
              <w:rPr>
                <w:rtl/>
              </w:rPr>
              <w:t>عدد الشبكات</w:t>
            </w:r>
          </w:p>
        </w:tc>
      </w:tr>
      <w:tr w:rsidR="000818B3" w:rsidRPr="00246E1E" w14:paraId="59708A10"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1E636DEC" w14:textId="5DE177D6" w:rsidR="000818B3" w:rsidRPr="00246E1E" w:rsidRDefault="000818B3" w:rsidP="00A42D1A">
            <w:pPr>
              <w:pStyle w:val="Tabletexte"/>
              <w:jc w:val="left"/>
              <w:rPr>
                <w:lang w:bidi="ar-SA"/>
              </w:rPr>
            </w:pPr>
            <w:r w:rsidRPr="00F76C2B">
              <w:t>ALG</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677CC029" w14:textId="1CFDC85A" w:rsidR="000818B3" w:rsidRPr="00246E1E" w:rsidRDefault="000818B3" w:rsidP="000818B3">
            <w:pPr>
              <w:pStyle w:val="Tabletexte"/>
              <w:jc w:val="center"/>
              <w:rPr>
                <w:lang w:bidi="ar-SA"/>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7E4E566" w14:textId="2E05A8A4" w:rsidR="000818B3" w:rsidRPr="00246E1E" w:rsidRDefault="000818B3" w:rsidP="00A42D1A">
            <w:pPr>
              <w:pStyle w:val="Tabletexte"/>
              <w:jc w:val="left"/>
              <w:rPr>
                <w:lang w:bidi="ar-SA"/>
              </w:rPr>
            </w:pPr>
            <w:r w:rsidRPr="00F76C2B">
              <w:t>I</w:t>
            </w:r>
          </w:p>
        </w:tc>
        <w:tc>
          <w:tcPr>
            <w:tcW w:w="1830" w:type="dxa"/>
            <w:tcBorders>
              <w:top w:val="nil"/>
              <w:left w:val="nil"/>
              <w:bottom w:val="single" w:sz="4" w:space="0" w:color="auto"/>
              <w:right w:val="single" w:sz="4" w:space="0" w:color="auto"/>
            </w:tcBorders>
            <w:shd w:val="clear" w:color="auto" w:fill="auto"/>
            <w:noWrap/>
            <w:vAlign w:val="bottom"/>
          </w:tcPr>
          <w:p w14:paraId="6341413C" w14:textId="2C25E983" w:rsidR="000818B3" w:rsidRPr="00246E1E" w:rsidRDefault="000818B3" w:rsidP="000818B3">
            <w:pPr>
              <w:pStyle w:val="Tabletexte"/>
              <w:jc w:val="center"/>
              <w:rPr>
                <w:lang w:bidi="ar-SA"/>
              </w:rPr>
            </w:pPr>
            <w:r w:rsidRPr="00F76C2B">
              <w:t>1</w:t>
            </w:r>
          </w:p>
        </w:tc>
      </w:tr>
      <w:tr w:rsidR="000818B3" w:rsidRPr="00246E1E" w14:paraId="4C2E22E4"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4D6D7DE6" w14:textId="439948CB" w:rsidR="000818B3" w:rsidRPr="00246E1E" w:rsidRDefault="000818B3" w:rsidP="00A42D1A">
            <w:pPr>
              <w:pStyle w:val="Tabletexte"/>
              <w:jc w:val="left"/>
              <w:rPr>
                <w:lang w:bidi="ar-SA"/>
              </w:rPr>
            </w:pPr>
            <w:r w:rsidRPr="00F76C2B">
              <w:t>ARS/ARB</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7C83C495" w14:textId="5900032B" w:rsidR="000818B3" w:rsidRPr="00246E1E" w:rsidRDefault="000818B3" w:rsidP="000818B3">
            <w:pPr>
              <w:pStyle w:val="Tabletexte"/>
              <w:jc w:val="center"/>
              <w:rPr>
                <w:lang w:bidi="ar-SA"/>
              </w:rPr>
            </w:pPr>
            <w:r w:rsidRPr="00F76C2B">
              <w:t>7</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61974C6" w14:textId="6DF7E07C" w:rsidR="000818B3" w:rsidRPr="00246E1E" w:rsidRDefault="000818B3" w:rsidP="00A42D1A">
            <w:pPr>
              <w:pStyle w:val="Tabletexte"/>
              <w:jc w:val="left"/>
              <w:rPr>
                <w:lang w:bidi="ar-SA"/>
              </w:rPr>
            </w:pPr>
            <w:r w:rsidRPr="00F76C2B">
              <w:t>IRN</w:t>
            </w:r>
          </w:p>
        </w:tc>
        <w:tc>
          <w:tcPr>
            <w:tcW w:w="1830" w:type="dxa"/>
            <w:tcBorders>
              <w:top w:val="nil"/>
              <w:left w:val="nil"/>
              <w:bottom w:val="single" w:sz="4" w:space="0" w:color="auto"/>
              <w:right w:val="single" w:sz="4" w:space="0" w:color="auto"/>
            </w:tcBorders>
            <w:shd w:val="clear" w:color="auto" w:fill="auto"/>
            <w:noWrap/>
            <w:vAlign w:val="bottom"/>
          </w:tcPr>
          <w:p w14:paraId="79A1B874" w14:textId="1D44EEA8" w:rsidR="000818B3" w:rsidRPr="00246E1E" w:rsidRDefault="000818B3" w:rsidP="000818B3">
            <w:pPr>
              <w:pStyle w:val="Tabletexte"/>
              <w:jc w:val="center"/>
              <w:rPr>
                <w:lang w:bidi="ar-SA"/>
              </w:rPr>
            </w:pPr>
            <w:r w:rsidRPr="00F76C2B">
              <w:t>1</w:t>
            </w:r>
          </w:p>
        </w:tc>
      </w:tr>
      <w:tr w:rsidR="000818B3" w:rsidRPr="00246E1E" w14:paraId="5F0A797E"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0FD5C46" w14:textId="082E2872" w:rsidR="000818B3" w:rsidRPr="00246E1E" w:rsidRDefault="000818B3" w:rsidP="00A42D1A">
            <w:pPr>
              <w:pStyle w:val="Tabletexte"/>
              <w:jc w:val="left"/>
              <w:rPr>
                <w:lang w:bidi="ar-SA"/>
              </w:rPr>
            </w:pPr>
            <w:r w:rsidRPr="00F76C2B">
              <w:t>AUS</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32C99BEF" w14:textId="382B4FDD" w:rsidR="000818B3" w:rsidRPr="00246E1E" w:rsidRDefault="000818B3" w:rsidP="000818B3">
            <w:pPr>
              <w:pStyle w:val="Tabletexte"/>
              <w:jc w:val="center"/>
              <w:rPr>
                <w:lang w:bidi="ar-SA"/>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B6FE3A2" w14:textId="50A6CAC8" w:rsidR="000818B3" w:rsidRPr="00246E1E" w:rsidRDefault="000818B3" w:rsidP="00A42D1A">
            <w:pPr>
              <w:pStyle w:val="Tabletexte"/>
              <w:jc w:val="left"/>
              <w:rPr>
                <w:lang w:bidi="ar-SA"/>
              </w:rPr>
            </w:pPr>
            <w:r w:rsidRPr="00F76C2B">
              <w:t>J</w:t>
            </w:r>
          </w:p>
        </w:tc>
        <w:tc>
          <w:tcPr>
            <w:tcW w:w="1830" w:type="dxa"/>
            <w:tcBorders>
              <w:top w:val="nil"/>
              <w:left w:val="nil"/>
              <w:bottom w:val="single" w:sz="4" w:space="0" w:color="auto"/>
              <w:right w:val="single" w:sz="4" w:space="0" w:color="auto"/>
            </w:tcBorders>
            <w:shd w:val="clear" w:color="auto" w:fill="auto"/>
            <w:noWrap/>
            <w:vAlign w:val="bottom"/>
          </w:tcPr>
          <w:p w14:paraId="0E7CA674" w14:textId="01133C43" w:rsidR="000818B3" w:rsidRPr="00246E1E" w:rsidRDefault="000818B3" w:rsidP="000818B3">
            <w:pPr>
              <w:pStyle w:val="Tabletexte"/>
              <w:jc w:val="center"/>
              <w:rPr>
                <w:lang w:bidi="ar-SA"/>
              </w:rPr>
            </w:pPr>
            <w:r w:rsidRPr="00F76C2B">
              <w:t>7</w:t>
            </w:r>
          </w:p>
        </w:tc>
      </w:tr>
      <w:tr w:rsidR="000818B3" w:rsidRPr="00246E1E" w14:paraId="632A86F5"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FE3D04F" w14:textId="20283C84" w:rsidR="000818B3" w:rsidRPr="00246E1E" w:rsidRDefault="000818B3" w:rsidP="00A42D1A">
            <w:pPr>
              <w:pStyle w:val="Tabletexte"/>
              <w:jc w:val="left"/>
              <w:rPr>
                <w:lang w:bidi="ar-SA"/>
              </w:rPr>
            </w:pPr>
            <w:r w:rsidRPr="00F76C2B">
              <w:t>BUL</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51BB3200" w14:textId="04D4C1AC" w:rsidR="000818B3" w:rsidRPr="00246E1E" w:rsidRDefault="000818B3" w:rsidP="000818B3">
            <w:pPr>
              <w:pStyle w:val="Tabletexte"/>
              <w:jc w:val="center"/>
              <w:rPr>
                <w:lang w:bidi="ar-SA"/>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57A18E6" w14:textId="0C95B6EE" w:rsidR="000818B3" w:rsidRPr="00246E1E" w:rsidRDefault="000818B3" w:rsidP="00A42D1A">
            <w:pPr>
              <w:pStyle w:val="Tabletexte"/>
              <w:jc w:val="left"/>
              <w:rPr>
                <w:lang w:bidi="ar-SA"/>
              </w:rPr>
            </w:pPr>
            <w:r w:rsidRPr="00F76C2B">
              <w:t>KOR</w:t>
            </w:r>
          </w:p>
        </w:tc>
        <w:tc>
          <w:tcPr>
            <w:tcW w:w="1830" w:type="dxa"/>
            <w:tcBorders>
              <w:top w:val="nil"/>
              <w:left w:val="nil"/>
              <w:bottom w:val="single" w:sz="4" w:space="0" w:color="auto"/>
              <w:right w:val="single" w:sz="4" w:space="0" w:color="auto"/>
            </w:tcBorders>
            <w:shd w:val="clear" w:color="auto" w:fill="auto"/>
            <w:noWrap/>
            <w:vAlign w:val="bottom"/>
          </w:tcPr>
          <w:p w14:paraId="0819DC71" w14:textId="5A4CD0F3" w:rsidR="000818B3" w:rsidRPr="00246E1E" w:rsidRDefault="000818B3" w:rsidP="000818B3">
            <w:pPr>
              <w:pStyle w:val="Tabletexte"/>
              <w:jc w:val="center"/>
              <w:rPr>
                <w:lang w:bidi="ar-SA"/>
              </w:rPr>
            </w:pPr>
            <w:r w:rsidRPr="00F76C2B">
              <w:t>2</w:t>
            </w:r>
          </w:p>
        </w:tc>
      </w:tr>
      <w:tr w:rsidR="000818B3" w:rsidRPr="00246E1E" w14:paraId="02D6A670"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71884FC6" w14:textId="16F15FF4" w:rsidR="000818B3" w:rsidRPr="00246E1E" w:rsidRDefault="000818B3" w:rsidP="00A42D1A">
            <w:pPr>
              <w:pStyle w:val="Tabletexte"/>
              <w:jc w:val="left"/>
              <w:rPr>
                <w:lang w:bidi="ar-SA"/>
              </w:rPr>
            </w:pPr>
            <w:r w:rsidRPr="00F76C2B">
              <w:t>CHN</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156958EA" w14:textId="663F3E57" w:rsidR="000818B3" w:rsidRPr="00246E1E" w:rsidRDefault="000818B3" w:rsidP="000818B3">
            <w:pPr>
              <w:pStyle w:val="Tabletexte"/>
              <w:jc w:val="center"/>
              <w:rPr>
                <w:lang w:bidi="ar-SA"/>
              </w:rPr>
            </w:pPr>
            <w:r w:rsidRPr="00F76C2B">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584D7C3" w14:textId="09BB5D04" w:rsidR="000818B3" w:rsidRPr="00246E1E" w:rsidRDefault="000818B3" w:rsidP="00A42D1A">
            <w:pPr>
              <w:pStyle w:val="Tabletexte"/>
              <w:jc w:val="left"/>
              <w:rPr>
                <w:lang w:bidi="ar-SA"/>
              </w:rPr>
            </w:pPr>
            <w:r w:rsidRPr="00F76C2B">
              <w:t>LUX</w:t>
            </w:r>
          </w:p>
        </w:tc>
        <w:tc>
          <w:tcPr>
            <w:tcW w:w="1830" w:type="dxa"/>
            <w:tcBorders>
              <w:top w:val="nil"/>
              <w:left w:val="nil"/>
              <w:bottom w:val="single" w:sz="4" w:space="0" w:color="auto"/>
              <w:right w:val="single" w:sz="4" w:space="0" w:color="auto"/>
            </w:tcBorders>
            <w:shd w:val="clear" w:color="auto" w:fill="auto"/>
            <w:noWrap/>
            <w:vAlign w:val="bottom"/>
          </w:tcPr>
          <w:p w14:paraId="545603A5" w14:textId="426B64A2" w:rsidR="000818B3" w:rsidRPr="00246E1E" w:rsidRDefault="000818B3" w:rsidP="000818B3">
            <w:pPr>
              <w:pStyle w:val="Tabletexte"/>
              <w:jc w:val="center"/>
              <w:rPr>
                <w:lang w:bidi="ar-SA"/>
              </w:rPr>
            </w:pPr>
            <w:r w:rsidRPr="00F76C2B">
              <w:t>12</w:t>
            </w:r>
          </w:p>
        </w:tc>
      </w:tr>
      <w:tr w:rsidR="000818B3" w:rsidRPr="00246E1E" w14:paraId="56B8C405"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7FBBD3D3" w14:textId="06CB6D7E" w:rsidR="000818B3" w:rsidRPr="00246E1E" w:rsidRDefault="000818B3" w:rsidP="00A42D1A">
            <w:pPr>
              <w:pStyle w:val="Tabletexte"/>
              <w:jc w:val="left"/>
              <w:rPr>
                <w:lang w:bidi="ar-SA"/>
              </w:rPr>
            </w:pPr>
            <w:r w:rsidRPr="00F76C2B">
              <w:t>CYP</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63BA4E3F" w14:textId="7D9FE1C3" w:rsidR="000818B3" w:rsidRPr="00246E1E" w:rsidRDefault="000818B3" w:rsidP="000818B3">
            <w:pPr>
              <w:pStyle w:val="Tabletexte"/>
              <w:jc w:val="center"/>
              <w:rPr>
                <w:lang w:bidi="ar-SA"/>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D58BCBF" w14:textId="4A853E77" w:rsidR="000818B3" w:rsidRPr="00246E1E" w:rsidRDefault="000818B3" w:rsidP="00A42D1A">
            <w:pPr>
              <w:pStyle w:val="Tabletexte"/>
              <w:jc w:val="left"/>
              <w:rPr>
                <w:lang w:bidi="ar-SA"/>
              </w:rPr>
            </w:pPr>
            <w:r w:rsidRPr="00F76C2B">
              <w:t>MCO</w:t>
            </w:r>
          </w:p>
        </w:tc>
        <w:tc>
          <w:tcPr>
            <w:tcW w:w="1830" w:type="dxa"/>
            <w:tcBorders>
              <w:top w:val="nil"/>
              <w:left w:val="nil"/>
              <w:bottom w:val="single" w:sz="4" w:space="0" w:color="auto"/>
              <w:right w:val="single" w:sz="4" w:space="0" w:color="auto"/>
            </w:tcBorders>
            <w:shd w:val="clear" w:color="auto" w:fill="auto"/>
            <w:noWrap/>
            <w:vAlign w:val="bottom"/>
          </w:tcPr>
          <w:p w14:paraId="504DE0E0" w14:textId="25A15014" w:rsidR="000818B3" w:rsidRPr="00246E1E" w:rsidRDefault="000818B3" w:rsidP="000818B3">
            <w:pPr>
              <w:pStyle w:val="Tabletexte"/>
              <w:jc w:val="center"/>
              <w:rPr>
                <w:lang w:bidi="ar-SA"/>
              </w:rPr>
            </w:pPr>
            <w:r w:rsidRPr="00F76C2B">
              <w:t>3</w:t>
            </w:r>
          </w:p>
        </w:tc>
      </w:tr>
      <w:tr w:rsidR="000818B3" w:rsidRPr="00246E1E" w14:paraId="4BB563E7"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0944DB12" w14:textId="1817C3AA" w:rsidR="000818B3" w:rsidRPr="00246E1E" w:rsidRDefault="000818B3" w:rsidP="00A42D1A">
            <w:pPr>
              <w:pStyle w:val="Tabletexte"/>
              <w:jc w:val="left"/>
              <w:rPr>
                <w:lang w:bidi="ar-SA"/>
              </w:rPr>
            </w:pPr>
            <w:r w:rsidRPr="00F76C2B">
              <w:t>D</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3195008E" w14:textId="15FEFAF0" w:rsidR="000818B3" w:rsidRPr="00246E1E" w:rsidRDefault="000818B3" w:rsidP="000818B3">
            <w:pPr>
              <w:pStyle w:val="Tabletexte"/>
              <w:jc w:val="center"/>
              <w:rPr>
                <w:lang w:bidi="en-GB"/>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C431836" w14:textId="3E3EDE28" w:rsidR="000818B3" w:rsidRPr="00246E1E" w:rsidRDefault="000818B3" w:rsidP="00A42D1A">
            <w:pPr>
              <w:pStyle w:val="Tabletexte"/>
              <w:jc w:val="left"/>
              <w:rPr>
                <w:lang w:bidi="ar-SA"/>
              </w:rPr>
            </w:pPr>
            <w:r w:rsidRPr="00F76C2B">
              <w:t>MLA</w:t>
            </w:r>
          </w:p>
        </w:tc>
        <w:tc>
          <w:tcPr>
            <w:tcW w:w="1830" w:type="dxa"/>
            <w:tcBorders>
              <w:top w:val="nil"/>
              <w:left w:val="nil"/>
              <w:bottom w:val="single" w:sz="4" w:space="0" w:color="auto"/>
              <w:right w:val="single" w:sz="4" w:space="0" w:color="auto"/>
            </w:tcBorders>
            <w:shd w:val="clear" w:color="auto" w:fill="auto"/>
            <w:noWrap/>
            <w:vAlign w:val="bottom"/>
          </w:tcPr>
          <w:p w14:paraId="7504942C" w14:textId="25D8F01F" w:rsidR="000818B3" w:rsidRPr="00246E1E" w:rsidRDefault="000818B3" w:rsidP="000818B3">
            <w:pPr>
              <w:pStyle w:val="Tabletexte"/>
              <w:jc w:val="center"/>
              <w:rPr>
                <w:lang w:bidi="ar-SA"/>
              </w:rPr>
            </w:pPr>
            <w:r w:rsidRPr="00F76C2B">
              <w:t>1</w:t>
            </w:r>
          </w:p>
        </w:tc>
      </w:tr>
      <w:tr w:rsidR="000818B3" w:rsidRPr="00246E1E" w14:paraId="2AFC278C"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08C681F1" w14:textId="75243FA8" w:rsidR="000818B3" w:rsidRPr="00246E1E" w:rsidRDefault="000818B3" w:rsidP="00A42D1A">
            <w:pPr>
              <w:pStyle w:val="Tabletexte"/>
              <w:jc w:val="left"/>
              <w:rPr>
                <w:lang w:bidi="ar-SA"/>
              </w:rPr>
            </w:pPr>
            <w:r w:rsidRPr="00F76C2B">
              <w:t>E</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4273B90B" w14:textId="5C81433C" w:rsidR="000818B3" w:rsidRPr="00246E1E" w:rsidRDefault="000818B3" w:rsidP="000818B3">
            <w:pPr>
              <w:pStyle w:val="Tabletexte"/>
              <w:jc w:val="center"/>
              <w:rPr>
                <w:lang w:bidi="ar-SA"/>
              </w:rPr>
            </w:pPr>
            <w:r w:rsidRPr="00F76C2B">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C8EA134" w14:textId="41A75EB3" w:rsidR="000818B3" w:rsidRPr="00246E1E" w:rsidRDefault="000818B3" w:rsidP="00A42D1A">
            <w:pPr>
              <w:pStyle w:val="Tabletexte"/>
              <w:jc w:val="left"/>
              <w:rPr>
                <w:lang w:bidi="ar-SA"/>
              </w:rPr>
            </w:pPr>
            <w:r w:rsidRPr="00F76C2B">
              <w:t>NOR</w:t>
            </w:r>
          </w:p>
        </w:tc>
        <w:tc>
          <w:tcPr>
            <w:tcW w:w="1830" w:type="dxa"/>
            <w:tcBorders>
              <w:top w:val="nil"/>
              <w:left w:val="nil"/>
              <w:bottom w:val="single" w:sz="4" w:space="0" w:color="auto"/>
              <w:right w:val="single" w:sz="4" w:space="0" w:color="auto"/>
            </w:tcBorders>
            <w:shd w:val="clear" w:color="auto" w:fill="auto"/>
            <w:noWrap/>
            <w:vAlign w:val="bottom"/>
          </w:tcPr>
          <w:p w14:paraId="36CB294C" w14:textId="1ACEC1BF" w:rsidR="000818B3" w:rsidRPr="00246E1E" w:rsidRDefault="000818B3" w:rsidP="000818B3">
            <w:pPr>
              <w:pStyle w:val="Tabletexte"/>
              <w:jc w:val="center"/>
              <w:rPr>
                <w:lang w:bidi="ar-SA"/>
              </w:rPr>
            </w:pPr>
            <w:r w:rsidRPr="00F76C2B">
              <w:t>3</w:t>
            </w:r>
          </w:p>
        </w:tc>
      </w:tr>
      <w:tr w:rsidR="000818B3" w:rsidRPr="00246E1E" w14:paraId="2A68131C"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685DEA8" w14:textId="4C2957B5" w:rsidR="000818B3" w:rsidRPr="00246E1E" w:rsidRDefault="000818B3" w:rsidP="00A42D1A">
            <w:pPr>
              <w:pStyle w:val="Tabletexte"/>
              <w:jc w:val="left"/>
              <w:rPr>
                <w:lang w:bidi="ar-SA"/>
              </w:rPr>
            </w:pPr>
            <w:r w:rsidRPr="00F76C2B">
              <w:lastRenderedPageBreak/>
              <w:t>EGY</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78BBA0BB" w14:textId="2041548F" w:rsidR="000818B3" w:rsidRPr="00246E1E" w:rsidRDefault="000818B3" w:rsidP="000818B3">
            <w:pPr>
              <w:pStyle w:val="Tabletexte"/>
              <w:jc w:val="center"/>
              <w:rPr>
                <w:lang w:bidi="ar-SA"/>
              </w:rPr>
            </w:pPr>
            <w:r w:rsidRPr="00F76C2B">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1120DA2" w14:textId="456F8D76" w:rsidR="000818B3" w:rsidRPr="00246E1E" w:rsidRDefault="000818B3" w:rsidP="00A42D1A">
            <w:pPr>
              <w:pStyle w:val="Tabletexte"/>
              <w:jc w:val="left"/>
              <w:rPr>
                <w:lang w:bidi="ar-SA"/>
              </w:rPr>
            </w:pPr>
            <w:r w:rsidRPr="00F76C2B">
              <w:t>PNG</w:t>
            </w:r>
          </w:p>
        </w:tc>
        <w:tc>
          <w:tcPr>
            <w:tcW w:w="1830" w:type="dxa"/>
            <w:tcBorders>
              <w:top w:val="nil"/>
              <w:left w:val="nil"/>
              <w:bottom w:val="single" w:sz="4" w:space="0" w:color="auto"/>
              <w:right w:val="single" w:sz="4" w:space="0" w:color="auto"/>
            </w:tcBorders>
            <w:shd w:val="clear" w:color="auto" w:fill="auto"/>
            <w:noWrap/>
            <w:vAlign w:val="bottom"/>
          </w:tcPr>
          <w:p w14:paraId="3CA1E8AD" w14:textId="129951D9" w:rsidR="000818B3" w:rsidRPr="00246E1E" w:rsidRDefault="000818B3" w:rsidP="000818B3">
            <w:pPr>
              <w:pStyle w:val="Tabletexte"/>
              <w:jc w:val="center"/>
              <w:rPr>
                <w:lang w:bidi="ar-SA"/>
              </w:rPr>
            </w:pPr>
            <w:r w:rsidRPr="00F76C2B">
              <w:t>4</w:t>
            </w:r>
          </w:p>
        </w:tc>
      </w:tr>
      <w:tr w:rsidR="000818B3" w:rsidRPr="00246E1E" w14:paraId="65AC396C"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75B1DFFA" w14:textId="6C70A8F2" w:rsidR="000818B3" w:rsidRPr="00246E1E" w:rsidRDefault="000818B3" w:rsidP="00A42D1A">
            <w:pPr>
              <w:pStyle w:val="Tabletexte"/>
              <w:jc w:val="left"/>
              <w:rPr>
                <w:lang w:bidi="ar-SA"/>
              </w:rPr>
            </w:pPr>
            <w:r w:rsidRPr="00F76C2B">
              <w:t>F</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43EA6C9C" w14:textId="70C7F7E4" w:rsidR="000818B3" w:rsidRPr="00246E1E" w:rsidRDefault="000818B3" w:rsidP="000818B3">
            <w:pPr>
              <w:pStyle w:val="Tabletexte"/>
              <w:jc w:val="center"/>
              <w:rPr>
                <w:lang w:bidi="ar-SA"/>
              </w:rPr>
            </w:pPr>
            <w:r w:rsidRPr="00F76C2B">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3558101" w14:textId="72C93468" w:rsidR="000818B3" w:rsidRPr="00246E1E" w:rsidRDefault="000818B3" w:rsidP="00A42D1A">
            <w:pPr>
              <w:pStyle w:val="Tabletexte"/>
              <w:jc w:val="left"/>
              <w:rPr>
                <w:lang w:bidi="ar-SA"/>
              </w:rPr>
            </w:pPr>
            <w:r w:rsidRPr="00F76C2B">
              <w:t>RUS</w:t>
            </w:r>
          </w:p>
        </w:tc>
        <w:tc>
          <w:tcPr>
            <w:tcW w:w="1830" w:type="dxa"/>
            <w:tcBorders>
              <w:top w:val="nil"/>
              <w:left w:val="nil"/>
              <w:bottom w:val="single" w:sz="4" w:space="0" w:color="auto"/>
              <w:right w:val="single" w:sz="4" w:space="0" w:color="auto"/>
            </w:tcBorders>
            <w:shd w:val="clear" w:color="auto" w:fill="auto"/>
            <w:noWrap/>
            <w:vAlign w:val="bottom"/>
          </w:tcPr>
          <w:p w14:paraId="5242BF28" w14:textId="289DBB0E" w:rsidR="000818B3" w:rsidRPr="00246E1E" w:rsidRDefault="000818B3" w:rsidP="000818B3">
            <w:pPr>
              <w:pStyle w:val="Tabletexte"/>
              <w:jc w:val="center"/>
              <w:rPr>
                <w:lang w:bidi="ar-SA"/>
              </w:rPr>
            </w:pPr>
            <w:r w:rsidRPr="00F76C2B">
              <w:t>4</w:t>
            </w:r>
          </w:p>
        </w:tc>
      </w:tr>
      <w:tr w:rsidR="000818B3" w:rsidRPr="00246E1E" w14:paraId="1897E477"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1B23C08C" w14:textId="7EE4E725" w:rsidR="000818B3" w:rsidRPr="00246E1E" w:rsidRDefault="000818B3" w:rsidP="00A42D1A">
            <w:pPr>
              <w:pStyle w:val="Tabletexte"/>
              <w:jc w:val="left"/>
              <w:rPr>
                <w:lang w:bidi="ar-SA"/>
              </w:rPr>
            </w:pPr>
            <w:r w:rsidRPr="00F76C2B">
              <w:t>F/EUT</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459E8C4E" w14:textId="27DFEB1C" w:rsidR="000818B3" w:rsidRPr="00246E1E" w:rsidRDefault="000818B3" w:rsidP="000818B3">
            <w:pPr>
              <w:pStyle w:val="Tabletexte"/>
              <w:jc w:val="center"/>
              <w:rPr>
                <w:lang w:bidi="ar-SA"/>
              </w:rPr>
            </w:pPr>
            <w:r w:rsidRPr="00F76C2B">
              <w:t>8</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E79772E" w14:textId="6B3E504E" w:rsidR="000818B3" w:rsidRPr="00246E1E" w:rsidRDefault="000818B3" w:rsidP="00A42D1A">
            <w:pPr>
              <w:pStyle w:val="Tabletexte"/>
              <w:jc w:val="left"/>
              <w:rPr>
                <w:lang w:bidi="ar-SA"/>
              </w:rPr>
            </w:pPr>
            <w:r w:rsidRPr="00F76C2B">
              <w:t>RUS/IK</w:t>
            </w:r>
          </w:p>
        </w:tc>
        <w:tc>
          <w:tcPr>
            <w:tcW w:w="1830" w:type="dxa"/>
            <w:tcBorders>
              <w:top w:val="nil"/>
              <w:left w:val="nil"/>
              <w:bottom w:val="single" w:sz="4" w:space="0" w:color="auto"/>
              <w:right w:val="single" w:sz="4" w:space="0" w:color="auto"/>
            </w:tcBorders>
            <w:shd w:val="clear" w:color="auto" w:fill="auto"/>
            <w:noWrap/>
            <w:vAlign w:val="bottom"/>
          </w:tcPr>
          <w:p w14:paraId="44DE20AA" w14:textId="7ECF46FD" w:rsidR="000818B3" w:rsidRPr="00246E1E" w:rsidRDefault="000818B3" w:rsidP="000818B3">
            <w:pPr>
              <w:pStyle w:val="Tabletexte"/>
              <w:jc w:val="center"/>
              <w:rPr>
                <w:lang w:bidi="ar-SA"/>
              </w:rPr>
            </w:pPr>
            <w:r w:rsidRPr="00F76C2B">
              <w:t>4</w:t>
            </w:r>
          </w:p>
        </w:tc>
      </w:tr>
      <w:tr w:rsidR="000818B3" w:rsidRPr="00246E1E" w14:paraId="033A0A8D"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16246061" w14:textId="5A0EE101" w:rsidR="000818B3" w:rsidRPr="00246E1E" w:rsidRDefault="000818B3" w:rsidP="00A42D1A">
            <w:pPr>
              <w:pStyle w:val="Tabletexte"/>
              <w:jc w:val="left"/>
              <w:rPr>
                <w:lang w:bidi="ar-SA"/>
              </w:rPr>
            </w:pPr>
            <w:r w:rsidRPr="00F76C2B">
              <w:t>G</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0C923718" w14:textId="72450FC3" w:rsidR="000818B3" w:rsidRPr="00246E1E" w:rsidRDefault="000818B3" w:rsidP="000818B3">
            <w:pPr>
              <w:pStyle w:val="Tabletexte"/>
              <w:jc w:val="center"/>
              <w:rPr>
                <w:lang w:bidi="ar-SA"/>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0583CA1" w14:textId="1F21E20B" w:rsidR="000818B3" w:rsidRPr="00246E1E" w:rsidRDefault="000818B3" w:rsidP="00A42D1A">
            <w:pPr>
              <w:pStyle w:val="Tabletexte"/>
              <w:jc w:val="left"/>
              <w:rPr>
                <w:lang w:bidi="ar-SA"/>
              </w:rPr>
            </w:pPr>
            <w:r w:rsidRPr="00F76C2B">
              <w:t>S</w:t>
            </w:r>
          </w:p>
        </w:tc>
        <w:tc>
          <w:tcPr>
            <w:tcW w:w="1830" w:type="dxa"/>
            <w:tcBorders>
              <w:top w:val="nil"/>
              <w:left w:val="nil"/>
              <w:bottom w:val="single" w:sz="4" w:space="0" w:color="auto"/>
              <w:right w:val="single" w:sz="4" w:space="0" w:color="auto"/>
            </w:tcBorders>
            <w:shd w:val="clear" w:color="auto" w:fill="auto"/>
            <w:noWrap/>
            <w:vAlign w:val="bottom"/>
          </w:tcPr>
          <w:p w14:paraId="341ACD12" w14:textId="279A711E" w:rsidR="000818B3" w:rsidRPr="00246E1E" w:rsidRDefault="000818B3" w:rsidP="000818B3">
            <w:pPr>
              <w:pStyle w:val="Tabletexte"/>
              <w:jc w:val="center"/>
              <w:rPr>
                <w:lang w:bidi="ar-SA"/>
              </w:rPr>
            </w:pPr>
            <w:r w:rsidRPr="00F76C2B">
              <w:t>4</w:t>
            </w:r>
          </w:p>
        </w:tc>
      </w:tr>
      <w:tr w:rsidR="000818B3" w:rsidRPr="00246E1E" w14:paraId="00F530CA"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4B382FC" w14:textId="6D6175EB" w:rsidR="000818B3" w:rsidRPr="00246E1E" w:rsidRDefault="000818B3" w:rsidP="00A42D1A">
            <w:pPr>
              <w:pStyle w:val="Tabletexte"/>
              <w:jc w:val="left"/>
              <w:rPr>
                <w:lang w:bidi="ar-SA"/>
              </w:rPr>
            </w:pPr>
            <w:r w:rsidRPr="00F76C2B">
              <w:t>GRC</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55B4ED7E" w14:textId="4412AD03" w:rsidR="000818B3" w:rsidRPr="00246E1E" w:rsidRDefault="000818B3" w:rsidP="000818B3">
            <w:pPr>
              <w:pStyle w:val="Tabletexte"/>
              <w:jc w:val="center"/>
              <w:rPr>
                <w:lang w:bidi="ar-SA"/>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907D37E" w14:textId="36261EDA" w:rsidR="000818B3" w:rsidRPr="00246E1E" w:rsidRDefault="000818B3" w:rsidP="00A42D1A">
            <w:pPr>
              <w:pStyle w:val="Tabletexte"/>
              <w:jc w:val="left"/>
              <w:rPr>
                <w:lang w:bidi="ar-SA"/>
              </w:rPr>
            </w:pPr>
            <w:r w:rsidRPr="00F76C2B">
              <w:t>TUR</w:t>
            </w:r>
          </w:p>
        </w:tc>
        <w:tc>
          <w:tcPr>
            <w:tcW w:w="1830" w:type="dxa"/>
            <w:tcBorders>
              <w:top w:val="nil"/>
              <w:left w:val="nil"/>
              <w:bottom w:val="single" w:sz="4" w:space="0" w:color="auto"/>
              <w:right w:val="single" w:sz="4" w:space="0" w:color="auto"/>
            </w:tcBorders>
            <w:shd w:val="clear" w:color="auto" w:fill="auto"/>
            <w:noWrap/>
            <w:vAlign w:val="bottom"/>
          </w:tcPr>
          <w:p w14:paraId="5C493EA5" w14:textId="44B6FD78" w:rsidR="000818B3" w:rsidRPr="00246E1E" w:rsidRDefault="000818B3" w:rsidP="000818B3">
            <w:pPr>
              <w:pStyle w:val="Tabletexte"/>
              <w:jc w:val="center"/>
              <w:rPr>
                <w:lang w:bidi="ar-SA"/>
              </w:rPr>
            </w:pPr>
            <w:r w:rsidRPr="00F76C2B">
              <w:t>2</w:t>
            </w:r>
          </w:p>
        </w:tc>
      </w:tr>
      <w:tr w:rsidR="000818B3" w:rsidRPr="00246E1E" w14:paraId="47DB38C9" w14:textId="77777777" w:rsidTr="002C32A8">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595D57A0" w14:textId="599AEC07" w:rsidR="000818B3" w:rsidRPr="00246E1E" w:rsidRDefault="000818B3" w:rsidP="00A42D1A">
            <w:pPr>
              <w:pStyle w:val="Tabletexte"/>
              <w:jc w:val="left"/>
              <w:rPr>
                <w:lang w:bidi="ar-SA"/>
              </w:rPr>
            </w:pPr>
            <w:r w:rsidRPr="00F76C2B">
              <w:t>HOL</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6CF76F56" w14:textId="506481AB" w:rsidR="000818B3" w:rsidRPr="00246E1E" w:rsidRDefault="000818B3" w:rsidP="000818B3">
            <w:pPr>
              <w:pStyle w:val="Tabletexte"/>
              <w:jc w:val="center"/>
              <w:rPr>
                <w:lang w:bidi="ar-SA"/>
              </w:rPr>
            </w:pPr>
            <w:r w:rsidRPr="00F76C2B">
              <w:t>9</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B773638" w14:textId="3DA9FFAA" w:rsidR="000818B3" w:rsidRPr="00246E1E" w:rsidRDefault="000818B3" w:rsidP="00A42D1A">
            <w:pPr>
              <w:pStyle w:val="Tabletexte"/>
              <w:jc w:val="left"/>
              <w:rPr>
                <w:lang w:bidi="ar-SA"/>
              </w:rPr>
            </w:pPr>
            <w:r w:rsidRPr="00F76C2B">
              <w:t>UAE</w:t>
            </w:r>
          </w:p>
        </w:tc>
        <w:tc>
          <w:tcPr>
            <w:tcW w:w="1830" w:type="dxa"/>
            <w:tcBorders>
              <w:top w:val="nil"/>
              <w:left w:val="nil"/>
              <w:bottom w:val="single" w:sz="4" w:space="0" w:color="auto"/>
              <w:right w:val="single" w:sz="4" w:space="0" w:color="auto"/>
            </w:tcBorders>
            <w:shd w:val="clear" w:color="auto" w:fill="auto"/>
            <w:noWrap/>
            <w:vAlign w:val="bottom"/>
          </w:tcPr>
          <w:p w14:paraId="5767E579" w14:textId="51FF0135" w:rsidR="000818B3" w:rsidRPr="00246E1E" w:rsidRDefault="000818B3" w:rsidP="000818B3">
            <w:pPr>
              <w:pStyle w:val="Tabletexte"/>
              <w:jc w:val="center"/>
              <w:rPr>
                <w:lang w:bidi="ar-SA"/>
              </w:rPr>
            </w:pPr>
            <w:r w:rsidRPr="00F76C2B">
              <w:t>5</w:t>
            </w:r>
          </w:p>
        </w:tc>
      </w:tr>
    </w:tbl>
    <w:p w14:paraId="0AB569BB" w14:textId="576D2288" w:rsidR="00246E1E" w:rsidRDefault="000818B3" w:rsidP="006D1C78">
      <w:pPr>
        <w:pStyle w:val="Heading2"/>
        <w:rPr>
          <w:rtl/>
        </w:rPr>
      </w:pPr>
      <w:r>
        <w:t>5.1</w:t>
      </w:r>
      <w:r w:rsidR="00246E1E">
        <w:rPr>
          <w:rtl/>
        </w:rPr>
        <w:tab/>
        <w:t>الإدارات التي ليس لديها تخصيصات وطنية في الخطط</w:t>
      </w:r>
    </w:p>
    <w:p w14:paraId="6CA5E454" w14:textId="70BCB078" w:rsidR="00246E1E" w:rsidRDefault="00246E1E" w:rsidP="00A42D1A">
      <w:pPr>
        <w:rPr>
          <w:rtl/>
        </w:rPr>
      </w:pPr>
      <w:r>
        <w:rPr>
          <w:rtl/>
        </w:rPr>
        <w:t xml:space="preserve">في الإقليمين 1 و3، لا توجد تخصيصات في خطط التذييلين </w:t>
      </w:r>
      <w:r w:rsidR="000818B3" w:rsidRPr="000818B3">
        <w:rPr>
          <w:b/>
          <w:bCs/>
        </w:rPr>
        <w:t>30</w:t>
      </w:r>
      <w:r>
        <w:rPr>
          <w:rtl/>
        </w:rPr>
        <w:t xml:space="preserve"> </w:t>
      </w:r>
      <w:r w:rsidRPr="00A42D1A">
        <w:rPr>
          <w:b/>
          <w:bCs/>
          <w:rtl/>
        </w:rPr>
        <w:t>و</w:t>
      </w:r>
      <w:r w:rsidR="000818B3" w:rsidRPr="000818B3">
        <w:rPr>
          <w:b/>
          <w:bCs/>
        </w:rPr>
        <w:t>30A</w:t>
      </w:r>
      <w:r>
        <w:rPr>
          <w:rtl/>
        </w:rPr>
        <w:t xml:space="preserve"> إلا لإدارة الجبل الأسود (</w:t>
      </w:r>
      <w:r>
        <w:t>MNE</w:t>
      </w:r>
      <w:r>
        <w:rPr>
          <w:rtl/>
        </w:rPr>
        <w:t>).</w:t>
      </w:r>
    </w:p>
    <w:p w14:paraId="3335499A" w14:textId="09170D9A" w:rsidR="00246E1E" w:rsidRDefault="00246E1E" w:rsidP="00A42D1A">
      <w:pPr>
        <w:rPr>
          <w:rtl/>
        </w:rPr>
      </w:pPr>
      <w:r>
        <w:rPr>
          <w:rtl/>
        </w:rPr>
        <w:t>وإذا طلبت إدارة الجبل الأسود إدراج تخصيصات في الخطط، فإن المكتب ينصحها بتطبيق الإجراء الوارد في المادة 4 من ‏التذييلين</w:t>
      </w:r>
      <w:r w:rsidR="00A42D1A">
        <w:rPr>
          <w:rFonts w:hint="cs"/>
          <w:rtl/>
        </w:rPr>
        <w:t> </w:t>
      </w:r>
      <w:r w:rsidR="006D1C78" w:rsidRPr="000818B3">
        <w:rPr>
          <w:b/>
          <w:bCs/>
        </w:rPr>
        <w:t>30</w:t>
      </w:r>
      <w:r w:rsidR="006D1C78">
        <w:rPr>
          <w:rtl/>
        </w:rPr>
        <w:t xml:space="preserve"> </w:t>
      </w:r>
      <w:r w:rsidR="006D1C78" w:rsidRPr="00A42D1A">
        <w:rPr>
          <w:b/>
          <w:bCs/>
          <w:rtl/>
        </w:rPr>
        <w:t>و</w:t>
      </w:r>
      <w:r w:rsidR="006D1C78" w:rsidRPr="000818B3">
        <w:rPr>
          <w:b/>
          <w:bCs/>
        </w:rPr>
        <w:t>30A</w:t>
      </w:r>
      <w:r>
        <w:rPr>
          <w:rtl/>
        </w:rPr>
        <w:t xml:space="preserve">‏ للحصول على تخصيصات تردد جديدة في قوائم الاستعمالات الإضافية فوق أراضيها الوطنية. ‏وتبعاً لذلك، يمكن لإدارة الجبل الأسود تطبيق الفقرة 26.1.4 من المادة 4 لتطلب من المؤتمر التالي إدراج تخصيصاته في ‏خطط التذييلين </w:t>
      </w:r>
      <w:r w:rsidR="006D1C78" w:rsidRPr="000818B3">
        <w:rPr>
          <w:b/>
          <w:bCs/>
        </w:rPr>
        <w:t>30</w:t>
      </w:r>
      <w:r w:rsidR="006D1C78">
        <w:rPr>
          <w:rtl/>
        </w:rPr>
        <w:t xml:space="preserve"> </w:t>
      </w:r>
      <w:r w:rsidR="006D1C78" w:rsidRPr="00A42D1A">
        <w:rPr>
          <w:b/>
          <w:bCs/>
          <w:rtl/>
        </w:rPr>
        <w:t>و</w:t>
      </w:r>
      <w:r w:rsidR="006D1C78" w:rsidRPr="000818B3">
        <w:rPr>
          <w:b/>
          <w:bCs/>
        </w:rPr>
        <w:t>30A</w:t>
      </w:r>
      <w:r>
        <w:rPr>
          <w:rtl/>
        </w:rPr>
        <w:t xml:space="preserve">‏.‏ ووفقاً لقرار المؤتمر </w:t>
      </w:r>
      <w:r>
        <w:t>WRC-23</w:t>
      </w:r>
      <w:r>
        <w:rPr>
          <w:rtl/>
        </w:rPr>
        <w:t xml:space="preserve">، يمكن لإدارة الجبل الأسود تطبيق جميع التدابير التي أقرها المؤتمر </w:t>
      </w:r>
      <w:r>
        <w:t>WRC-23</w:t>
      </w:r>
      <w:r>
        <w:rPr>
          <w:rtl/>
        </w:rPr>
        <w:t xml:space="preserve"> فيما يتعلق بالقرار</w:t>
      </w:r>
      <w:r w:rsidR="00A42D1A">
        <w:rPr>
          <w:rFonts w:hint="eastAsia"/>
          <w:rtl/>
          <w:lang w:bidi="ar-EG"/>
        </w:rPr>
        <w:t> </w:t>
      </w:r>
      <w:r w:rsidR="006D1C78" w:rsidRPr="00696387">
        <w:rPr>
          <w:b/>
          <w:bCs/>
          <w:lang w:bidi="ar-EG"/>
        </w:rPr>
        <w:t>559 </w:t>
      </w:r>
      <w:r w:rsidR="00696387" w:rsidRPr="00696387">
        <w:rPr>
          <w:b/>
          <w:bCs/>
          <w:lang w:bidi="ar-EG"/>
        </w:rPr>
        <w:t>(WRC-19)</w:t>
      </w:r>
      <w:r>
        <w:rPr>
          <w:rtl/>
        </w:rPr>
        <w:t xml:space="preserve"> على طلبها لتخصيصات جديدة في خطة الإقليمين 1 و3.</w:t>
      </w:r>
    </w:p>
    <w:p w14:paraId="4C473B8A" w14:textId="67399A02" w:rsidR="00246E1E" w:rsidRDefault="00696387" w:rsidP="00696387">
      <w:pPr>
        <w:pStyle w:val="Heading1"/>
        <w:rPr>
          <w:rtl/>
        </w:rPr>
      </w:pPr>
      <w:r>
        <w:t>2</w:t>
      </w:r>
      <w:r w:rsidR="00246E1E">
        <w:rPr>
          <w:rtl/>
        </w:rPr>
        <w:tab/>
        <w:t xml:space="preserve">حالة الخطط التي يحكمها التذييلان </w:t>
      </w:r>
      <w:r>
        <w:t>30</w:t>
      </w:r>
      <w:r w:rsidR="00246E1E">
        <w:rPr>
          <w:rtl/>
        </w:rPr>
        <w:t xml:space="preserve"> و</w:t>
      </w:r>
      <w:r>
        <w:t>30A</w:t>
      </w:r>
      <w:r w:rsidR="00246E1E">
        <w:rPr>
          <w:rtl/>
        </w:rPr>
        <w:t xml:space="preserve"> للوائح الراديو في الإقليم 2</w:t>
      </w:r>
    </w:p>
    <w:p w14:paraId="63C40176" w14:textId="09372E76" w:rsidR="00246E1E" w:rsidRDefault="00696387" w:rsidP="00696387">
      <w:pPr>
        <w:pStyle w:val="Heading2"/>
        <w:rPr>
          <w:rtl/>
        </w:rPr>
      </w:pPr>
      <w:r>
        <w:t>1.2</w:t>
      </w:r>
      <w:r w:rsidR="00246E1E">
        <w:rPr>
          <w:rtl/>
        </w:rPr>
        <w:tab/>
        <w:t>نظرة عامة</w:t>
      </w:r>
    </w:p>
    <w:p w14:paraId="7178EE05" w14:textId="41856D7A" w:rsidR="00246E1E" w:rsidRDefault="00246E1E" w:rsidP="00246E1E">
      <w:pPr>
        <w:rPr>
          <w:rtl/>
        </w:rPr>
      </w:pPr>
      <w:r>
        <w:rPr>
          <w:rtl/>
        </w:rPr>
        <w:t xml:space="preserve">خطة التذييل </w:t>
      </w:r>
      <w:r w:rsidR="00696387" w:rsidRPr="00696387">
        <w:rPr>
          <w:b/>
          <w:bCs/>
        </w:rPr>
        <w:t>30</w:t>
      </w:r>
      <w:r>
        <w:rPr>
          <w:rtl/>
        </w:rPr>
        <w:t xml:space="preserve"> في الإقليم 2 هي خطة للخدمة الإذاعية الساتلية ‏(الوصلة الهابطة) في نطاق التردد ‏</w:t>
      </w:r>
      <w:r>
        <w:rPr>
          <w:cs/>
        </w:rPr>
        <w:t>‎</w:t>
      </w:r>
      <w:r>
        <w:t>12,2</w:t>
      </w:r>
      <w:r>
        <w:rPr>
          <w:cs/>
        </w:rPr>
        <w:t>‎</w:t>
      </w:r>
      <w:r>
        <w:rPr>
          <w:rtl/>
        </w:rPr>
        <w:t>‏-‏</w:t>
      </w:r>
      <w:r>
        <w:rPr>
          <w:cs/>
        </w:rPr>
        <w:t>‎</w:t>
      </w:r>
      <w:r>
        <w:t>12,7</w:t>
      </w:r>
      <w:r>
        <w:rPr>
          <w:cs/>
        </w:rPr>
        <w:t>‎</w:t>
      </w:r>
      <w:r>
        <w:rPr>
          <w:rtl/>
        </w:rPr>
        <w:t>‏ ‏</w:t>
      </w:r>
      <w:r>
        <w:t>GHz</w:t>
      </w:r>
      <w:r>
        <w:rPr>
          <w:rtl/>
        </w:rPr>
        <w:t>‏ ‏في الإقليم</w:t>
      </w:r>
      <w:r w:rsidR="00696387">
        <w:rPr>
          <w:rFonts w:hint="cs"/>
          <w:rtl/>
        </w:rPr>
        <w:t> </w:t>
      </w:r>
      <w:r>
        <w:rPr>
          <w:rtl/>
        </w:rPr>
        <w:t>2، إلى جانب التعديلات الناتجة عن التطبيق الناجح لإجراءات المادة 4 من ذلك التذييل. وخطة التذييل ‏</w:t>
      </w:r>
      <w:r>
        <w:rPr>
          <w:cs/>
        </w:rPr>
        <w:t>‎</w:t>
      </w:r>
      <w:r w:rsidRPr="00696387">
        <w:rPr>
          <w:b/>
          <w:bCs/>
        </w:rPr>
        <w:t>30A</w:t>
      </w:r>
      <w:r>
        <w:rPr>
          <w:cs/>
        </w:rPr>
        <w:t>‎</w:t>
      </w:r>
      <w:r>
        <w:rPr>
          <w:rtl/>
        </w:rPr>
        <w:t>‏ في ‏الإقليم 2 هي خطة لوصلات التغذية في الخدمة ‏</w:t>
      </w:r>
      <w:r>
        <w:t>BSS</w:t>
      </w:r>
      <w:r>
        <w:rPr>
          <w:rtl/>
        </w:rPr>
        <w:t>‏ في نطاق التردد ‏</w:t>
      </w:r>
      <w:r>
        <w:rPr>
          <w:cs/>
        </w:rPr>
        <w:t>‎</w:t>
      </w:r>
      <w:r>
        <w:t>17,3</w:t>
      </w:r>
      <w:r>
        <w:rPr>
          <w:cs/>
        </w:rPr>
        <w:t>‎</w:t>
      </w:r>
      <w:r>
        <w:rPr>
          <w:rtl/>
        </w:rPr>
        <w:t>‏-‏</w:t>
      </w:r>
      <w:r>
        <w:rPr>
          <w:cs/>
        </w:rPr>
        <w:t>‎</w:t>
      </w:r>
      <w:r>
        <w:t>17,8</w:t>
      </w:r>
      <w:r>
        <w:rPr>
          <w:cs/>
        </w:rPr>
        <w:t>‎</w:t>
      </w:r>
      <w:r>
        <w:rPr>
          <w:rtl/>
        </w:rPr>
        <w:t>‏ ‏</w:t>
      </w:r>
      <w:r>
        <w:t>GHz</w:t>
      </w:r>
      <w:r>
        <w:rPr>
          <w:rtl/>
        </w:rPr>
        <w:t>‏ في الإقليم 2.‏</w:t>
      </w:r>
    </w:p>
    <w:p w14:paraId="47503412" w14:textId="01DF2469" w:rsidR="00246E1E" w:rsidRDefault="00246E1E" w:rsidP="00A42D1A">
      <w:pPr>
        <w:rPr>
          <w:rtl/>
        </w:rPr>
      </w:pPr>
      <w:r>
        <w:rPr>
          <w:rtl/>
        </w:rPr>
        <w:t>ولا تستخدم الخطط في الإقليم 2 مفاهيم الاستعمال الإضافي والقائمة. بيد أنه يمكن لإدارات الإقليم 2 تطبيق إجراءات المادة</w:t>
      </w:r>
      <w:r w:rsidR="00E53BF5">
        <w:rPr>
          <w:rFonts w:hint="cs"/>
          <w:rtl/>
        </w:rPr>
        <w:t> </w:t>
      </w:r>
      <w:r>
        <w:rPr>
          <w:rtl/>
        </w:rPr>
        <w:t xml:space="preserve">4 في التذييلين </w:t>
      </w:r>
      <w:r w:rsidRPr="00696387">
        <w:rPr>
          <w:b/>
          <w:bCs/>
          <w:rtl/>
        </w:rPr>
        <w:t>30</w:t>
      </w:r>
      <w:r>
        <w:rPr>
          <w:rtl/>
        </w:rPr>
        <w:t xml:space="preserve"> </w:t>
      </w:r>
      <w:r w:rsidRPr="00A42D1A">
        <w:rPr>
          <w:b/>
          <w:bCs/>
          <w:rtl/>
        </w:rPr>
        <w:t>و</w:t>
      </w:r>
      <w:r w:rsidRPr="00A42D1A">
        <w:rPr>
          <w:b/>
          <w:bCs/>
          <w:cs/>
        </w:rPr>
        <w:t>‎</w:t>
      </w:r>
      <w:r w:rsidRPr="00A42D1A">
        <w:rPr>
          <w:b/>
          <w:bCs/>
        </w:rPr>
        <w:t>30A</w:t>
      </w:r>
      <w:r>
        <w:rPr>
          <w:cs/>
        </w:rPr>
        <w:t>‎</w:t>
      </w:r>
      <w:r>
        <w:rPr>
          <w:rtl/>
        </w:rPr>
        <w:t>‏ لتضمين تخصيص جديد في خطط الإقليم ‏‏2 حتى في مواقع مدارية مختلفة و/أو بتغطية أوسع ومناطق خدمة أوسع مما في الأراضي الوطنية للإدارة الطالبة.‏</w:t>
      </w:r>
    </w:p>
    <w:p w14:paraId="6AEA72EC" w14:textId="77777777" w:rsidR="00246E1E" w:rsidRDefault="00246E1E" w:rsidP="00246E1E">
      <w:pPr>
        <w:rPr>
          <w:rtl/>
        </w:rPr>
      </w:pPr>
      <w:r>
        <w:rPr>
          <w:rtl/>
        </w:rPr>
        <w:t>ولدى جميع إدارات الإقليم 2 بند واحد على الأقل مدرج في خطط الإقليم 2.‏</w:t>
      </w:r>
    </w:p>
    <w:p w14:paraId="3F47C683" w14:textId="2D0AB702" w:rsidR="00246E1E" w:rsidRPr="00F56F10" w:rsidRDefault="00246E1E" w:rsidP="00246E1E">
      <w:pPr>
        <w:rPr>
          <w:spacing w:val="-2"/>
          <w:rtl/>
        </w:rPr>
      </w:pPr>
      <w:r w:rsidRPr="00F56F10">
        <w:rPr>
          <w:spacing w:val="-2"/>
          <w:rtl/>
        </w:rPr>
        <w:t>وتتمثل الحالة المرجعية لتخصيص ما مدرج في خطط الإقليم 2 بواسطة هامش الحماية المكافئة الإجمالي (‏</w:t>
      </w:r>
      <w:r w:rsidRPr="00F56F10">
        <w:rPr>
          <w:spacing w:val="-2"/>
        </w:rPr>
        <w:t>OEPM</w:t>
      </w:r>
      <w:r w:rsidRPr="00F56F10">
        <w:rPr>
          <w:spacing w:val="-2"/>
          <w:rtl/>
        </w:rPr>
        <w:t>‏)، ‏والذي يجمع قيم ‏هامش الحماية المكافئة‏ في كل من الوصلة الهابطة ووصلة التغذية الصاعدة على السواء.</w:t>
      </w:r>
    </w:p>
    <w:p w14:paraId="3F977651" w14:textId="706591B2" w:rsidR="00246E1E" w:rsidRDefault="00696387" w:rsidP="00696387">
      <w:pPr>
        <w:pStyle w:val="Heading2"/>
        <w:rPr>
          <w:rtl/>
        </w:rPr>
      </w:pPr>
      <w:r>
        <w:rPr>
          <w:rFonts w:hint="cs"/>
          <w:rtl/>
        </w:rPr>
        <w:t>2.2</w:t>
      </w:r>
      <w:r w:rsidR="00246E1E">
        <w:rPr>
          <w:rtl/>
        </w:rPr>
        <w:tab/>
        <w:t>الحالة المرجعية للتخصيصات الوطنية المخطط لها</w:t>
      </w:r>
    </w:p>
    <w:p w14:paraId="30A2DC64" w14:textId="0F1B8792" w:rsidR="00246E1E" w:rsidRDefault="00246E1E" w:rsidP="00696387">
      <w:pPr>
        <w:rPr>
          <w:rtl/>
        </w:rPr>
      </w:pPr>
      <w:r>
        <w:rPr>
          <w:rtl/>
        </w:rPr>
        <w:t>يوضح الجدول 6 أدناه الحالة المرجعية، من حيث القيم الدنيا والقصوى للهامش ‏</w:t>
      </w:r>
      <w:r>
        <w:t>OEPM</w:t>
      </w:r>
      <w:r>
        <w:rPr>
          <w:rtl/>
        </w:rPr>
        <w:t>، لتخصيصات خطط الإقليم 2 ‏استناداً إلى البيانات الواردة في النشرة الإعلامية الدولية للترددات ‏</w:t>
      </w:r>
      <w:r w:rsidR="00696387" w:rsidRPr="00696387">
        <w:rPr>
          <w:bCs/>
          <w:lang w:val="en-GB"/>
        </w:rPr>
        <w:t>BR IFIC 3015</w:t>
      </w:r>
      <w:r>
        <w:rPr>
          <w:rtl/>
        </w:rPr>
        <w:t xml:space="preserve"> بتاريخ 20 فبراير 2024.‏</w:t>
      </w:r>
    </w:p>
    <w:p w14:paraId="23701DA0" w14:textId="77777777" w:rsidR="00246E1E" w:rsidRDefault="00246E1E" w:rsidP="00696387">
      <w:pPr>
        <w:pStyle w:val="TableNo"/>
        <w:rPr>
          <w:rtl/>
        </w:rPr>
      </w:pPr>
      <w:r>
        <w:rPr>
          <w:rtl/>
        </w:rPr>
        <w:t>الجدول 6</w:t>
      </w:r>
    </w:p>
    <w:p w14:paraId="1F2D56F9" w14:textId="698A3403" w:rsidR="00246E1E" w:rsidRDefault="00246E1E" w:rsidP="00362112">
      <w:pPr>
        <w:pStyle w:val="Tabletitle"/>
        <w:rPr>
          <w:rtl/>
        </w:rPr>
      </w:pPr>
      <w:r>
        <w:rPr>
          <w:rtl/>
        </w:rPr>
        <w:t>الحالة المرجعية للتخصيصات في خطط الإقليم 2</w:t>
      </w:r>
    </w:p>
    <w:p w14:paraId="296E4BC0" w14:textId="1E64D936" w:rsidR="00246E1E" w:rsidRPr="00362112" w:rsidRDefault="005F5169" w:rsidP="00362112">
      <w:pPr>
        <w:spacing w:after="240"/>
        <w:jc w:val="center"/>
        <w:rPr>
          <w:b/>
          <w:bCs/>
          <w:rtl/>
        </w:rPr>
      </w:pPr>
      <w:hyperlink r:id="rId18" w:history="1">
        <w:r w:rsidR="00246E1E" w:rsidRPr="00362112">
          <w:rPr>
            <w:rStyle w:val="Hyperlink"/>
            <w:b/>
            <w:bCs/>
            <w:rtl/>
          </w:rPr>
          <w:t>انظر الجدول 6 هنا</w:t>
        </w:r>
      </w:hyperlink>
    </w:p>
    <w:p w14:paraId="0E6CF435" w14:textId="77777777" w:rsidR="00246E1E" w:rsidRDefault="00246E1E" w:rsidP="00F56F10">
      <w:pPr>
        <w:pStyle w:val="Parttitle"/>
        <w:rPr>
          <w:rtl/>
        </w:rPr>
      </w:pPr>
      <w:r>
        <w:rPr>
          <w:rtl/>
        </w:rPr>
        <w:lastRenderedPageBreak/>
        <w:t>الجزء الثاني - خطة الخدمة الثابتة الساتلية في التذييل ‏</w:t>
      </w:r>
      <w:r>
        <w:rPr>
          <w:cs/>
        </w:rPr>
        <w:t>‎</w:t>
      </w:r>
      <w:r>
        <w:t>30B</w:t>
      </w:r>
      <w:r>
        <w:rPr>
          <w:cs/>
        </w:rPr>
        <w:t>‎</w:t>
      </w:r>
    </w:p>
    <w:p w14:paraId="04E147D6" w14:textId="1FF27753" w:rsidR="00246E1E" w:rsidRDefault="00246E1E" w:rsidP="00F56F10">
      <w:pPr>
        <w:pStyle w:val="Heading1"/>
        <w:rPr>
          <w:rtl/>
        </w:rPr>
      </w:pPr>
      <w:r>
        <w:rPr>
          <w:rtl/>
        </w:rPr>
        <w:t>1</w:t>
      </w:r>
      <w:r>
        <w:rPr>
          <w:rtl/>
        </w:rPr>
        <w:tab/>
        <w:t>لمحة عامة</w:t>
      </w:r>
    </w:p>
    <w:p w14:paraId="518D8128" w14:textId="58CBA64A" w:rsidR="00246E1E" w:rsidRDefault="00246E1E" w:rsidP="00A42D1A">
      <w:pPr>
        <w:rPr>
          <w:rtl/>
        </w:rPr>
      </w:pPr>
      <w:r>
        <w:rPr>
          <w:rtl/>
        </w:rPr>
        <w:t>خطة الخدمة الثابتة الساتلية (</w:t>
      </w:r>
      <w:r>
        <w:t>FSS</w:t>
      </w:r>
      <w:r>
        <w:rPr>
          <w:rtl/>
        </w:rPr>
        <w:t xml:space="preserve">) الواردة في التذييل </w:t>
      </w:r>
      <w:r w:rsidR="005C56AC" w:rsidRPr="005C56AC">
        <w:rPr>
          <w:b/>
          <w:bCs/>
        </w:rPr>
        <w:t>30B</w:t>
      </w:r>
      <w:r>
        <w:rPr>
          <w:rtl/>
        </w:rPr>
        <w:t xml:space="preserve"> هي خطة تعيين. وقد اعتمدها المؤتمر الإداري العالمي للراديو لعام</w:t>
      </w:r>
      <w:r w:rsidR="00F56F10">
        <w:rPr>
          <w:rFonts w:hint="cs"/>
          <w:rtl/>
        </w:rPr>
        <w:t> </w:t>
      </w:r>
      <w:r>
        <w:rPr>
          <w:rtl/>
        </w:rPr>
        <w:t>1988 (‏</w:t>
      </w:r>
      <w:r>
        <w:t>WARC Orb-88</w:t>
      </w:r>
      <w:r>
        <w:rPr>
          <w:cs/>
        </w:rPr>
        <w:t>‎</w:t>
      </w:r>
      <w:r>
        <w:rPr>
          <w:rtl/>
        </w:rPr>
        <w:t>‏) في نطاقات التردد ‏</w:t>
      </w:r>
      <w:r>
        <w:rPr>
          <w:cs/>
        </w:rPr>
        <w:t>‎</w:t>
      </w:r>
      <w:r>
        <w:t>4 500</w:t>
      </w:r>
      <w:r>
        <w:rPr>
          <w:cs/>
        </w:rPr>
        <w:t>‎</w:t>
      </w:r>
      <w:r>
        <w:rPr>
          <w:rtl/>
        </w:rPr>
        <w:t>‏-‏</w:t>
      </w:r>
      <w:r>
        <w:rPr>
          <w:cs/>
        </w:rPr>
        <w:t>‎</w:t>
      </w:r>
      <w:r>
        <w:t>4 800</w:t>
      </w:r>
      <w:r>
        <w:rPr>
          <w:cs/>
        </w:rPr>
        <w:t>‎</w:t>
      </w:r>
      <w:r>
        <w:rPr>
          <w:rtl/>
        </w:rPr>
        <w:t>‏ ‏</w:t>
      </w:r>
      <w:r>
        <w:t>MHz</w:t>
      </w:r>
      <w:r>
        <w:rPr>
          <w:rtl/>
        </w:rPr>
        <w:t>‏ ‏‏(فضاء-أرض)، و‏</w:t>
      </w:r>
      <w:r>
        <w:rPr>
          <w:cs/>
        </w:rPr>
        <w:t>‎</w:t>
      </w:r>
      <w:r>
        <w:t>6 725</w:t>
      </w:r>
      <w:r>
        <w:rPr>
          <w:cs/>
        </w:rPr>
        <w:t>‎</w:t>
      </w:r>
      <w:r>
        <w:rPr>
          <w:rtl/>
        </w:rPr>
        <w:t>‏-‏</w:t>
      </w:r>
      <w:r>
        <w:rPr>
          <w:cs/>
        </w:rPr>
        <w:t>‎</w:t>
      </w:r>
      <w:r>
        <w:t>7 025</w:t>
      </w:r>
      <w:r>
        <w:rPr>
          <w:cs/>
        </w:rPr>
        <w:t>‎</w:t>
      </w:r>
      <w:r>
        <w:rPr>
          <w:rtl/>
        </w:rPr>
        <w:t>‏ ‏</w:t>
      </w:r>
      <w:r>
        <w:t>MHz</w:t>
      </w:r>
      <w:r>
        <w:rPr>
          <w:rtl/>
        </w:rPr>
        <w:t>‏ (أرض-فضاء)، و‏</w:t>
      </w:r>
      <w:r>
        <w:t>GHz</w:t>
      </w:r>
      <w:r w:rsidR="005C56AC">
        <w:t> 10</w:t>
      </w:r>
      <w:r w:rsidR="00756EC8">
        <w:t>,95</w:t>
      </w:r>
      <w:r w:rsidR="00756EC8">
        <w:noBreakHyphen/>
        <w:t>10,70</w:t>
      </w:r>
      <w:r>
        <w:rPr>
          <w:rtl/>
        </w:rPr>
        <w:t>‏ (فضاء-أرض) و</w:t>
      </w:r>
      <w:r>
        <w:rPr>
          <w:cs/>
        </w:rPr>
        <w:t>‎</w:t>
      </w:r>
      <w:r>
        <w:t>11,20</w:t>
      </w:r>
      <w:r>
        <w:rPr>
          <w:cs/>
        </w:rPr>
        <w:t>‎</w:t>
      </w:r>
      <w:r>
        <w:rPr>
          <w:rtl/>
        </w:rPr>
        <w:t>‏-‏</w:t>
      </w:r>
      <w:r>
        <w:rPr>
          <w:cs/>
        </w:rPr>
        <w:t>‎</w:t>
      </w:r>
      <w:r>
        <w:t>11,45</w:t>
      </w:r>
      <w:r>
        <w:rPr>
          <w:cs/>
        </w:rPr>
        <w:t>‎</w:t>
      </w:r>
      <w:r>
        <w:rPr>
          <w:rtl/>
        </w:rPr>
        <w:t>‏ ‏</w:t>
      </w:r>
      <w:r>
        <w:t>GHz</w:t>
      </w:r>
      <w:r>
        <w:rPr>
          <w:rtl/>
        </w:rPr>
        <w:t>‏ (فضاء-‏أرض) و</w:t>
      </w:r>
      <w:r>
        <w:rPr>
          <w:cs/>
        </w:rPr>
        <w:t>‎</w:t>
      </w:r>
      <w:r>
        <w:t>12,75</w:t>
      </w:r>
      <w:r>
        <w:rPr>
          <w:cs/>
        </w:rPr>
        <w:t>‎</w:t>
      </w:r>
      <w:r>
        <w:rPr>
          <w:rtl/>
        </w:rPr>
        <w:t>‏-‏</w:t>
      </w:r>
      <w:r>
        <w:rPr>
          <w:cs/>
        </w:rPr>
        <w:t>‎</w:t>
      </w:r>
      <w:r>
        <w:t>13,25</w:t>
      </w:r>
      <w:r>
        <w:rPr>
          <w:cs/>
        </w:rPr>
        <w:t>‎</w:t>
      </w:r>
      <w:r>
        <w:rPr>
          <w:rtl/>
        </w:rPr>
        <w:t>‏ ‏</w:t>
      </w:r>
      <w:r>
        <w:t>GHz</w:t>
      </w:r>
      <w:r>
        <w:rPr>
          <w:rtl/>
        </w:rPr>
        <w:t>‏ (أرض-فضاء).‏</w:t>
      </w:r>
    </w:p>
    <w:p w14:paraId="3CA0C003" w14:textId="77777777" w:rsidR="00246E1E" w:rsidRDefault="00246E1E" w:rsidP="00F56F10">
      <w:pPr>
        <w:keepNext/>
        <w:keepLines/>
        <w:rPr>
          <w:rtl/>
        </w:rPr>
      </w:pPr>
      <w:r>
        <w:rPr>
          <w:rtl/>
        </w:rPr>
        <w:t>ويشمل كل تعيين وطني في الخطة ما يلي:</w:t>
      </w:r>
    </w:p>
    <w:p w14:paraId="7DF2FCD1" w14:textId="51772E21" w:rsidR="00246E1E" w:rsidRDefault="00756EC8" w:rsidP="00F56F10">
      <w:pPr>
        <w:pStyle w:val="enumlev1"/>
        <w:keepNext/>
        <w:keepLines/>
        <w:rPr>
          <w:rtl/>
        </w:rPr>
      </w:pPr>
      <w:r>
        <w:rPr>
          <w:rFonts w:hint="cs"/>
          <w:rtl/>
          <w:lang w:bidi="ar-EG"/>
        </w:rPr>
        <w:t>-</w:t>
      </w:r>
      <w:r>
        <w:rPr>
          <w:rtl/>
          <w:lang w:bidi="ar-EG"/>
        </w:rPr>
        <w:tab/>
      </w:r>
      <w:r w:rsidR="00246E1E">
        <w:rPr>
          <w:rtl/>
        </w:rPr>
        <w:t>موقع مداري اسمي،</w:t>
      </w:r>
    </w:p>
    <w:p w14:paraId="6DD9D3EF" w14:textId="7E0F6110" w:rsidR="00246E1E" w:rsidRDefault="00756EC8" w:rsidP="00A42D1A">
      <w:pPr>
        <w:pStyle w:val="enumlev1"/>
        <w:rPr>
          <w:rtl/>
        </w:rPr>
      </w:pPr>
      <w:r>
        <w:rPr>
          <w:rFonts w:hint="cs"/>
          <w:rtl/>
        </w:rPr>
        <w:t>-</w:t>
      </w:r>
      <w:r>
        <w:rPr>
          <w:rtl/>
        </w:rPr>
        <w:tab/>
      </w:r>
      <w:r w:rsidR="00246E1E">
        <w:rPr>
          <w:rtl/>
        </w:rPr>
        <w:t>عرض نطاق قدره 800 ‏</w:t>
      </w:r>
      <w:r w:rsidR="00246E1E">
        <w:t>MHz</w:t>
      </w:r>
      <w:r w:rsidR="00246E1E">
        <w:rPr>
          <w:rtl/>
        </w:rPr>
        <w:t>‏ (وصلة صاعدة ووصلة هابطة)،‏</w:t>
      </w:r>
    </w:p>
    <w:p w14:paraId="58A47B52" w14:textId="3E232EE0" w:rsidR="00246E1E" w:rsidRDefault="00756EC8" w:rsidP="00A42D1A">
      <w:pPr>
        <w:pStyle w:val="enumlev1"/>
        <w:rPr>
          <w:rtl/>
        </w:rPr>
      </w:pPr>
      <w:r>
        <w:rPr>
          <w:rFonts w:hint="cs"/>
          <w:rtl/>
        </w:rPr>
        <w:t>-</w:t>
      </w:r>
      <w:r>
        <w:rPr>
          <w:rtl/>
        </w:rPr>
        <w:tab/>
      </w:r>
      <w:r w:rsidR="00246E1E">
        <w:rPr>
          <w:rtl/>
        </w:rPr>
        <w:t>منطقة خدمة تقتصر على الأراضي الوطنية لإدارة ما.‏</w:t>
      </w:r>
    </w:p>
    <w:p w14:paraId="391BF09A" w14:textId="77777777" w:rsidR="00246E1E" w:rsidRPr="00756EC8" w:rsidRDefault="00246E1E" w:rsidP="00A42D1A">
      <w:pPr>
        <w:rPr>
          <w:rtl/>
        </w:rPr>
      </w:pPr>
      <w:r w:rsidRPr="00756EC8">
        <w:rPr>
          <w:rtl/>
        </w:rPr>
        <w:t>وأجرى المؤتمر العالمي للاتصالات الراديوية لعام ‏</w:t>
      </w:r>
      <w:r w:rsidRPr="00756EC8">
        <w:rPr>
          <w:cs/>
        </w:rPr>
        <w:t>‎</w:t>
      </w:r>
      <w:r w:rsidRPr="00756EC8">
        <w:t>2007</w:t>
      </w:r>
      <w:r w:rsidRPr="00756EC8">
        <w:rPr>
          <w:cs/>
        </w:rPr>
        <w:t>‎</w:t>
      </w:r>
      <w:r w:rsidRPr="00756EC8">
        <w:rPr>
          <w:rtl/>
        </w:rPr>
        <w:t>‏ (‏</w:t>
      </w:r>
      <w:r w:rsidRPr="00756EC8">
        <w:t>WRC-07</w:t>
      </w:r>
      <w:r w:rsidRPr="00756EC8">
        <w:rPr>
          <w:cs/>
        </w:rPr>
        <w:t>‎</w:t>
      </w:r>
      <w:r w:rsidRPr="00756EC8">
        <w:rPr>
          <w:rtl/>
        </w:rPr>
        <w:t>‏) تعديلات رئيسية على الإجراءات وقام بتحديث بعض ‏المعايير التقنية في التذييل ‏</w:t>
      </w:r>
      <w:r w:rsidRPr="00756EC8">
        <w:rPr>
          <w:cs/>
        </w:rPr>
        <w:t>‎</w:t>
      </w:r>
      <w:r w:rsidRPr="00A42D1A">
        <w:rPr>
          <w:b/>
          <w:bCs/>
        </w:rPr>
        <w:t>30B</w:t>
      </w:r>
      <w:r w:rsidRPr="00756EC8">
        <w:rPr>
          <w:cs/>
        </w:rPr>
        <w:t>‎</w:t>
      </w:r>
      <w:r w:rsidRPr="00756EC8">
        <w:rPr>
          <w:rtl/>
        </w:rPr>
        <w:t>‏.‏</w:t>
      </w:r>
    </w:p>
    <w:p w14:paraId="7FEA086D" w14:textId="46DE23BA" w:rsidR="00246E1E" w:rsidRDefault="00246E1E" w:rsidP="00A42D1A">
      <w:pPr>
        <w:rPr>
          <w:rtl/>
        </w:rPr>
      </w:pPr>
      <w:r>
        <w:rPr>
          <w:rtl/>
        </w:rPr>
        <w:t>وأدخل المؤتمر العالمي للاتصالات الراديوية لعام 2019 (</w:t>
      </w:r>
      <w:r>
        <w:t>WRC-19</w:t>
      </w:r>
      <w:r>
        <w:rPr>
          <w:rtl/>
        </w:rPr>
        <w:t xml:space="preserve">) بعض التعديلات الإضافية على الأحكام التنظيمية والمعايير التقنية للتذييل </w:t>
      </w:r>
      <w:r w:rsidR="00756EC8" w:rsidRPr="00756EC8">
        <w:rPr>
          <w:b/>
          <w:bCs/>
        </w:rPr>
        <w:t>30B</w:t>
      </w:r>
      <w:r>
        <w:rPr>
          <w:rtl/>
        </w:rPr>
        <w:t xml:space="preserve"> واعتمد القرار </w:t>
      </w:r>
      <w:r w:rsidRPr="00B43964">
        <w:rPr>
          <w:b/>
          <w:bCs/>
          <w:rtl/>
        </w:rPr>
        <w:t>170</w:t>
      </w:r>
      <w:r>
        <w:rPr>
          <w:rtl/>
        </w:rPr>
        <w:t xml:space="preserve"> بهدف تعزيز النفاذ المنصف إلى نطاقات التردد هذه.</w:t>
      </w:r>
    </w:p>
    <w:p w14:paraId="50523E8C" w14:textId="54AC83E1" w:rsidR="00246E1E" w:rsidRDefault="00246E1E" w:rsidP="00246E1E">
      <w:pPr>
        <w:rPr>
          <w:rtl/>
        </w:rPr>
      </w:pPr>
      <w:r w:rsidRPr="00C01925">
        <w:rPr>
          <w:rtl/>
        </w:rPr>
        <w:t xml:space="preserve">أدخل المؤتمر </w:t>
      </w:r>
      <w:r w:rsidRPr="00C01925">
        <w:t>WRC-23</w:t>
      </w:r>
      <w:r w:rsidRPr="00C01925">
        <w:rPr>
          <w:rtl/>
        </w:rPr>
        <w:t xml:space="preserve"> تغييرات هامة على مفهوم الاتفاق الضمني من أجل ضمان مزيد من الحماية للحالة المرجعية للتعيينات في خطة التذييل </w:t>
      </w:r>
      <w:r w:rsidR="00801965" w:rsidRPr="00C01925">
        <w:rPr>
          <w:b/>
          <w:bCs/>
        </w:rPr>
        <w:t>30B</w:t>
      </w:r>
      <w:r w:rsidRPr="00C01925">
        <w:rPr>
          <w:rtl/>
        </w:rPr>
        <w:t xml:space="preserve">. وبالإضافة إلى ذلك، وافق المؤتمر </w:t>
      </w:r>
      <w:r w:rsidRPr="00C01925">
        <w:t>WRC-23</w:t>
      </w:r>
      <w:r w:rsidRPr="00C01925">
        <w:rPr>
          <w:rtl/>
        </w:rPr>
        <w:t xml:space="preserve"> على القرار </w:t>
      </w:r>
      <w:r w:rsidR="00B43964" w:rsidRPr="00C01925">
        <w:rPr>
          <w:b/>
          <w:bCs/>
        </w:rPr>
        <w:t>126 (WRC-23)</w:t>
      </w:r>
      <w:r w:rsidRPr="00C01925">
        <w:rPr>
          <w:rtl/>
        </w:rPr>
        <w:t xml:space="preserve"> الذي يتيح للإدارات إمكانية استعادة الحالات المرجعية المتردية لتعييناتها.</w:t>
      </w:r>
    </w:p>
    <w:p w14:paraId="09BD6E9D" w14:textId="01C6C6F5" w:rsidR="00246E1E" w:rsidRDefault="00B43964" w:rsidP="00B43964">
      <w:pPr>
        <w:pStyle w:val="Heading1"/>
        <w:rPr>
          <w:rtl/>
        </w:rPr>
      </w:pPr>
      <w:r>
        <w:t>2</w:t>
      </w:r>
      <w:r w:rsidR="00246E1E">
        <w:rPr>
          <w:rtl/>
        </w:rPr>
        <w:tab/>
        <w:t>الحالة المرجعية للتخصيصات الوطنية المخطط لها</w:t>
      </w:r>
    </w:p>
    <w:p w14:paraId="43492486" w14:textId="77777777" w:rsidR="00246E1E" w:rsidRDefault="00246E1E" w:rsidP="00246E1E">
      <w:pPr>
        <w:rPr>
          <w:rtl/>
        </w:rPr>
      </w:pPr>
      <w:r>
        <w:rPr>
          <w:rtl/>
        </w:rPr>
        <w:t>تتمثل الحالة المرجعية للتعيينات الوطنية في خطة التذييل ‏</w:t>
      </w:r>
      <w:r>
        <w:rPr>
          <w:cs/>
        </w:rPr>
        <w:t>‎</w:t>
      </w:r>
      <w:r w:rsidRPr="00B43964">
        <w:rPr>
          <w:b/>
          <w:bCs/>
        </w:rPr>
        <w:t>30B</w:t>
      </w:r>
      <w:r>
        <w:rPr>
          <w:cs/>
        </w:rPr>
        <w:t>‎</w:t>
      </w:r>
      <w:r>
        <w:rPr>
          <w:rtl/>
        </w:rPr>
        <w:t>‏ بالقيمة الإجمالية ‏</w:t>
      </w:r>
      <w:r>
        <w:t>C/I</w:t>
      </w:r>
      <w:r>
        <w:rPr>
          <w:rtl/>
        </w:rPr>
        <w:t>‏ في كل نقطة اختبار.‏</w:t>
      </w:r>
    </w:p>
    <w:p w14:paraId="680AF7F4" w14:textId="7DFB7FBE" w:rsidR="00246E1E" w:rsidRPr="00B43964" w:rsidRDefault="00246E1E" w:rsidP="00246E1E">
      <w:pPr>
        <w:rPr>
          <w:spacing w:val="-2"/>
          <w:rtl/>
        </w:rPr>
      </w:pPr>
      <w:r w:rsidRPr="00B43964">
        <w:rPr>
          <w:spacing w:val="-2"/>
          <w:rtl/>
        </w:rPr>
        <w:t>ويوضح الجدولان 7 و8 أدناه الحالة المرجعية للتعيينات الوطنية كما هي مدرجة في النشرة ‏</w:t>
      </w:r>
      <w:r w:rsidRPr="00B43964">
        <w:rPr>
          <w:spacing w:val="-2"/>
        </w:rPr>
        <w:t>BR IFIC 3015</w:t>
      </w:r>
      <w:r w:rsidRPr="00B43964">
        <w:rPr>
          <w:spacing w:val="-2"/>
          <w:rtl/>
        </w:rPr>
        <w:t xml:space="preserve"> بتاريخ 20 فبراير ‏‏2024. وبما أن قيم الحالة المرجعية لمعظم التعيينات ليست منحطة للغاية مقارنة بمعيار 21 ‏</w:t>
      </w:r>
      <w:r w:rsidRPr="00B43964">
        <w:rPr>
          <w:spacing w:val="-2"/>
        </w:rPr>
        <w:t>dB</w:t>
      </w:r>
      <w:r w:rsidRPr="00B43964">
        <w:rPr>
          <w:spacing w:val="-2"/>
          <w:rtl/>
        </w:rPr>
        <w:t>‏ المنصوص عليه في</w:t>
      </w:r>
      <w:r w:rsidR="00B43964" w:rsidRPr="00B43964">
        <w:rPr>
          <w:rFonts w:hint="cs"/>
          <w:spacing w:val="-2"/>
          <w:rtl/>
        </w:rPr>
        <w:t> </w:t>
      </w:r>
      <w:r w:rsidRPr="00B43964">
        <w:rPr>
          <w:spacing w:val="-2"/>
          <w:rtl/>
        </w:rPr>
        <w:t>‏التذييل</w:t>
      </w:r>
      <w:r w:rsidR="00B43964" w:rsidRPr="00B43964">
        <w:rPr>
          <w:rFonts w:hint="cs"/>
          <w:spacing w:val="-2"/>
          <w:rtl/>
        </w:rPr>
        <w:t> </w:t>
      </w:r>
      <w:r w:rsidRPr="00B43964">
        <w:rPr>
          <w:spacing w:val="-2"/>
          <w:rtl/>
        </w:rPr>
        <w:t>‏</w:t>
      </w:r>
      <w:r w:rsidRPr="00B43964">
        <w:rPr>
          <w:spacing w:val="-2"/>
          <w:cs/>
        </w:rPr>
        <w:t>‎</w:t>
      </w:r>
      <w:r w:rsidRPr="00C01925">
        <w:rPr>
          <w:b/>
          <w:bCs/>
          <w:spacing w:val="-2"/>
        </w:rPr>
        <w:t>30B</w:t>
      </w:r>
      <w:r w:rsidRPr="00C01925">
        <w:rPr>
          <w:spacing w:val="-2"/>
          <w:cs/>
        </w:rPr>
        <w:t>‎</w:t>
      </w:r>
      <w:r w:rsidRPr="00C01925">
        <w:rPr>
          <w:spacing w:val="-2"/>
          <w:rtl/>
        </w:rPr>
        <w:t>،</w:t>
      </w:r>
      <w:r w:rsidRPr="00B43964">
        <w:rPr>
          <w:spacing w:val="-2"/>
          <w:rtl/>
        </w:rPr>
        <w:t xml:space="preserve"> فإن القيمة الإجمالية ‏</w:t>
      </w:r>
      <w:r w:rsidRPr="00B43964">
        <w:rPr>
          <w:spacing w:val="-2"/>
        </w:rPr>
        <w:t>C/I</w:t>
      </w:r>
      <w:r w:rsidRPr="00B43964">
        <w:rPr>
          <w:spacing w:val="-2"/>
          <w:rtl/>
        </w:rPr>
        <w:t>‏ فقط مبينة لكل تعيين.‏</w:t>
      </w:r>
    </w:p>
    <w:p w14:paraId="07D72C3A" w14:textId="77777777" w:rsidR="00246E1E" w:rsidRDefault="00246E1E" w:rsidP="00B43964">
      <w:pPr>
        <w:pStyle w:val="TableNo"/>
        <w:rPr>
          <w:rtl/>
        </w:rPr>
      </w:pPr>
      <w:r>
        <w:rPr>
          <w:rtl/>
        </w:rPr>
        <w:t>الجدول 7</w:t>
      </w:r>
    </w:p>
    <w:p w14:paraId="64C865B7" w14:textId="77777777" w:rsidR="00246E1E" w:rsidRDefault="00246E1E" w:rsidP="00B43964">
      <w:pPr>
        <w:pStyle w:val="Tabletitle"/>
        <w:rPr>
          <w:rtl/>
        </w:rPr>
      </w:pPr>
      <w:r>
        <w:rPr>
          <w:rtl/>
        </w:rPr>
        <w:t>الحالة المرجعية للتعيينات الوطنية في خطة الخدمة الثابتة الساتلية (‏</w:t>
      </w:r>
      <w:r>
        <w:t>FSS</w:t>
      </w:r>
      <w:r>
        <w:rPr>
          <w:rtl/>
        </w:rPr>
        <w:t>‏)</w:t>
      </w:r>
    </w:p>
    <w:p w14:paraId="76F3039B" w14:textId="73095A87" w:rsidR="00246E1E" w:rsidRDefault="00246E1E" w:rsidP="00B43964">
      <w:pPr>
        <w:pStyle w:val="Tabletitle"/>
        <w:rPr>
          <w:rtl/>
        </w:rPr>
      </w:pPr>
      <w:r>
        <w:rPr>
          <w:rtl/>
        </w:rPr>
        <w:t>‏(النطاقان ‏</w:t>
      </w:r>
      <w:r>
        <w:t xml:space="preserve">MHz </w:t>
      </w:r>
      <w:r w:rsidR="00145C02">
        <w:t>4 800-4 500</w:t>
      </w:r>
      <w:r>
        <w:rPr>
          <w:cs/>
        </w:rPr>
        <w:t>‎</w:t>
      </w:r>
      <w:r>
        <w:rPr>
          <w:rtl/>
        </w:rPr>
        <w:t>‏ و</w:t>
      </w:r>
      <w:r>
        <w:t>MHz 7 025-6 725</w:t>
      </w:r>
      <w:r>
        <w:rPr>
          <w:cs/>
        </w:rPr>
        <w:t>‎</w:t>
      </w:r>
      <w:r>
        <w:rPr>
          <w:rtl/>
        </w:rPr>
        <w:t>‏)‏</w:t>
      </w:r>
    </w:p>
    <w:p w14:paraId="63DE4140" w14:textId="69407AC0" w:rsidR="00246E1E" w:rsidRPr="00B43964" w:rsidRDefault="005F5169" w:rsidP="00B43964">
      <w:pPr>
        <w:spacing w:after="240"/>
        <w:jc w:val="center"/>
        <w:rPr>
          <w:b/>
          <w:bCs/>
          <w:rtl/>
        </w:rPr>
      </w:pPr>
      <w:hyperlink r:id="rId19" w:history="1">
        <w:r w:rsidR="00246E1E" w:rsidRPr="00B43964">
          <w:rPr>
            <w:rStyle w:val="Hyperlink"/>
            <w:b/>
            <w:bCs/>
            <w:rtl/>
          </w:rPr>
          <w:t>انظر الجدول 7 هنا</w:t>
        </w:r>
      </w:hyperlink>
    </w:p>
    <w:p w14:paraId="607A1C79" w14:textId="261CF84E" w:rsidR="00246E1E" w:rsidRDefault="00246E1E" w:rsidP="00B43964">
      <w:pPr>
        <w:pStyle w:val="Note"/>
        <w:rPr>
          <w:rtl/>
        </w:rPr>
      </w:pPr>
      <w:r>
        <w:rPr>
          <w:rtl/>
        </w:rPr>
        <w:t>الملاحظة 1</w:t>
      </w:r>
      <w:r w:rsidR="00C01925">
        <w:rPr>
          <w:rtl/>
        </w:rPr>
        <w:t xml:space="preserve">: </w:t>
      </w:r>
      <w:r>
        <w:rPr>
          <w:rtl/>
        </w:rPr>
        <w:t>يعزى التردي إلى تطبيق اتفاق ضمني.</w:t>
      </w:r>
    </w:p>
    <w:p w14:paraId="47A34132" w14:textId="6DD4FB17" w:rsidR="00246E1E" w:rsidRDefault="00246E1E" w:rsidP="00B43964">
      <w:pPr>
        <w:pStyle w:val="Note"/>
        <w:rPr>
          <w:rtl/>
        </w:rPr>
      </w:pPr>
      <w:r>
        <w:rPr>
          <w:rtl/>
        </w:rPr>
        <w:t>الملاحظة 2</w:t>
      </w:r>
      <w:r w:rsidR="00C01925">
        <w:rPr>
          <w:rtl/>
        </w:rPr>
        <w:t xml:space="preserve">: </w:t>
      </w:r>
      <w:r>
        <w:rPr>
          <w:rtl/>
        </w:rPr>
        <w:t>تم تحويل هذا التعيين إلى تخصيصات.</w:t>
      </w:r>
    </w:p>
    <w:p w14:paraId="5D0902F0" w14:textId="1AC733CB" w:rsidR="00246E1E" w:rsidRDefault="00246E1E" w:rsidP="00B43964">
      <w:pPr>
        <w:pStyle w:val="Note"/>
        <w:rPr>
          <w:rtl/>
        </w:rPr>
      </w:pPr>
      <w:r>
        <w:rPr>
          <w:rtl/>
        </w:rPr>
        <w:t>الملاحظة 3</w:t>
      </w:r>
      <w:r w:rsidR="00C01925">
        <w:rPr>
          <w:rtl/>
        </w:rPr>
        <w:t xml:space="preserve">: </w:t>
      </w:r>
      <w:r>
        <w:rPr>
          <w:rtl/>
        </w:rPr>
        <w:t>يعزى التردي إلى القبول الصريح للتداخل من شبكة (شبكات) إدارة (إدارات) أخرى نتيجة اتفاق متبادل.‏</w:t>
      </w:r>
    </w:p>
    <w:p w14:paraId="3DC2A0FB" w14:textId="04030EE9" w:rsidR="00246E1E" w:rsidRDefault="00246E1E" w:rsidP="00B43964">
      <w:pPr>
        <w:pStyle w:val="Note"/>
        <w:rPr>
          <w:rtl/>
        </w:rPr>
      </w:pPr>
      <w:r>
        <w:rPr>
          <w:rtl/>
        </w:rPr>
        <w:t>الملاحظة 4</w:t>
      </w:r>
      <w:r w:rsidR="00C01925">
        <w:rPr>
          <w:rtl/>
        </w:rPr>
        <w:t xml:space="preserve">: </w:t>
      </w:r>
      <w:r>
        <w:rPr>
          <w:rtl/>
        </w:rPr>
        <w:t xml:space="preserve">وافق المؤتمر </w:t>
      </w:r>
      <w:r>
        <w:t>WRC-23</w:t>
      </w:r>
      <w:r>
        <w:rPr>
          <w:rtl/>
        </w:rPr>
        <w:t xml:space="preserve"> على إدراج هذا التعيين الجديد في الخطة وسينشر القسم الخاص المقابل في مارس 2024.</w:t>
      </w:r>
    </w:p>
    <w:p w14:paraId="08081257" w14:textId="77777777" w:rsidR="00246E1E" w:rsidRDefault="00246E1E" w:rsidP="00B43964">
      <w:pPr>
        <w:pStyle w:val="TableNo"/>
        <w:rPr>
          <w:rtl/>
        </w:rPr>
      </w:pPr>
      <w:r>
        <w:rPr>
          <w:rtl/>
        </w:rPr>
        <w:t>الجدول 8</w:t>
      </w:r>
    </w:p>
    <w:p w14:paraId="38B4364C" w14:textId="7ADE8A0A" w:rsidR="00246E1E" w:rsidRDefault="00246E1E" w:rsidP="00B43964">
      <w:pPr>
        <w:pStyle w:val="Tabletitle"/>
        <w:rPr>
          <w:rtl/>
        </w:rPr>
      </w:pPr>
      <w:r>
        <w:rPr>
          <w:rtl/>
        </w:rPr>
        <w:t>الحالة المرجعية للتعيينات الوطنية في خطة الخدمة الثابتة الساتلية (‏</w:t>
      </w:r>
      <w:r>
        <w:t>FSS</w:t>
      </w:r>
      <w:r>
        <w:rPr>
          <w:rtl/>
        </w:rPr>
        <w:t>‏) ‏</w:t>
      </w:r>
      <w:r w:rsidR="00CF3A73">
        <w:br/>
      </w:r>
      <w:r>
        <w:rPr>
          <w:rtl/>
        </w:rPr>
        <w:t>(النطاقات ‏</w:t>
      </w:r>
      <w:r>
        <w:t>GHz 10,95-10,7</w:t>
      </w:r>
      <w:r>
        <w:rPr>
          <w:cs/>
        </w:rPr>
        <w:t>‎</w:t>
      </w:r>
      <w:r>
        <w:rPr>
          <w:rtl/>
        </w:rPr>
        <w:t>‏ و</w:t>
      </w:r>
      <w:r>
        <w:t>GHz 11,45-11,20</w:t>
      </w:r>
      <w:r>
        <w:rPr>
          <w:cs/>
        </w:rPr>
        <w:t>‎</w:t>
      </w:r>
      <w:r>
        <w:rPr>
          <w:rtl/>
        </w:rPr>
        <w:t>‏ و</w:t>
      </w:r>
      <w:r>
        <w:t>GHz 13,25-12,75</w:t>
      </w:r>
      <w:r>
        <w:rPr>
          <w:cs/>
        </w:rPr>
        <w:t>‎</w:t>
      </w:r>
      <w:r>
        <w:rPr>
          <w:rtl/>
        </w:rPr>
        <w:t>‏)‏</w:t>
      </w:r>
    </w:p>
    <w:p w14:paraId="7493DF44" w14:textId="3A9CFA17" w:rsidR="00246E1E" w:rsidRPr="00CF3A73" w:rsidRDefault="005F5169" w:rsidP="00CF3A73">
      <w:pPr>
        <w:spacing w:after="240"/>
        <w:jc w:val="center"/>
        <w:rPr>
          <w:b/>
          <w:bCs/>
          <w:rtl/>
        </w:rPr>
      </w:pPr>
      <w:hyperlink r:id="rId20" w:history="1">
        <w:r w:rsidR="00246E1E" w:rsidRPr="00CF3A73">
          <w:rPr>
            <w:rStyle w:val="Hyperlink"/>
            <w:b/>
            <w:bCs/>
            <w:rtl/>
          </w:rPr>
          <w:t>انظر الجدول 8 هنا</w:t>
        </w:r>
      </w:hyperlink>
    </w:p>
    <w:p w14:paraId="67E935DA" w14:textId="1E30BB17" w:rsidR="00246E1E" w:rsidRDefault="00246E1E" w:rsidP="00CF3A73">
      <w:pPr>
        <w:pStyle w:val="Note"/>
        <w:rPr>
          <w:rtl/>
        </w:rPr>
      </w:pPr>
      <w:r>
        <w:rPr>
          <w:rtl/>
        </w:rPr>
        <w:t>الملاحظة 1</w:t>
      </w:r>
      <w:r w:rsidR="00C01925">
        <w:rPr>
          <w:rtl/>
        </w:rPr>
        <w:t xml:space="preserve">: </w:t>
      </w:r>
      <w:r>
        <w:rPr>
          <w:rtl/>
        </w:rPr>
        <w:t>يعزى التردي إلى تطبيق اتفاق ضمني.</w:t>
      </w:r>
    </w:p>
    <w:p w14:paraId="78C3D9AA" w14:textId="0DC51F6A" w:rsidR="00246E1E" w:rsidRDefault="00246E1E" w:rsidP="00CF3A73">
      <w:pPr>
        <w:pStyle w:val="Note"/>
        <w:rPr>
          <w:rtl/>
        </w:rPr>
      </w:pPr>
      <w:r>
        <w:rPr>
          <w:rtl/>
        </w:rPr>
        <w:lastRenderedPageBreak/>
        <w:t>الملاحظة 2</w:t>
      </w:r>
      <w:r w:rsidR="00C01925">
        <w:rPr>
          <w:rtl/>
        </w:rPr>
        <w:t xml:space="preserve">: </w:t>
      </w:r>
      <w:r>
        <w:rPr>
          <w:rtl/>
        </w:rPr>
        <w:t>تم تحويل هذا التعيين إلى تخصيصات.</w:t>
      </w:r>
    </w:p>
    <w:p w14:paraId="0C823710" w14:textId="3EA4210D" w:rsidR="00246E1E" w:rsidRDefault="00246E1E" w:rsidP="00CF3A73">
      <w:pPr>
        <w:pStyle w:val="Note"/>
        <w:rPr>
          <w:rtl/>
        </w:rPr>
      </w:pPr>
      <w:r>
        <w:rPr>
          <w:rtl/>
        </w:rPr>
        <w:t>الملاحظة 3</w:t>
      </w:r>
      <w:r w:rsidR="00C01925">
        <w:rPr>
          <w:rtl/>
        </w:rPr>
        <w:t xml:space="preserve">: </w:t>
      </w:r>
      <w:r>
        <w:rPr>
          <w:rtl/>
        </w:rPr>
        <w:t xml:space="preserve">يعزى التردي إلى تداخل تسببت فيه شبكة (شبكات) الإدارة بالذات، أو إلى القبول الصريح للتداخل من شبكة (شبكات) إدارة (إدارات) أخرى ‏نتيجة اتفاق متبادل. </w:t>
      </w:r>
    </w:p>
    <w:p w14:paraId="7A870E4A" w14:textId="16686980" w:rsidR="00246E1E" w:rsidRDefault="00246E1E" w:rsidP="00CF3A73">
      <w:pPr>
        <w:pStyle w:val="Note"/>
        <w:rPr>
          <w:rtl/>
        </w:rPr>
      </w:pPr>
      <w:r>
        <w:rPr>
          <w:rtl/>
        </w:rPr>
        <w:t>الملاحظة 4</w:t>
      </w:r>
      <w:r w:rsidR="00C01925">
        <w:rPr>
          <w:rtl/>
        </w:rPr>
        <w:t xml:space="preserve">: </w:t>
      </w:r>
      <w:r>
        <w:rPr>
          <w:rtl/>
        </w:rPr>
        <w:t xml:space="preserve">وافق المؤتمر </w:t>
      </w:r>
      <w:r>
        <w:t>WRC-23</w:t>
      </w:r>
      <w:r>
        <w:rPr>
          <w:rtl/>
        </w:rPr>
        <w:t xml:space="preserve"> على إدراج هذا التعيين الجديد في الخطة وسينشر القسم الخاص المقابل في مارس 2024.</w:t>
      </w:r>
    </w:p>
    <w:p w14:paraId="2A3C36E7" w14:textId="397EB5F4" w:rsidR="00246E1E" w:rsidRDefault="00CF3A73" w:rsidP="00CF3A73">
      <w:pPr>
        <w:pStyle w:val="Heading1"/>
        <w:rPr>
          <w:rtl/>
        </w:rPr>
      </w:pPr>
      <w:r>
        <w:t>3</w:t>
      </w:r>
      <w:r w:rsidR="00246E1E">
        <w:rPr>
          <w:rtl/>
        </w:rPr>
        <w:tab/>
        <w:t>ملخص لحالة الأنظمة الإضافية في القائمة</w:t>
      </w:r>
    </w:p>
    <w:p w14:paraId="631305DF" w14:textId="693B6A41" w:rsidR="00246E1E" w:rsidRDefault="00246E1E" w:rsidP="00246E1E">
      <w:pPr>
        <w:rPr>
          <w:rtl/>
        </w:rPr>
      </w:pPr>
      <w:r>
        <w:rPr>
          <w:rtl/>
        </w:rPr>
        <w:t xml:space="preserve">يلخص الجدول 9 أدناه عدد الشبكات الواردة في قائمة التذييل </w:t>
      </w:r>
      <w:r w:rsidR="00CF3A73" w:rsidRPr="00CF3A73">
        <w:rPr>
          <w:b/>
          <w:bCs/>
        </w:rPr>
        <w:t>30B</w:t>
      </w:r>
      <w:r>
        <w:rPr>
          <w:rtl/>
        </w:rPr>
        <w:t>. وهي ناشئة عن تحويل تعيين أو أنظمة "قائمة" (انظر القرار ‏</w:t>
      </w:r>
      <w:r>
        <w:rPr>
          <w:cs/>
        </w:rPr>
        <w:t>‎</w:t>
      </w:r>
      <w:r w:rsidRPr="00CF3A73">
        <w:rPr>
          <w:b/>
          <w:bCs/>
        </w:rPr>
        <w:t>148 (Rev.WRC-15)</w:t>
      </w:r>
      <w:r>
        <w:rPr>
          <w:cs/>
        </w:rPr>
        <w:t>‎</w:t>
      </w:r>
      <w:r>
        <w:rPr>
          <w:rtl/>
        </w:rPr>
        <w:t>‏) أو أنظمة إضافية. وتستند الأرقام إلى بيانات النشرة ‏</w:t>
      </w:r>
      <w:r>
        <w:t>BR IFIC 3015</w:t>
      </w:r>
      <w:r>
        <w:rPr>
          <w:rtl/>
        </w:rPr>
        <w:t xml:space="preserve"> المؤرخة في 20 فبراير 2024.</w:t>
      </w:r>
    </w:p>
    <w:p w14:paraId="6A4F2B5F" w14:textId="77777777" w:rsidR="00246E1E" w:rsidRDefault="00246E1E" w:rsidP="008E13D8">
      <w:pPr>
        <w:pStyle w:val="TableNo"/>
        <w:rPr>
          <w:rtl/>
        </w:rPr>
      </w:pPr>
      <w:r>
        <w:rPr>
          <w:rtl/>
        </w:rPr>
        <w:t>الجدول 9</w:t>
      </w:r>
    </w:p>
    <w:p w14:paraId="7A3FCD79" w14:textId="77777777" w:rsidR="00246E1E" w:rsidRDefault="00246E1E" w:rsidP="008E13D8">
      <w:pPr>
        <w:pStyle w:val="Tabletitle"/>
        <w:rPr>
          <w:rtl/>
        </w:rPr>
      </w:pPr>
      <w:r>
        <w:rPr>
          <w:rtl/>
        </w:rPr>
        <w:t>عدد الشبكات المدرجة في قائمة التذييل ‏</w:t>
      </w:r>
      <w:r>
        <w:rPr>
          <w:cs/>
        </w:rPr>
        <w:t>‎</w:t>
      </w:r>
      <w:r>
        <w:t>30B</w:t>
      </w:r>
      <w:r>
        <w:rPr>
          <w:cs/>
        </w:rPr>
        <w:t>‎</w:t>
      </w:r>
    </w:p>
    <w:p w14:paraId="7CBAA5B9" w14:textId="2DFD6523" w:rsidR="00246E1E" w:rsidRPr="008E13D8" w:rsidRDefault="005F5169" w:rsidP="008E13D8">
      <w:pPr>
        <w:spacing w:after="240"/>
        <w:jc w:val="center"/>
        <w:rPr>
          <w:b/>
          <w:bCs/>
          <w:rtl/>
        </w:rPr>
      </w:pPr>
      <w:hyperlink r:id="rId21" w:history="1">
        <w:r w:rsidR="00246E1E" w:rsidRPr="008E13D8">
          <w:rPr>
            <w:rStyle w:val="Hyperlink"/>
            <w:b/>
            <w:bCs/>
            <w:rtl/>
          </w:rPr>
          <w:t>انظر الجدول 9 هنا</w:t>
        </w:r>
      </w:hyperlink>
    </w:p>
    <w:p w14:paraId="1F749355" w14:textId="4F352CBA" w:rsidR="00246E1E" w:rsidRDefault="008E13D8" w:rsidP="008E13D8">
      <w:pPr>
        <w:pStyle w:val="Heading1"/>
        <w:rPr>
          <w:rtl/>
        </w:rPr>
      </w:pPr>
      <w:r>
        <w:t>4</w:t>
      </w:r>
      <w:r w:rsidR="00246E1E">
        <w:rPr>
          <w:rtl/>
        </w:rPr>
        <w:tab/>
        <w:t>الإدارات التي ليس لديها تعيين وطني في الخطة</w:t>
      </w:r>
    </w:p>
    <w:p w14:paraId="5644F7B9" w14:textId="09A84ACC" w:rsidR="00246E1E" w:rsidRDefault="00246E1E" w:rsidP="00246E1E">
      <w:pPr>
        <w:rPr>
          <w:rtl/>
        </w:rPr>
      </w:pPr>
      <w:r>
        <w:rPr>
          <w:rtl/>
        </w:rPr>
        <w:t>لا يوجد لدى عدد من الإدارات تعيين في خطة التذييل ‏</w:t>
      </w:r>
      <w:r>
        <w:rPr>
          <w:cs/>
        </w:rPr>
        <w:t>‎</w:t>
      </w:r>
      <w:r>
        <w:t>30B</w:t>
      </w:r>
      <w:r>
        <w:rPr>
          <w:cs/>
        </w:rPr>
        <w:t>‎</w:t>
      </w:r>
      <w:r>
        <w:rPr>
          <w:rtl/>
        </w:rPr>
        <w:t xml:space="preserve">‏ أو تخصيصات واردة في القائمة، وذلك أساساً لأنها انضمت إلى ‏الاتحاد بعد عام 1988. ‏ وتنص المادة 7 من التذييل </w:t>
      </w:r>
      <w:r w:rsidR="008E13D8" w:rsidRPr="008E13D8">
        <w:rPr>
          <w:b/>
          <w:bCs/>
        </w:rPr>
        <w:t>30B</w:t>
      </w:r>
      <w:r>
        <w:rPr>
          <w:rtl/>
        </w:rPr>
        <w:t xml:space="preserve"> على سبل للدول الأعضاء الجديدة لطلب تعيينات وطنية. ووافق المؤتمر</w:t>
      </w:r>
      <w:r w:rsidR="00C01925">
        <w:rPr>
          <w:rFonts w:hint="cs"/>
          <w:rtl/>
        </w:rPr>
        <w:t> </w:t>
      </w:r>
      <w:r>
        <w:t>WRC-23</w:t>
      </w:r>
      <w:r>
        <w:rPr>
          <w:rtl/>
        </w:rPr>
        <w:t xml:space="preserve"> على تدابير محددة ليسهل على دولة عضو جديدة في الاتحاد تجاوز الصعوبات في تطبيق تلك المادة من أجل الحصول على تعيين وطني.</w:t>
      </w:r>
    </w:p>
    <w:p w14:paraId="2EE057DD" w14:textId="004A8458" w:rsidR="00246E1E" w:rsidRDefault="00246E1E" w:rsidP="00246E1E">
      <w:pPr>
        <w:rPr>
          <w:rtl/>
        </w:rPr>
      </w:pPr>
      <w:r>
        <w:rPr>
          <w:rtl/>
        </w:rPr>
        <w:t xml:space="preserve">ووفقاً لقرارات المؤتمر </w:t>
      </w:r>
      <w:r>
        <w:t>WRC-23</w:t>
      </w:r>
      <w:r>
        <w:rPr>
          <w:rtl/>
        </w:rPr>
        <w:t xml:space="preserve">، حصلت تسع (9) دول أعضاء جديدة في الاتحاد، وهي البوسنة والهرسك وجمهورية كرواتيا وجورجيا وجمهورية مقدونيا الشمالية وجمهورية مولدوفا والجبل الأسود وصربيا وسلوفينيا وجمهورية جنوب السودان على تعييناتها الوطنية في خطة التذييل </w:t>
      </w:r>
      <w:r w:rsidR="008F60D1" w:rsidRPr="008F60D1">
        <w:rPr>
          <w:b/>
          <w:bCs/>
        </w:rPr>
        <w:t>30B</w:t>
      </w:r>
      <w:r>
        <w:rPr>
          <w:rtl/>
        </w:rPr>
        <w:t>.</w:t>
      </w:r>
    </w:p>
    <w:p w14:paraId="228CDFFA" w14:textId="69D7D449" w:rsidR="00246E1E" w:rsidRDefault="00246E1E" w:rsidP="00BB541B">
      <w:pPr>
        <w:rPr>
          <w:rtl/>
        </w:rPr>
      </w:pPr>
      <w:r>
        <w:rPr>
          <w:rtl/>
        </w:rPr>
        <w:t xml:space="preserve">وفي وقت إعداد هذا التقرير، لم يكن لدى سبع (7) إدارات تعيين في خطة التذييل </w:t>
      </w:r>
      <w:r w:rsidR="008F60D1" w:rsidRPr="008F60D1">
        <w:rPr>
          <w:b/>
          <w:bCs/>
        </w:rPr>
        <w:t>30B</w:t>
      </w:r>
      <w:r>
        <w:rPr>
          <w:rtl/>
        </w:rPr>
        <w:t xml:space="preserve"> وهذه الإدارات هي إريتريا وإستونيا ولاتفيا وسانت لوسيا وطاجيكستان وجمهورية تيمور-ليشتي الديمقراطية وتركمانستان. كما أن دولة فلسطين</w:t>
      </w:r>
      <w:r w:rsidR="00353267">
        <w:rPr>
          <w:rStyle w:val="FootnoteReference"/>
          <w:rtl/>
        </w:rPr>
        <w:footnoteReference w:id="1"/>
      </w:r>
      <w:r>
        <w:rPr>
          <w:rtl/>
        </w:rPr>
        <w:t xml:space="preserve"> ليس لها تعيينات في</w:t>
      </w:r>
      <w:r w:rsidR="00BB541B">
        <w:rPr>
          <w:rFonts w:hint="cs"/>
          <w:rtl/>
        </w:rPr>
        <w:t> </w:t>
      </w:r>
      <w:r>
        <w:rPr>
          <w:rtl/>
        </w:rPr>
        <w:t xml:space="preserve">خطة التذييل </w:t>
      </w:r>
      <w:r w:rsidR="008F60D1" w:rsidRPr="008F60D1">
        <w:rPr>
          <w:b/>
          <w:bCs/>
        </w:rPr>
        <w:t>30B</w:t>
      </w:r>
      <w:r w:rsidR="008F60D1">
        <w:rPr>
          <w:rtl/>
        </w:rPr>
        <w:t xml:space="preserve"> </w:t>
      </w:r>
      <w:r>
        <w:rPr>
          <w:rtl/>
        </w:rPr>
        <w:t xml:space="preserve">بينما لديها تخصيصات تردد مخططة في خطتي التذييلين </w:t>
      </w:r>
      <w:r w:rsidR="00BB541B" w:rsidRPr="00BB541B">
        <w:rPr>
          <w:b/>
          <w:bCs/>
        </w:rPr>
        <w:t>30</w:t>
      </w:r>
      <w:r>
        <w:rPr>
          <w:rtl/>
        </w:rPr>
        <w:t xml:space="preserve"> </w:t>
      </w:r>
      <w:r w:rsidRPr="00C01925">
        <w:rPr>
          <w:b/>
          <w:bCs/>
          <w:rtl/>
        </w:rPr>
        <w:t>و</w:t>
      </w:r>
      <w:r w:rsidR="00BB541B" w:rsidRPr="00C01925">
        <w:rPr>
          <w:b/>
          <w:bCs/>
        </w:rPr>
        <w:t>30A</w:t>
      </w:r>
      <w:r>
        <w:rPr>
          <w:rtl/>
        </w:rPr>
        <w:t>.</w:t>
      </w:r>
      <w:r w:rsidR="00BB541B">
        <w:rPr>
          <w:rFonts w:hint="cs"/>
          <w:rtl/>
          <w:lang w:bidi="ar-EG"/>
        </w:rPr>
        <w:t xml:space="preserve"> </w:t>
      </w:r>
      <w:r>
        <w:rPr>
          <w:rtl/>
        </w:rPr>
        <w:t xml:space="preserve">وبناء على مشورة لجنة لوائح الراديو، كلف المؤتمر </w:t>
      </w:r>
      <w:r>
        <w:t>WRC-23</w:t>
      </w:r>
      <w:r>
        <w:rPr>
          <w:rtl/>
        </w:rPr>
        <w:t xml:space="preserve"> المكتب بالاتصال بهذه الإدارات السبع ودولة فلسطين بغية تحديد الموارد المدارية، إذا رغبت في</w:t>
      </w:r>
      <w:r w:rsidR="00BB541B">
        <w:rPr>
          <w:rFonts w:hint="cs"/>
          <w:rtl/>
        </w:rPr>
        <w:t> </w:t>
      </w:r>
      <w:r>
        <w:rPr>
          <w:rtl/>
        </w:rPr>
        <w:t xml:space="preserve">بدء العملية بموجب المادة 7 من التذييل </w:t>
      </w:r>
      <w:r w:rsidR="00BB541B" w:rsidRPr="008F60D1">
        <w:rPr>
          <w:b/>
          <w:bCs/>
        </w:rPr>
        <w:t>30B</w:t>
      </w:r>
      <w:r>
        <w:rPr>
          <w:rtl/>
        </w:rPr>
        <w:t>.</w:t>
      </w:r>
    </w:p>
    <w:p w14:paraId="11792C66" w14:textId="2579EC27" w:rsidR="00246E1E" w:rsidRDefault="00B36969" w:rsidP="00B36969">
      <w:pPr>
        <w:pStyle w:val="Heading1"/>
        <w:rPr>
          <w:rtl/>
        </w:rPr>
      </w:pPr>
      <w:r>
        <w:t>5</w:t>
      </w:r>
      <w:r w:rsidR="00246E1E">
        <w:rPr>
          <w:rtl/>
        </w:rPr>
        <w:tab/>
        <w:t>الصعوبات في تشغيل نظام خدمة ثابتة ساتلية حديث باستخدام معلمات التذييل ‏</w:t>
      </w:r>
      <w:r w:rsidR="00246E1E">
        <w:rPr>
          <w:cs/>
        </w:rPr>
        <w:t>‎</w:t>
      </w:r>
      <w:r w:rsidR="00246E1E">
        <w:t>30B</w:t>
      </w:r>
      <w:r w:rsidR="00246E1E">
        <w:rPr>
          <w:cs/>
        </w:rPr>
        <w:t>‎</w:t>
      </w:r>
    </w:p>
    <w:p w14:paraId="70A90FD5" w14:textId="3D60E7B9" w:rsidR="00246E1E" w:rsidRDefault="00246E1E" w:rsidP="00246E1E">
      <w:pPr>
        <w:rPr>
          <w:rtl/>
        </w:rPr>
      </w:pPr>
      <w:r>
        <w:rPr>
          <w:rtl/>
        </w:rPr>
        <w:t>على الرغم من أن المؤتمر ‏</w:t>
      </w:r>
      <w:r>
        <w:t>WRC-07</w:t>
      </w:r>
      <w:r>
        <w:rPr>
          <w:cs/>
        </w:rPr>
        <w:t>‎</w:t>
      </w:r>
      <w:r>
        <w:rPr>
          <w:rtl/>
        </w:rPr>
        <w:t>‏ راجع الخصائص التقنية الأساسية لتعيينات خطة الخدمة الثابتة الساتلية (‏</w:t>
      </w:r>
      <w:r>
        <w:t>FSS</w:t>
      </w:r>
      <w:r>
        <w:rPr>
          <w:rtl/>
        </w:rPr>
        <w:t>‏) ‏بناءً على التكنولوجيا المتاحة في ذلك الوقت، فإن بعض هذه المعلمات التقنية قد تقادمت.</w:t>
      </w:r>
    </w:p>
    <w:p w14:paraId="71FC74F4" w14:textId="42A95391" w:rsidR="007B5C71" w:rsidRDefault="00246E1E" w:rsidP="00246E1E">
      <w:r>
        <w:rPr>
          <w:rtl/>
        </w:rPr>
        <w:t>وعلى وجه الخصوص، تفترض الخطة استخدام محطات أرضية يبلغ قطر الهوائي فيها ‏</w:t>
      </w:r>
      <w:r>
        <w:rPr>
          <w:cs/>
        </w:rPr>
        <w:t>‎</w:t>
      </w:r>
      <w:r>
        <w:t>5,5</w:t>
      </w:r>
      <w:r>
        <w:rPr>
          <w:cs/>
        </w:rPr>
        <w:t>‎</w:t>
      </w:r>
      <w:r>
        <w:rPr>
          <w:rtl/>
        </w:rPr>
        <w:t>‏ أمتار في نطاقات ‏</w:t>
      </w:r>
      <w:r>
        <w:rPr>
          <w:cs/>
        </w:rPr>
        <w:t>‎</w:t>
      </w:r>
      <w:r>
        <w:t>6/4</w:t>
      </w:r>
      <w:r>
        <w:rPr>
          <w:cs/>
        </w:rPr>
        <w:t>‎</w:t>
      </w:r>
      <w:r>
        <w:rPr>
          <w:rtl/>
        </w:rPr>
        <w:t>‏ ‏</w:t>
      </w:r>
      <w:r>
        <w:t>GHz</w:t>
      </w:r>
      <w:r>
        <w:rPr>
          <w:rtl/>
        </w:rPr>
        <w:t>‏ و</w:t>
      </w:r>
      <w:r>
        <w:rPr>
          <w:cs/>
        </w:rPr>
        <w:t>‎</w:t>
      </w:r>
      <w:r>
        <w:t>2,7</w:t>
      </w:r>
      <w:r>
        <w:rPr>
          <w:cs/>
        </w:rPr>
        <w:t>‎</w:t>
      </w:r>
      <w:r>
        <w:rPr>
          <w:rtl/>
        </w:rPr>
        <w:t>‏ ‏متر في النطاقين ‏</w:t>
      </w:r>
      <w:r>
        <w:t>GHz</w:t>
      </w:r>
      <w:r w:rsidR="00C759AA">
        <w:t> 11-10/13-12</w:t>
      </w:r>
      <w:r>
        <w:rPr>
          <w:rtl/>
        </w:rPr>
        <w:t>‏. ولا تتوافق هذه الهوائيات الكبيرة مع محطات المطاريف ذات الفتحة الصغيرة جداً ‏‏(‏</w:t>
      </w:r>
      <w:r>
        <w:t>VSAT</w:t>
      </w:r>
      <w:r>
        <w:rPr>
          <w:rtl/>
        </w:rPr>
        <w:t>‏) المستخدمة على نطاق واسع ولا يمكنها تلبية الطلب على العديد من التطبيقات الساتلية الناشئة.</w:t>
      </w:r>
    </w:p>
    <w:p w14:paraId="44FC2DB2" w14:textId="63889BD4" w:rsidR="00DB74C9" w:rsidRDefault="00DB74C9" w:rsidP="007B5C71">
      <w:pPr>
        <w:rPr>
          <w:rtl/>
        </w:rPr>
      </w:pPr>
      <w:r>
        <w:rPr>
          <w:rtl/>
        </w:rPr>
        <w:br w:type="page"/>
      </w:r>
    </w:p>
    <w:p w14:paraId="76D6B416" w14:textId="77777777" w:rsidR="00DB74C9" w:rsidRPr="00DB74C9" w:rsidRDefault="00DB74C9" w:rsidP="00282422">
      <w:pPr>
        <w:pStyle w:val="AnnexNo"/>
        <w:rPr>
          <w:lang w:bidi="ar-SA"/>
        </w:rPr>
      </w:pPr>
      <w:bookmarkStart w:id="3" w:name="الملحق2"/>
      <w:bookmarkEnd w:id="3"/>
      <w:r w:rsidRPr="00DB74C9">
        <w:rPr>
          <w:rtl/>
        </w:rPr>
        <w:lastRenderedPageBreak/>
        <w:t>الملحق 2</w:t>
      </w:r>
    </w:p>
    <w:p w14:paraId="25C7ADCC" w14:textId="77777777" w:rsidR="00DB74C9" w:rsidRPr="00DB74C9" w:rsidRDefault="00DB74C9" w:rsidP="00282422">
      <w:pPr>
        <w:pStyle w:val="Annextitle"/>
        <w:rPr>
          <w:lang w:bidi="ar-SA"/>
        </w:rPr>
      </w:pPr>
      <w:r w:rsidRPr="00DB74C9">
        <w:rPr>
          <w:rtl/>
        </w:rPr>
        <w:t>دور الاتحاد الدولي للاتصالات في تنفيذ خطة "الفضاء ‏‎2030‎‏"‏</w:t>
      </w:r>
    </w:p>
    <w:p w14:paraId="7863440C" w14:textId="0D3E2E4C" w:rsidR="00DB74C9" w:rsidRPr="00DB74C9" w:rsidRDefault="00282422" w:rsidP="00282422">
      <w:pPr>
        <w:pStyle w:val="Heading1"/>
      </w:pPr>
      <w:r>
        <w:t>1</w:t>
      </w:r>
      <w:r w:rsidR="00DB74C9" w:rsidRPr="00DB74C9">
        <w:rPr>
          <w:rtl/>
        </w:rPr>
        <w:tab/>
        <w:t>مقدمة</w:t>
      </w:r>
    </w:p>
    <w:p w14:paraId="13367181" w14:textId="229F1A8A" w:rsidR="00DB74C9" w:rsidRPr="00DB74C9" w:rsidRDefault="005F5169" w:rsidP="00DB74C9">
      <w:hyperlink r:id="rId22" w:history="1">
        <w:r w:rsidR="00DB74C9" w:rsidRPr="00DB74C9">
          <w:rPr>
            <w:rStyle w:val="Hyperlink"/>
            <w:b/>
            <w:bCs/>
            <w:rtl/>
          </w:rPr>
          <w:t>خطة "الفضاء 2030"</w:t>
        </w:r>
      </w:hyperlink>
      <w:r w:rsidR="00DB74C9" w:rsidRPr="00DB74C9">
        <w:rPr>
          <w:rtl/>
        </w:rPr>
        <w:t xml:space="preserve"> هي "استراتيجية استشرافية لإعادة تأكيد وتعزيز مساهمة الأنشطة الفضائية والأدوات الفضائية ‏في</w:t>
      </w:r>
      <w:r w:rsidR="006E6D8C">
        <w:rPr>
          <w:rFonts w:hint="cs"/>
          <w:rtl/>
        </w:rPr>
        <w:t> </w:t>
      </w:r>
      <w:r w:rsidR="00DB74C9" w:rsidRPr="00DB74C9">
        <w:rPr>
          <w:rtl/>
        </w:rPr>
        <w:t>تنفيذ الخطط العالمية</w:t>
      </w:r>
      <w:r w:rsidR="003A5081" w:rsidRPr="00DB74C9">
        <w:rPr>
          <w:rStyle w:val="FootnoteReference"/>
          <w:rtl/>
        </w:rPr>
        <w:footnoteReference w:id="2"/>
      </w:r>
      <w:r w:rsidR="00DB74C9" w:rsidRPr="00DB74C9">
        <w:rPr>
          <w:rtl/>
        </w:rPr>
        <w:t>، ‏في سياق معالجة شواغل الإنسانية فيما يتعلق بالتنمية المستدامة طويلة الأجل." (انظر ‏الفقرة ‏‎6‎‏ من الخطة)‏.</w:t>
      </w:r>
    </w:p>
    <w:p w14:paraId="2AAD2021" w14:textId="77777777" w:rsidR="00DB74C9" w:rsidRPr="00DB74C9" w:rsidRDefault="00DB74C9" w:rsidP="00DB74C9">
      <w:pPr>
        <w:rPr>
          <w:lang w:bidi="en-GB"/>
        </w:rPr>
      </w:pPr>
      <w:r w:rsidRPr="00DB74C9">
        <w:rPr>
          <w:rtl/>
        </w:rPr>
        <w:t>وتشتمل خطة "الفضاء 2030" على مجموعة من الأهداف التي وافقت الدول الأعضاء في الأمم المتحدة على السعي إلى ‏بلوغها.</w:t>
      </w:r>
    </w:p>
    <w:p w14:paraId="4EB669A7" w14:textId="7FC095DE" w:rsidR="00DB74C9" w:rsidRPr="00DB74C9" w:rsidRDefault="00DB74C9" w:rsidP="00DB74C9">
      <w:pPr>
        <w:rPr>
          <w:spacing w:val="-2"/>
        </w:rPr>
      </w:pPr>
      <w:r w:rsidRPr="00DB74C9">
        <w:rPr>
          <w:spacing w:val="-2"/>
          <w:rtl/>
        </w:rPr>
        <w:t xml:space="preserve">ويتم تسهيل تنفيذ الدول الأعضاء لخطة "الفضاء 2030" من خلال إقامة الشراكات وكذلك الدعم من عدد من الآليات ‏والبرامج والمشروعات والمنصات الدولية والإقليمية الموضحة في القسم </w:t>
      </w:r>
      <w:r w:rsidRPr="00DB74C9">
        <w:rPr>
          <w:spacing w:val="-2"/>
        </w:rPr>
        <w:t>II</w:t>
      </w:r>
      <w:r w:rsidRPr="00DB74C9">
        <w:rPr>
          <w:spacing w:val="-2"/>
          <w:rtl/>
        </w:rPr>
        <w:t xml:space="preserve"> من الجزء </w:t>
      </w:r>
      <w:r w:rsidRPr="00DB74C9">
        <w:rPr>
          <w:spacing w:val="-2"/>
        </w:rPr>
        <w:t>B</w:t>
      </w:r>
      <w:r w:rsidRPr="00DB74C9">
        <w:rPr>
          <w:spacing w:val="-2"/>
          <w:rtl/>
        </w:rPr>
        <w:t xml:space="preserve"> في الخطة. ويتعاون الاتحاد مع عدد من هذه الكيانات أو البرامج أو يساهم فيها على النحو المبين في وثيقة ‏المجلس بشأن التعاون مع منظومة الأمم المتحدة (انظر الوثيقة </w:t>
      </w:r>
      <w:hyperlink r:id="rId23" w:history="1">
        <w:r w:rsidR="00F12BDC" w:rsidRPr="00F12BDC">
          <w:rPr>
            <w:rStyle w:val="Hyperlink"/>
            <w:spacing w:val="-2"/>
            <w:szCs w:val="24"/>
          </w:rPr>
          <w:t>C24/55</w:t>
        </w:r>
      </w:hyperlink>
      <w:r w:rsidRPr="00DB74C9">
        <w:rPr>
          <w:spacing w:val="-2"/>
          <w:rtl/>
        </w:rPr>
        <w:t>‎‏).‏</w:t>
      </w:r>
    </w:p>
    <w:p w14:paraId="47001970" w14:textId="06D92D0C" w:rsidR="00DB74C9" w:rsidRPr="00DB74C9" w:rsidRDefault="00F12BDC" w:rsidP="00F12BDC">
      <w:pPr>
        <w:pStyle w:val="Heading1"/>
      </w:pPr>
      <w:r>
        <w:t>2</w:t>
      </w:r>
      <w:r w:rsidR="00DB74C9" w:rsidRPr="00DB74C9">
        <w:rPr>
          <w:rtl/>
        </w:rPr>
        <w:tab/>
        <w:t>هيكل خطة "الفضاء ‏‎2030‎‏"‏</w:t>
      </w:r>
    </w:p>
    <w:p w14:paraId="69DCBB7F" w14:textId="04874AA7" w:rsidR="00DB74C9" w:rsidRPr="00DB74C9" w:rsidRDefault="00DB74C9" w:rsidP="00DB74C9">
      <w:pPr>
        <w:rPr>
          <w:rtl/>
          <w:lang w:bidi="ar-EG"/>
        </w:rPr>
      </w:pPr>
      <w:r w:rsidRPr="00DB74C9">
        <w:rPr>
          <w:rtl/>
        </w:rPr>
        <w:t>"تتمحور الأهداف العامة الأربعة للخطة حول الركائز الأربع المتمثلة في اقتصاد الفضاء، ومجتمع الفضاء، وإمكانية الوصول إلى الفضاء، ودبلوماسية الفضاء. وهذه الركائز الأربع متكاملة وتعزِّز إحداها الأخرى." (انظر ‏الفقرة ‏‎6‎‏ من الخطة)‏</w:t>
      </w:r>
      <w:r w:rsidR="00F12BDC">
        <w:rPr>
          <w:rFonts w:hint="cs"/>
          <w:rtl/>
          <w:lang w:bidi="ar-EG"/>
        </w:rPr>
        <w:t>:</w:t>
      </w:r>
    </w:p>
    <w:p w14:paraId="5411E0DC" w14:textId="5BD68352" w:rsidR="00DB74C9" w:rsidRPr="00DB74C9" w:rsidRDefault="00F12BDC" w:rsidP="00E502A0">
      <w:pPr>
        <w:pStyle w:val="enumlev1"/>
        <w:rPr>
          <w:lang w:bidi="ar-SA"/>
        </w:rPr>
      </w:pPr>
      <w:r w:rsidRPr="00F12BDC">
        <w:rPr>
          <w:lang w:bidi="ar-SA"/>
        </w:rPr>
        <w:sym w:font="Symbol" w:char="F0B7"/>
      </w:r>
      <w:r>
        <w:rPr>
          <w:rtl/>
        </w:rPr>
        <w:tab/>
      </w:r>
      <w:r w:rsidR="00DB74C9" w:rsidRPr="00DB74C9">
        <w:rPr>
          <w:rtl/>
        </w:rPr>
        <w:t>الهدف الشامل 1</w:t>
      </w:r>
      <w:r w:rsidR="00DB74C9" w:rsidRPr="00DB74C9">
        <w:t>:</w:t>
      </w:r>
      <w:r w:rsidR="00DB74C9" w:rsidRPr="00DB74C9">
        <w:rPr>
          <w:rtl/>
        </w:rPr>
        <w:t xml:space="preserve"> تعزيز الفوائد الاقتصادية المستمدة من الفضاء وتدعيم دور قطاع الفضاء كمحرك رئيسي للتنمية المستدامة (يتضمن هذا الجزء 8 أهداف محددة).</w:t>
      </w:r>
    </w:p>
    <w:p w14:paraId="4CEC3D13" w14:textId="16733D2F" w:rsidR="00DB74C9" w:rsidRPr="00DB74C9" w:rsidRDefault="00F12BDC" w:rsidP="00E502A0">
      <w:pPr>
        <w:pStyle w:val="enumlev1"/>
        <w:rPr>
          <w:lang w:bidi="ar-SA"/>
        </w:rPr>
      </w:pPr>
      <w:r w:rsidRPr="00F12BDC">
        <w:rPr>
          <w:lang w:bidi="ar-SA"/>
        </w:rPr>
        <w:sym w:font="Symbol" w:char="F0B7"/>
      </w:r>
      <w:r>
        <w:rPr>
          <w:rtl/>
        </w:rPr>
        <w:tab/>
      </w:r>
      <w:r w:rsidR="00DB74C9" w:rsidRPr="00DB74C9">
        <w:rPr>
          <w:rtl/>
        </w:rPr>
        <w:t>الهدف الشامل 2</w:t>
      </w:r>
      <w:r w:rsidR="00DB74C9" w:rsidRPr="00DB74C9">
        <w:t>:</w:t>
      </w:r>
      <w:r w:rsidR="00DB74C9" w:rsidRPr="00DB74C9">
        <w:rPr>
          <w:rtl/>
        </w:rPr>
        <w:t xml:space="preserve"> تسخير إمكانات الفضاء لحل المشكلات اليومية والاستفادة من الابتكارات ذات الصلة بالفضاء في</w:t>
      </w:r>
      <w:r w:rsidR="00E502A0">
        <w:rPr>
          <w:rFonts w:hint="cs"/>
          <w:rtl/>
        </w:rPr>
        <w:t> </w:t>
      </w:r>
      <w:r w:rsidR="00DB74C9" w:rsidRPr="00DB74C9">
        <w:rPr>
          <w:rtl/>
        </w:rPr>
        <w:t>تحسين نوعية الحياة (يتضمن هذا الجزء 8 أهداف).</w:t>
      </w:r>
    </w:p>
    <w:p w14:paraId="1DEFE3FC" w14:textId="33AB8D04" w:rsidR="00DB74C9" w:rsidRPr="00DB74C9" w:rsidRDefault="00F12BDC" w:rsidP="00E502A0">
      <w:pPr>
        <w:pStyle w:val="enumlev1"/>
        <w:rPr>
          <w:lang w:bidi="ar-SA"/>
        </w:rPr>
      </w:pPr>
      <w:r w:rsidRPr="00F12BDC">
        <w:rPr>
          <w:lang w:bidi="ar-SA"/>
        </w:rPr>
        <w:sym w:font="Symbol" w:char="F0B7"/>
      </w:r>
      <w:r>
        <w:rPr>
          <w:rtl/>
        </w:rPr>
        <w:tab/>
      </w:r>
      <w:r w:rsidR="00DB74C9" w:rsidRPr="00DB74C9">
        <w:rPr>
          <w:rtl/>
        </w:rPr>
        <w:t>الهدف الشامل 3</w:t>
      </w:r>
      <w:r w:rsidR="00DB74C9" w:rsidRPr="00DB74C9">
        <w:t>:</w:t>
      </w:r>
      <w:r w:rsidR="00DB74C9" w:rsidRPr="00DB74C9">
        <w:rPr>
          <w:rtl/>
        </w:rPr>
        <w:t xml:space="preserve"> تحسين سبل وصول الجميع إلى الفضاء وضمان انتفاع جميع البلدان اجتماعيّا</w:t>
      </w:r>
      <w:r w:rsidR="00E502A0">
        <w:rPr>
          <w:rFonts w:hint="cs"/>
          <w:rtl/>
        </w:rPr>
        <w:t>ً</w:t>
      </w:r>
      <w:r w:rsidR="00DB74C9" w:rsidRPr="00DB74C9">
        <w:rPr>
          <w:rtl/>
        </w:rPr>
        <w:t xml:space="preserve"> واقتصاديّا</w:t>
      </w:r>
      <w:r w:rsidR="00101BD9">
        <w:rPr>
          <w:rFonts w:hint="cs"/>
          <w:rtl/>
        </w:rPr>
        <w:t>ً</w:t>
      </w:r>
      <w:r w:rsidR="00DB74C9" w:rsidRPr="00DB74C9">
        <w:rPr>
          <w:rtl/>
        </w:rPr>
        <w:t xml:space="preserve"> من تطبيقات علوم وتكنولوجيا الفضاء والبيانات والمعلومات والمنتجات الفضائية، مما يدعم تحقيق أهداف التنمية المستدامة (يتضمن هذا الجزء 10 أهداف أبرزت في الفقرة 1 من "</w:t>
      </w:r>
      <w:r w:rsidR="00DB74C9" w:rsidRPr="00101BD9">
        <w:rPr>
          <w:i/>
          <w:iCs/>
          <w:rtl/>
        </w:rPr>
        <w:t>يقرر</w:t>
      </w:r>
      <w:r w:rsidR="00DB74C9" w:rsidRPr="00DB74C9">
        <w:rPr>
          <w:rtl/>
        </w:rPr>
        <w:t>" في القرار 218 (بوخارست، 2022)).</w:t>
      </w:r>
    </w:p>
    <w:p w14:paraId="170A0B79" w14:textId="04EB8AFD" w:rsidR="00DB74C9" w:rsidRPr="00DB74C9" w:rsidRDefault="00F12BDC" w:rsidP="00E502A0">
      <w:pPr>
        <w:pStyle w:val="enumlev1"/>
        <w:rPr>
          <w:lang w:bidi="ar-SA"/>
        </w:rPr>
      </w:pPr>
      <w:r w:rsidRPr="00F12BDC">
        <w:rPr>
          <w:lang w:bidi="ar-SA"/>
        </w:rPr>
        <w:sym w:font="Symbol" w:char="F0B7"/>
      </w:r>
      <w:r>
        <w:rPr>
          <w:rtl/>
        </w:rPr>
        <w:tab/>
      </w:r>
      <w:r w:rsidR="00DB74C9" w:rsidRPr="00DB74C9">
        <w:rPr>
          <w:rtl/>
        </w:rPr>
        <w:t>الهدف الشامل ‏‎4‎‏: بناء الشراكات وتوطيد التعاون الدولي في استخدام الفضاء الخارجي في الأغراض السلمية وفي</w:t>
      </w:r>
      <w:r w:rsidR="00101BD9">
        <w:rPr>
          <w:rFonts w:hint="cs"/>
          <w:rtl/>
        </w:rPr>
        <w:t> </w:t>
      </w:r>
      <w:r w:rsidR="00DB74C9" w:rsidRPr="00DB74C9">
        <w:rPr>
          <w:rtl/>
        </w:rPr>
        <w:t xml:space="preserve">‏الإدارة العالمية لأنشطة الفضاء الخارجي (يتضمن هذا الجزء 10 أهداف أبرزت في الفقرة </w:t>
      </w:r>
      <w:r w:rsidR="00DB74C9" w:rsidRPr="00101BD9">
        <w:rPr>
          <w:i/>
          <w:iCs/>
          <w:rtl/>
        </w:rPr>
        <w:t>ج)</w:t>
      </w:r>
      <w:r w:rsidR="00DB74C9" w:rsidRPr="00DB74C9">
        <w:rPr>
          <w:rtl/>
        </w:rPr>
        <w:t xml:space="preserve"> من "</w:t>
      </w:r>
      <w:r w:rsidR="00C01925">
        <w:rPr>
          <w:rFonts w:hint="cs"/>
          <w:rtl/>
        </w:rPr>
        <w:t> </w:t>
      </w:r>
      <w:r w:rsidR="00DB74C9" w:rsidRPr="00101BD9">
        <w:rPr>
          <w:i/>
          <w:iCs/>
          <w:rtl/>
        </w:rPr>
        <w:t>إذ يذك</w:t>
      </w:r>
      <w:r w:rsidR="00C01925">
        <w:rPr>
          <w:rFonts w:hint="cs"/>
          <w:i/>
          <w:iCs/>
          <w:rtl/>
        </w:rPr>
        <w:t>ِّ</w:t>
      </w:r>
      <w:r w:rsidR="00DB74C9" w:rsidRPr="00101BD9">
        <w:rPr>
          <w:i/>
          <w:iCs/>
          <w:rtl/>
        </w:rPr>
        <w:t>ر</w:t>
      </w:r>
      <w:r w:rsidR="00DB74C9" w:rsidRPr="00DB74C9">
        <w:rPr>
          <w:rtl/>
        </w:rPr>
        <w:t>" في ‏القرار</w:t>
      </w:r>
      <w:r w:rsidR="00101BD9">
        <w:rPr>
          <w:rFonts w:hint="cs"/>
          <w:rtl/>
        </w:rPr>
        <w:t> </w:t>
      </w:r>
      <w:r w:rsidR="00DB74C9" w:rsidRPr="00DB74C9">
        <w:rPr>
          <w:rtl/>
        </w:rPr>
        <w:t>218</w:t>
      </w:r>
      <w:r w:rsidR="00C01925">
        <w:rPr>
          <w:rFonts w:hint="cs"/>
          <w:rtl/>
        </w:rPr>
        <w:t> </w:t>
      </w:r>
      <w:r w:rsidR="00DB74C9" w:rsidRPr="00DB74C9">
        <w:rPr>
          <w:rtl/>
        </w:rPr>
        <w:t>(بوخارست، 2022)).‏</w:t>
      </w:r>
    </w:p>
    <w:p w14:paraId="7766DB06" w14:textId="069B0C1D" w:rsidR="00DB74C9" w:rsidRPr="00DB74C9" w:rsidRDefault="00101BD9" w:rsidP="00101BD9">
      <w:pPr>
        <w:pStyle w:val="Heading1"/>
      </w:pPr>
      <w:r>
        <w:t>3</w:t>
      </w:r>
      <w:r w:rsidR="00DB74C9" w:rsidRPr="00DB74C9">
        <w:rPr>
          <w:rtl/>
        </w:rPr>
        <w:tab/>
        <w:t xml:space="preserve">مساهمة الأولويات </w:t>
      </w:r>
      <w:proofErr w:type="spellStart"/>
      <w:r w:rsidR="00DB74C9" w:rsidRPr="00DB74C9">
        <w:rPr>
          <w:rtl/>
        </w:rPr>
        <w:t>المواضيعية</w:t>
      </w:r>
      <w:proofErr w:type="spellEnd"/>
      <w:r w:rsidR="00DB74C9" w:rsidRPr="00DB74C9">
        <w:rPr>
          <w:rtl/>
        </w:rPr>
        <w:t xml:space="preserve"> للاتحاد في تنفيذ خطة "الفضاء 2030"</w:t>
      </w:r>
    </w:p>
    <w:p w14:paraId="3FED6C9E" w14:textId="52F6B696" w:rsidR="00DB74C9" w:rsidRPr="00DB74C9" w:rsidRDefault="00DB74C9" w:rsidP="00DB74C9">
      <w:r w:rsidRPr="00DB74C9">
        <w:rPr>
          <w:rtl/>
        </w:rPr>
        <w:t>تدعم أنشطة الاتحاد المتعلقة بالفضاء معظم الأهداف الستة والثلاثين في خطة "الفضاء 2030" من خلال الأولويات ‏</w:t>
      </w:r>
      <w:proofErr w:type="spellStart"/>
      <w:r w:rsidRPr="00DB74C9">
        <w:rPr>
          <w:rtl/>
        </w:rPr>
        <w:t>المواضيعية</w:t>
      </w:r>
      <w:proofErr w:type="spellEnd"/>
      <w:r w:rsidRPr="00DB74C9">
        <w:rPr>
          <w:rtl/>
        </w:rPr>
        <w:t xml:space="preserve"> الخمس الموضحة في البند 6.2 من الملحق 1 في الخطة الاستراتيجية للاتحاد للفترة 2024-2027 الواردة في ‏القرار 71 (المراجَع في بوخارست، 2022)</w:t>
      </w:r>
      <w:r w:rsidR="00C01925">
        <w:rPr>
          <w:rFonts w:hint="cs"/>
          <w:rtl/>
        </w:rPr>
        <w:t>.</w:t>
      </w:r>
    </w:p>
    <w:p w14:paraId="126CB18F" w14:textId="3A4F636E" w:rsidR="00DB74C9" w:rsidRPr="00DB74C9" w:rsidRDefault="00A85094" w:rsidP="00A85094">
      <w:pPr>
        <w:pStyle w:val="Heading2"/>
      </w:pPr>
      <w:r>
        <w:t>1.3</w:t>
      </w:r>
      <w:r w:rsidR="00DB74C9" w:rsidRPr="00DB74C9">
        <w:rPr>
          <w:rtl/>
        </w:rPr>
        <w:tab/>
        <w:t xml:space="preserve">الأولوية </w:t>
      </w:r>
      <w:proofErr w:type="spellStart"/>
      <w:r w:rsidR="00DB74C9" w:rsidRPr="00DB74C9">
        <w:rPr>
          <w:rtl/>
        </w:rPr>
        <w:t>المواضيعية</w:t>
      </w:r>
      <w:proofErr w:type="spellEnd"/>
      <w:r w:rsidR="00DB74C9" w:rsidRPr="00DB74C9">
        <w:rPr>
          <w:rtl/>
        </w:rPr>
        <w:t xml:space="preserve"> 1 - استخدام الطيف لخدمات الفضاء والأرض</w:t>
      </w:r>
    </w:p>
    <w:p w14:paraId="6EE46B5A" w14:textId="5DC771BB" w:rsidR="00DB74C9" w:rsidRPr="00DB74C9" w:rsidRDefault="00DB74C9" w:rsidP="00DB74C9">
      <w:r w:rsidRPr="00DB74C9">
        <w:rPr>
          <w:rtl/>
        </w:rPr>
        <w:t xml:space="preserve">في سياق الخدمات الفضائية، تهدف هذه الأولوية </w:t>
      </w:r>
      <w:proofErr w:type="spellStart"/>
      <w:r w:rsidRPr="00DB74C9">
        <w:rPr>
          <w:rtl/>
        </w:rPr>
        <w:t>المواضيعية</w:t>
      </w:r>
      <w:proofErr w:type="spellEnd"/>
      <w:r w:rsidRPr="00DB74C9">
        <w:rPr>
          <w:rtl/>
        </w:rPr>
        <w:t xml:space="preserve"> إلى تحسين استعمال موارد الطيف/المدار في ‏خدمات الاتصالات الراديوية، مع تنسيق الجهود لمنع وحل التداخل الضار بين المحطات الفضائية ‏والأرضية لدى الدول الأعضاء في الاتحاد، ومن ثم ضمان بيئة تحكم في التداخل لأنظمة الفضاء العاملة التي ‏تعتمد على استعمال الترددات الراديوية‏.</w:t>
      </w:r>
    </w:p>
    <w:p w14:paraId="4BF74292" w14:textId="3913C881" w:rsidR="00DB74C9" w:rsidRPr="00DB74C9" w:rsidRDefault="00DB74C9" w:rsidP="00C01925">
      <w:r w:rsidRPr="00DB74C9">
        <w:rPr>
          <w:rtl/>
        </w:rPr>
        <w:t xml:space="preserve">في عام 2023، وفي إطار هذه الأولوية </w:t>
      </w:r>
      <w:proofErr w:type="spellStart"/>
      <w:r w:rsidRPr="00DB74C9">
        <w:rPr>
          <w:rtl/>
        </w:rPr>
        <w:t>المواضيعية</w:t>
      </w:r>
      <w:proofErr w:type="spellEnd"/>
      <w:r w:rsidRPr="00DB74C9">
        <w:rPr>
          <w:rtl/>
        </w:rPr>
        <w:t xml:space="preserve">، كانت معظم الأنشطة المضطلع بها تتعلق بالهدف </w:t>
      </w:r>
      <w:r w:rsidR="005018CF">
        <w:t>5.1</w:t>
      </w:r>
      <w:r w:rsidRPr="00DB74C9">
        <w:rPr>
          <w:rtl/>
        </w:rPr>
        <w:t xml:space="preserve"> من "خطة الفضاء" بشأن "تمكين الأنشطة الفضائية للجميع، استناداً إلى القانون الدولي، من خلال تعزيز إطار دولي ييسر النفاذ المتكافئ إلى الفضاء للجميع، بما في ذلك البلدان غير المرتادة للفضاء، ويشجع السلامة والابتكار" والهدف </w:t>
      </w:r>
      <w:r w:rsidR="005018CF">
        <w:t>6.3</w:t>
      </w:r>
      <w:r w:rsidRPr="00DB74C9">
        <w:rPr>
          <w:rtl/>
        </w:rPr>
        <w:t xml:space="preserve"> من "خطة الفضاء" بشأن "تشجيع </w:t>
      </w:r>
      <w:r w:rsidRPr="00DB74C9">
        <w:rPr>
          <w:rtl/>
        </w:rPr>
        <w:lastRenderedPageBreak/>
        <w:t>ودعم استخدام تكنولوجيات الفضاء لتحسين النفاذ إلى البيانات وتكنولوجيات النطاق العريض في جميع أنحاء العالم، مع إيلاء اهتمام خاص للبلدان النامية والمناطق ذات البنية التحتية الأقل تطوراً"</w:t>
      </w:r>
      <w:r w:rsidR="001F642B">
        <w:rPr>
          <w:rFonts w:hint="cs"/>
          <w:rtl/>
        </w:rPr>
        <w:t>:</w:t>
      </w:r>
    </w:p>
    <w:p w14:paraId="67C1C403" w14:textId="07FA3DE3" w:rsidR="00DB74C9" w:rsidRPr="00DB74C9" w:rsidRDefault="000D54BF" w:rsidP="0055311A">
      <w:pPr>
        <w:pStyle w:val="enumlev1"/>
        <w:rPr>
          <w:lang w:bidi="ar-SA"/>
        </w:rPr>
      </w:pPr>
      <w:r w:rsidRPr="00F12BDC">
        <w:rPr>
          <w:lang w:bidi="ar-SA"/>
        </w:rPr>
        <w:sym w:font="Symbol" w:char="F0B7"/>
      </w:r>
      <w:r>
        <w:rPr>
          <w:rtl/>
        </w:rPr>
        <w:tab/>
      </w:r>
      <w:r w:rsidR="00DB74C9" w:rsidRPr="00DB74C9">
        <w:rPr>
          <w:rtl/>
        </w:rPr>
        <w:t>بالإضافة إلى تنفيذ القرار</w:t>
      </w:r>
      <w:r>
        <w:rPr>
          <w:rFonts w:hint="cs"/>
          <w:rtl/>
        </w:rPr>
        <w:t xml:space="preserve"> </w:t>
      </w:r>
      <w:r w:rsidRPr="000D54BF">
        <w:rPr>
          <w:b/>
          <w:bCs/>
        </w:rPr>
        <w:t>559 (WRC</w:t>
      </w:r>
      <w:r w:rsidRPr="000D54BF">
        <w:rPr>
          <w:b/>
          <w:bCs/>
        </w:rPr>
        <w:noBreakHyphen/>
        <w:t>19)</w:t>
      </w:r>
      <w:r w:rsidR="00DB74C9" w:rsidRPr="00DB74C9">
        <w:rPr>
          <w:rtl/>
        </w:rPr>
        <w:t xml:space="preserve"> وتقديم المساعدة إلى سبع دول أعضاء للحصول على تعييناتها الخاصة في</w:t>
      </w:r>
      <w:r>
        <w:rPr>
          <w:rFonts w:hint="cs"/>
          <w:rtl/>
        </w:rPr>
        <w:t> </w:t>
      </w:r>
      <w:r w:rsidR="00DB74C9" w:rsidRPr="00DB74C9">
        <w:rPr>
          <w:rtl/>
        </w:rPr>
        <w:t xml:space="preserve">خطة الخدمة الثابتة الساتلية (انظر الملحق 1)، عدّل المؤتمر WRC-23 المادة 7 من التذييل </w:t>
      </w:r>
      <w:r w:rsidR="00DB74C9" w:rsidRPr="00DB74C9">
        <w:rPr>
          <w:b/>
          <w:bCs/>
          <w:rtl/>
        </w:rPr>
        <w:t>30B</w:t>
      </w:r>
      <w:r w:rsidR="00DB74C9" w:rsidRPr="00DB74C9">
        <w:rPr>
          <w:rtl/>
        </w:rPr>
        <w:t xml:space="preserve"> لتسهيل حصول الدول الأعضاء الجديدة على تعيينات في المستقبل.</w:t>
      </w:r>
    </w:p>
    <w:p w14:paraId="0F89934A" w14:textId="0134DB12" w:rsidR="00DB74C9" w:rsidRPr="00DB74C9" w:rsidRDefault="000D54BF" w:rsidP="0055311A">
      <w:pPr>
        <w:pStyle w:val="enumlev1"/>
        <w:rPr>
          <w:lang w:bidi="ar-SA"/>
        </w:rPr>
      </w:pPr>
      <w:r w:rsidRPr="00F12BDC">
        <w:rPr>
          <w:lang w:bidi="ar-SA"/>
        </w:rPr>
        <w:sym w:font="Symbol" w:char="F0B7"/>
      </w:r>
      <w:r>
        <w:rPr>
          <w:rtl/>
        </w:rPr>
        <w:tab/>
      </w:r>
      <w:r w:rsidR="00DB74C9" w:rsidRPr="00DB74C9">
        <w:rPr>
          <w:rtl/>
        </w:rPr>
        <w:t>ساعد الاتحاد عدداً من الدول الأعضاء على استكمال العملية التنظيمية للتنسيق والتبليغ عن الشبكات الساتلية في</w:t>
      </w:r>
      <w:r w:rsidR="00C515AC">
        <w:rPr>
          <w:rFonts w:hint="cs"/>
          <w:rtl/>
        </w:rPr>
        <w:t> </w:t>
      </w:r>
      <w:r w:rsidR="00DB74C9" w:rsidRPr="00DB74C9">
        <w:rPr>
          <w:rtl/>
        </w:rPr>
        <w:t>الخدمات غير المخططة بحيث تتمكن من بدء عمليات التشغيل بنجاح.</w:t>
      </w:r>
    </w:p>
    <w:p w14:paraId="2BE43C73" w14:textId="2089A116" w:rsidR="00DB74C9" w:rsidRPr="00DB74C9" w:rsidRDefault="000D54BF" w:rsidP="0055311A">
      <w:pPr>
        <w:pStyle w:val="enumlev1"/>
        <w:rPr>
          <w:lang w:bidi="ar-SA"/>
        </w:rPr>
      </w:pPr>
      <w:r w:rsidRPr="00F12BDC">
        <w:rPr>
          <w:lang w:bidi="ar-SA"/>
        </w:rPr>
        <w:sym w:font="Symbol" w:char="F0B7"/>
      </w:r>
      <w:r>
        <w:rPr>
          <w:rtl/>
        </w:rPr>
        <w:tab/>
      </w:r>
      <w:r w:rsidR="00DB74C9" w:rsidRPr="00DB74C9">
        <w:rPr>
          <w:rtl/>
        </w:rPr>
        <w:t>ساعد الاتحاد الإدارات ومشغلي السواتل على حل حالات التداخل الضار التي تحول دون التشغيل العادي.</w:t>
      </w:r>
    </w:p>
    <w:p w14:paraId="6DEFD4F3" w14:textId="10D516CE" w:rsidR="00DB74C9" w:rsidRPr="00C515AC" w:rsidRDefault="000D54BF" w:rsidP="0055311A">
      <w:pPr>
        <w:pStyle w:val="enumlev1"/>
        <w:rPr>
          <w:spacing w:val="-2"/>
          <w:lang w:bidi="ar-SA"/>
        </w:rPr>
      </w:pPr>
      <w:r w:rsidRPr="00C515AC">
        <w:rPr>
          <w:spacing w:val="-2"/>
          <w:lang w:bidi="ar-SA"/>
        </w:rPr>
        <w:sym w:font="Symbol" w:char="F0B7"/>
      </w:r>
      <w:r w:rsidRPr="00C515AC">
        <w:rPr>
          <w:spacing w:val="-2"/>
          <w:rtl/>
        </w:rPr>
        <w:tab/>
      </w:r>
      <w:r w:rsidR="00DB74C9" w:rsidRPr="00C515AC">
        <w:rPr>
          <w:spacing w:val="-2"/>
          <w:rtl/>
        </w:rPr>
        <w:t>فيما يتعلق بالخدمات غير المخططة، قدم عدد كبير من الإدارات بطاقات تبليغ عن شبكات ساتلية: في وقت إعداد هذا التقرير، قدمت 116 دولة من أصل 193 دولة عضواً في الاتحاد بطاقات تبليغ عن شبكات ساتلية إلى الاتحاد. وفي</w:t>
      </w:r>
      <w:r w:rsidR="00C515AC" w:rsidRPr="00C515AC">
        <w:rPr>
          <w:rFonts w:hint="cs"/>
          <w:spacing w:val="-2"/>
          <w:rtl/>
        </w:rPr>
        <w:t> </w:t>
      </w:r>
      <w:r w:rsidR="00DB74C9" w:rsidRPr="00C515AC">
        <w:rPr>
          <w:spacing w:val="-2"/>
          <w:rtl/>
        </w:rPr>
        <w:t>عام</w:t>
      </w:r>
      <w:r w:rsidR="008A2AB4">
        <w:rPr>
          <w:rFonts w:hint="cs"/>
          <w:spacing w:val="-2"/>
          <w:rtl/>
        </w:rPr>
        <w:t> </w:t>
      </w:r>
      <w:r w:rsidR="00DB74C9" w:rsidRPr="00C515AC">
        <w:rPr>
          <w:spacing w:val="-2"/>
          <w:rtl/>
        </w:rPr>
        <w:t>2023، ورد عدد قياسي من معلومات النشر المسبق (464 في المجموع) من 48 إدارة، وورد 248 طلب تنسيق من 38 إدارة، وورد 129 تبليغاً من 32 إدارة. ووردت بطاقات تبليغ عن شبكات ساتلية من 60 إدارة في</w:t>
      </w:r>
      <w:r w:rsidR="00C515AC" w:rsidRPr="00C515AC">
        <w:rPr>
          <w:rFonts w:hint="cs"/>
          <w:spacing w:val="-2"/>
          <w:rtl/>
        </w:rPr>
        <w:t> </w:t>
      </w:r>
      <w:r w:rsidR="00DB74C9" w:rsidRPr="00C515AC">
        <w:rPr>
          <w:spacing w:val="-2"/>
          <w:rtl/>
        </w:rPr>
        <w:t>المجموع في عام</w:t>
      </w:r>
      <w:r w:rsidR="008A2AB4">
        <w:rPr>
          <w:rFonts w:hint="cs"/>
          <w:spacing w:val="-2"/>
          <w:rtl/>
        </w:rPr>
        <w:t> </w:t>
      </w:r>
      <w:r w:rsidR="00DB74C9" w:rsidRPr="00C515AC">
        <w:rPr>
          <w:spacing w:val="-2"/>
          <w:rtl/>
        </w:rPr>
        <w:t>2023، عبر مختلف الإجراءات.</w:t>
      </w:r>
    </w:p>
    <w:p w14:paraId="24C971EE" w14:textId="6902F83B" w:rsidR="00DB74C9" w:rsidRPr="00DB74C9" w:rsidRDefault="000D54BF" w:rsidP="0055311A">
      <w:pPr>
        <w:pStyle w:val="enumlev1"/>
        <w:rPr>
          <w:lang w:bidi="ar-SA"/>
        </w:rPr>
      </w:pPr>
      <w:r w:rsidRPr="00F12BDC">
        <w:rPr>
          <w:lang w:bidi="ar-SA"/>
        </w:rPr>
        <w:sym w:font="Symbol" w:char="F0B7"/>
      </w:r>
      <w:r>
        <w:rPr>
          <w:rtl/>
        </w:rPr>
        <w:tab/>
      </w:r>
      <w:r w:rsidR="00DB74C9" w:rsidRPr="00DB74C9">
        <w:rPr>
          <w:rtl/>
        </w:rPr>
        <w:t xml:space="preserve">وبغية تلبية الاحتياجات المتزايدة للصناعة، أعد قطاع الاتصالات الراديوية </w:t>
      </w:r>
      <w:hyperlink r:id="rId24" w:history="1">
        <w:r w:rsidR="00DB74C9" w:rsidRPr="00C515AC">
          <w:rPr>
            <w:rStyle w:val="Hyperlink"/>
            <w:rtl/>
          </w:rPr>
          <w:t>كتيباً بشأن السواتل الصغيرة</w:t>
        </w:r>
      </w:hyperlink>
      <w:r w:rsidR="00DB74C9" w:rsidRPr="00DB74C9">
        <w:rPr>
          <w:rtl/>
        </w:rPr>
        <w:t>. وهذا الكتيب متاح للجميع للتحميل المجاني من الموقع الإلكتروني للاتحاد.</w:t>
      </w:r>
    </w:p>
    <w:p w14:paraId="5F24707B" w14:textId="6052D2CE" w:rsidR="00DB74C9" w:rsidRPr="00DB74C9" w:rsidRDefault="00DB74C9" w:rsidP="00DB74C9">
      <w:r w:rsidRPr="00DB74C9">
        <w:rPr>
          <w:rtl/>
        </w:rPr>
        <w:t>وفيما يتعلق بالهدف 3.3 من خطة "الفضاء 2030" بشأن "تعزيز الاستكشاف خارج المدار الأرضي المنخفض، حيث إن المساهمات العلمية والتكنولوجية والاقتصادية والملهمة لتلك البعثات ستعود بالفائدة على البشرية"، قرر المؤتمر WRC-23 أن يدرج في جدول أعمال المؤتمر WRC-27 النظر في إجراء دراسات بشأن المسائل المتعلقة بالترددات، بما في ذلك منح توزيعات جديدة أو معدلة محتملة لخدمة الأبحاث الفضائية (فضاء-فضاء) لتطوير الاتصالات في المستقبل على سطح القمر وبين المدار القمري وسطح القمر، وفقاً للقرار</w:t>
      </w:r>
      <w:r w:rsidR="00C515AC">
        <w:rPr>
          <w:rFonts w:hint="cs"/>
          <w:rtl/>
        </w:rPr>
        <w:t xml:space="preserve"> </w:t>
      </w:r>
      <w:r w:rsidR="000552F5" w:rsidRPr="000552F5">
        <w:rPr>
          <w:b/>
          <w:bCs/>
        </w:rPr>
        <w:t>680 (WRC-23)</w:t>
      </w:r>
      <w:r w:rsidRPr="00DB74C9">
        <w:rPr>
          <w:rtl/>
        </w:rPr>
        <w:t>.</w:t>
      </w:r>
    </w:p>
    <w:p w14:paraId="13FC014B" w14:textId="1A25009D" w:rsidR="00DB74C9" w:rsidRPr="00DB74C9" w:rsidRDefault="00DB74C9" w:rsidP="00DB74C9">
      <w:r w:rsidRPr="00DB74C9">
        <w:rPr>
          <w:rtl/>
        </w:rPr>
        <w:t xml:space="preserve">وفيما يتعلق بالهدف 8.3 من خطة "الفضاء 2030" بشأن "زيادة الوعي بمخاطر الأحوال الجوية الفضائية السيئة والتخفيف من تلك المخاطر من أجل ضمان زيادة القدرة العالمية على الصمود في وجه آثار الأحوال الجوية الفضائية، وتحسين التنسيق الدولي للأنشطة المتعلقة بالأحوال الجوية الفضائية، بما في ذلك إذكاء الوعي والتواصل وبناء القدرات، وكذلك إنشاء آلية دولية لتعزيز التنسيق رفيع المستوى فيما يتعلق بالأحوال الجوية الفضائية وزيادة القدرة العالمية على الصمود في وجه آثار الأحوال الجوية الفضائية"، أدخل المؤتمر WRC-23 تعريفاً للأحوال الجوية الفضائية في لوائح الراديو واعتمد القرار </w:t>
      </w:r>
      <w:r w:rsidR="000552F5" w:rsidRPr="000552F5">
        <w:rPr>
          <w:b/>
          <w:bCs/>
        </w:rPr>
        <w:t>6</w:t>
      </w:r>
      <w:r w:rsidR="000552F5">
        <w:rPr>
          <w:b/>
          <w:bCs/>
        </w:rPr>
        <w:t>75</w:t>
      </w:r>
      <w:r w:rsidR="000552F5" w:rsidRPr="000552F5">
        <w:rPr>
          <w:b/>
          <w:bCs/>
        </w:rPr>
        <w:t> (WRC-23)</w:t>
      </w:r>
      <w:r w:rsidRPr="00DB74C9">
        <w:rPr>
          <w:rtl/>
        </w:rPr>
        <w:t xml:space="preserve"> بشأن أهمية تطبيقات خدمة مساعدات الأرصاد الجوية (الأحوال الجوية الفضائية) وقرر تكليف المؤتمر WRC-27 بالنظر في</w:t>
      </w:r>
      <w:r w:rsidR="006A6740">
        <w:rPr>
          <w:rFonts w:hint="cs"/>
          <w:rtl/>
        </w:rPr>
        <w:t> </w:t>
      </w:r>
      <w:r w:rsidRPr="00DB74C9">
        <w:rPr>
          <w:rtl/>
        </w:rPr>
        <w:t>الأحكام التنظيمية لأجهزة استشعار الأحوال الجوية الفضائية بأسلوب الاستقبال فقط وحمايتها في لوائح الراديو، مع مراعاة نتائج دراسات قطاع الاتصالات الراديوية بالاتحاد،</w:t>
      </w:r>
      <w:r w:rsidR="0010751A">
        <w:rPr>
          <w:rtl/>
        </w:rPr>
        <w:t xml:space="preserve"> </w:t>
      </w:r>
      <w:r w:rsidRPr="00DB74C9">
        <w:rPr>
          <w:rtl/>
        </w:rPr>
        <w:t xml:space="preserve">وفقاً للقرار </w:t>
      </w:r>
      <w:r w:rsidR="000552F5" w:rsidRPr="000552F5">
        <w:rPr>
          <w:b/>
          <w:bCs/>
        </w:rPr>
        <w:t>68</w:t>
      </w:r>
      <w:r w:rsidR="006A3433">
        <w:rPr>
          <w:b/>
          <w:bCs/>
        </w:rPr>
        <w:t>2</w:t>
      </w:r>
      <w:r w:rsidR="000552F5" w:rsidRPr="000552F5">
        <w:rPr>
          <w:b/>
          <w:bCs/>
        </w:rPr>
        <w:t> (WRC-23)</w:t>
      </w:r>
      <w:r w:rsidRPr="00DB74C9">
        <w:rPr>
          <w:rtl/>
        </w:rPr>
        <w:t>.</w:t>
      </w:r>
    </w:p>
    <w:p w14:paraId="45CA4F38" w14:textId="4B12DFC9" w:rsidR="00DB74C9" w:rsidRPr="00DB74C9" w:rsidRDefault="00DB74C9" w:rsidP="00DB74C9">
      <w:r w:rsidRPr="00DB74C9">
        <w:rPr>
          <w:rtl/>
        </w:rPr>
        <w:t xml:space="preserve">وفيما يتعلق بالهدف 5.4 من خطة "الفضاء 2030" بشأن "ضمان استدامة أنشطة الفضاء الخارجي على المدى الطويل والحفاظ على بيئة الفضاء الخارجي لأغراض الاستعمالات السلمية، بما في ذلك من خلال التنفيذ الطوعي للديباجة المعتمدة والمبادئ التوجيهية لاستدامة أنشطة الفضاء الخارجي على المدى الطويل وتبادل الخبرات في تنفيذ المبادئ التوجيهية، والتصدي للتحديات والمخاطر والتهديدات الجديدة التي تواجه استدامة أنشطة الفضاء الخارجي على المدى الطويل"، اعتمدت جمعية الاتصالات الراديوية لعام 2023 </w:t>
      </w:r>
      <w:hyperlink r:id="rId25" w:history="1">
        <w:r w:rsidRPr="00DB74C9">
          <w:rPr>
            <w:rStyle w:val="Hyperlink"/>
            <w:rtl/>
          </w:rPr>
          <w:t>القرار ITU-R 74</w:t>
        </w:r>
      </w:hyperlink>
      <w:r w:rsidR="006A3433" w:rsidRPr="00DB74C9">
        <w:rPr>
          <w:rtl/>
        </w:rPr>
        <w:t xml:space="preserve"> </w:t>
      </w:r>
      <w:r w:rsidRPr="00DB74C9">
        <w:rPr>
          <w:rtl/>
        </w:rPr>
        <w:t>بشأن "الأنشطة المتعلقة بالاستعمال المستدام للموارد من طيف الترددات الراديوية وما يرتبط به من مدارات ساتلية تستعملها الخدمات الفضائية". ونظم الاتحاد أيضاً مائدة مستديرة بشأن الفضاء في</w:t>
      </w:r>
      <w:r w:rsidR="0086407E">
        <w:rPr>
          <w:rFonts w:hint="cs"/>
          <w:rtl/>
        </w:rPr>
        <w:t> </w:t>
      </w:r>
      <w:r w:rsidRPr="00DB74C9">
        <w:rPr>
          <w:rtl/>
        </w:rPr>
        <w:t>دبي في</w:t>
      </w:r>
      <w:r w:rsidR="0086407E">
        <w:rPr>
          <w:rFonts w:hint="cs"/>
          <w:rtl/>
        </w:rPr>
        <w:t> </w:t>
      </w:r>
      <w:r w:rsidRPr="00DB74C9">
        <w:rPr>
          <w:rtl/>
        </w:rPr>
        <w:t>ديسمبر 2023 بمشاركة قادة من وكالات الفضاء ومشغلي السواتل ومكتب الأمم المتحدة لشؤون الفضاء الخارجي</w:t>
      </w:r>
      <w:r w:rsidR="00C62097">
        <w:rPr>
          <w:rFonts w:hint="cs"/>
          <w:rtl/>
        </w:rPr>
        <w:t> </w:t>
      </w:r>
      <w:r w:rsidR="001F642B">
        <w:t>(</w:t>
      </w:r>
      <w:r w:rsidR="001F642B" w:rsidRPr="00DB74C9">
        <w:t>UNOOSA</w:t>
      </w:r>
      <w:r w:rsidR="001F642B">
        <w:t>)</w:t>
      </w:r>
      <w:r w:rsidRPr="00DB74C9">
        <w:rPr>
          <w:rtl/>
        </w:rPr>
        <w:t xml:space="preserve"> والمنظمة العالمية للأرصاد الجوية (</w:t>
      </w:r>
      <w:r w:rsidRPr="00DB74C9">
        <w:t>WMO</w:t>
      </w:r>
      <w:r w:rsidRPr="00DB74C9">
        <w:rPr>
          <w:rtl/>
        </w:rPr>
        <w:t>) والهيئات الأكاديمية وأصحاب المصلحة الآخرين للتصدي للتحديات التي يواجهها مجتمع الفضاء واقتراح حلول تتماشى مع خطة "الفضاء 2030",</w:t>
      </w:r>
    </w:p>
    <w:p w14:paraId="7D4E014A" w14:textId="1D59C115" w:rsidR="00DB74C9" w:rsidRPr="00DB74C9" w:rsidRDefault="0086407E" w:rsidP="007517B7">
      <w:pPr>
        <w:pStyle w:val="Heading2"/>
      </w:pPr>
      <w:r>
        <w:t>2.3</w:t>
      </w:r>
      <w:r w:rsidR="00DB74C9" w:rsidRPr="00DB74C9">
        <w:rPr>
          <w:rtl/>
        </w:rPr>
        <w:tab/>
        <w:t xml:space="preserve">الأولوية </w:t>
      </w:r>
      <w:proofErr w:type="spellStart"/>
      <w:r w:rsidR="00DB74C9" w:rsidRPr="00DB74C9">
        <w:rPr>
          <w:rtl/>
        </w:rPr>
        <w:t>المواضيعية</w:t>
      </w:r>
      <w:proofErr w:type="spellEnd"/>
      <w:r w:rsidR="00DB74C9" w:rsidRPr="00DB74C9">
        <w:rPr>
          <w:rtl/>
        </w:rPr>
        <w:t xml:space="preserve"> 2 - موارد ترقيم الاتصالات الدولية</w:t>
      </w:r>
    </w:p>
    <w:p w14:paraId="34946DF1" w14:textId="0D3D6F81" w:rsidR="00DB74C9" w:rsidRPr="00DB74C9" w:rsidRDefault="00DB74C9" w:rsidP="00C62097">
      <w:r w:rsidRPr="00DB74C9">
        <w:rPr>
          <w:rtl/>
        </w:rPr>
        <w:t xml:space="preserve">هذه الأولوية </w:t>
      </w:r>
      <w:proofErr w:type="spellStart"/>
      <w:r w:rsidRPr="00DB74C9">
        <w:rPr>
          <w:rtl/>
        </w:rPr>
        <w:t>المواضيعية</w:t>
      </w:r>
      <w:proofErr w:type="spellEnd"/>
      <w:r w:rsidRPr="00DB74C9">
        <w:rPr>
          <w:rtl/>
        </w:rPr>
        <w:t xml:space="preserve"> هي دعم النفاذ إلى أنظمة الاتصالات الساتلية، وهي دولية في جوهرها، وإلى موارد ترقيم الاتصالات الدولية التي لا غنى عنها، والتي تعتمد عليها لتقديم خدمات الاتصالات الدولية.</w:t>
      </w:r>
    </w:p>
    <w:p w14:paraId="3D4A8C58" w14:textId="543B00FA" w:rsidR="00DB74C9" w:rsidRPr="00DB74C9" w:rsidRDefault="00DB74C9" w:rsidP="00C62097">
      <w:r w:rsidRPr="00DB74C9">
        <w:rPr>
          <w:rtl/>
        </w:rPr>
        <w:t xml:space="preserve">وإلى جانب السواتل المستقرة بالنسبة إلى الأرض، حدث توسع في تخصيصات الترقيم للخدمات المقدمة عبر سواتل المدار الأرضي المنخفض </w:t>
      </w:r>
      <w:r w:rsidR="001F642B">
        <w:t>(</w:t>
      </w:r>
      <w:r w:rsidR="001F642B" w:rsidRPr="00DB74C9">
        <w:t>LEO</w:t>
      </w:r>
      <w:r w:rsidR="001F642B">
        <w:t>)</w:t>
      </w:r>
      <w:r w:rsidRPr="00DB74C9">
        <w:rPr>
          <w:rtl/>
        </w:rPr>
        <w:t xml:space="preserve"> في السنوات الأخيرة. ويعدّ النفاذ إلى التوصيلية الساتلية أمراً أساسياً في تمكين خدمات الاتصالات </w:t>
      </w:r>
      <w:r w:rsidRPr="00DB74C9">
        <w:rPr>
          <w:rtl/>
        </w:rPr>
        <w:lastRenderedPageBreak/>
        <w:t>في</w:t>
      </w:r>
      <w:r w:rsidR="001F642B">
        <w:rPr>
          <w:rFonts w:hint="cs"/>
          <w:rtl/>
        </w:rPr>
        <w:t> </w:t>
      </w:r>
      <w:r w:rsidRPr="00DB74C9">
        <w:rPr>
          <w:rtl/>
        </w:rPr>
        <w:t>المجالات البحرية والجوية، وكذلك في المناطق النائية والمتفرقة جغرافياً التي لا تغطيها الشبكات المتنقلة البرية. وهذا يضمن استمرار توصيل هذه المجالات والمناطق، مما يؤكد الأهمية الحيوية لموارد الترقيم في التسليم السلس لخدمات الاتصالات الدولية عبر منصات وبيئات متنوعة.</w:t>
      </w:r>
    </w:p>
    <w:p w14:paraId="6FF6E4FB" w14:textId="19C0B31C" w:rsidR="00DB74C9" w:rsidRPr="001F642B" w:rsidRDefault="001F642B" w:rsidP="001F642B">
      <w:pPr>
        <w:pStyle w:val="Heading1"/>
        <w:rPr>
          <w:spacing w:val="-6"/>
        </w:rPr>
      </w:pPr>
      <w:r w:rsidRPr="001F642B">
        <w:rPr>
          <w:spacing w:val="-6"/>
        </w:rPr>
        <w:t>3.3</w:t>
      </w:r>
      <w:r w:rsidR="00DB74C9" w:rsidRPr="001F642B">
        <w:rPr>
          <w:spacing w:val="-6"/>
          <w:rtl/>
        </w:rPr>
        <w:tab/>
      </w:r>
      <w:r w:rsidR="00DB74C9" w:rsidRPr="00C62097">
        <w:rPr>
          <w:spacing w:val="2"/>
          <w:rtl/>
        </w:rPr>
        <w:t xml:space="preserve">الأولوية </w:t>
      </w:r>
      <w:proofErr w:type="spellStart"/>
      <w:r w:rsidR="00DB74C9" w:rsidRPr="00C62097">
        <w:rPr>
          <w:spacing w:val="2"/>
          <w:rtl/>
        </w:rPr>
        <w:t>المواضيعية</w:t>
      </w:r>
      <w:proofErr w:type="spellEnd"/>
      <w:r w:rsidR="00DB74C9" w:rsidRPr="00C62097">
        <w:rPr>
          <w:spacing w:val="2"/>
          <w:rtl/>
        </w:rPr>
        <w:t xml:space="preserve"> 3 - البنية التحتية والخدمات الشاملة والآمنة للاتصالات/تكنولوجيا المعلومات</w:t>
      </w:r>
      <w:r w:rsidR="00C62097" w:rsidRPr="00C62097">
        <w:rPr>
          <w:rFonts w:hint="cs"/>
          <w:spacing w:val="2"/>
          <w:rtl/>
        </w:rPr>
        <w:t> </w:t>
      </w:r>
      <w:r w:rsidR="00DB74C9" w:rsidRPr="00C62097">
        <w:rPr>
          <w:spacing w:val="2"/>
          <w:rtl/>
        </w:rPr>
        <w:t>والاتصالات</w:t>
      </w:r>
    </w:p>
    <w:p w14:paraId="6DBB694B" w14:textId="77777777" w:rsidR="00DB74C9" w:rsidRPr="00DB74C9" w:rsidRDefault="00DB74C9" w:rsidP="00DB74C9">
      <w:r w:rsidRPr="00DB74C9">
        <w:rPr>
          <w:rtl/>
        </w:rPr>
        <w:t xml:space="preserve">في سياق الخطة، تهدف هذه الأولوية </w:t>
      </w:r>
      <w:proofErr w:type="spellStart"/>
      <w:r w:rsidRPr="00DB74C9">
        <w:rPr>
          <w:rtl/>
        </w:rPr>
        <w:t>المواضيعية</w:t>
      </w:r>
      <w:proofErr w:type="spellEnd"/>
      <w:r w:rsidRPr="00DB74C9">
        <w:rPr>
          <w:rtl/>
        </w:rPr>
        <w:t xml:space="preserve"> إلى توفير توصيلية معززة ونفاذ للجميع إلى خدمات النطاق العريض الثابتة والمتنقلة من خلال استخدام أنظمة الاتصالات الساتلية عندما تكون الأنسب لتقديم هذه الخدمات بطريقة شمولية وآمنة ومرنة.</w:t>
      </w:r>
    </w:p>
    <w:p w14:paraId="49C342AE" w14:textId="77777777" w:rsidR="00DB74C9" w:rsidRPr="00DB74C9" w:rsidRDefault="00DB74C9" w:rsidP="00DB74C9">
      <w:r w:rsidRPr="00DB74C9">
        <w:rPr>
          <w:rtl/>
        </w:rPr>
        <w:t>ويثير تقارب الشبكات الثابتة والمتنقلة للأرض والأنظمة الساتلية الحاجة إلى النظر في مختلف المتطلبات المتعلقة بمعدّات المستعمل وقدرات الشبكات وتطبيقاتها. وهذه خطوة ضرورية نحو توفير النفاذ الكامل إلى التوصيلية المعززة وحالات الاستعمال والخدمات المبتكرة.</w:t>
      </w:r>
    </w:p>
    <w:p w14:paraId="62E1DE5B" w14:textId="6AF64C23" w:rsidR="00DB74C9" w:rsidRPr="00DB74C9" w:rsidRDefault="00DB74C9" w:rsidP="00C62097">
      <w:r w:rsidRPr="00DB74C9">
        <w:rPr>
          <w:rtl/>
        </w:rPr>
        <w:t xml:space="preserve">ويشارك الاتحاد بشكل خاص في مبادرة الأمم المتحدة بشأن </w:t>
      </w:r>
      <w:hyperlink r:id="rId26" w:history="1">
        <w:r w:rsidRPr="00DB74C9">
          <w:rPr>
            <w:rStyle w:val="Hyperlink"/>
            <w:rtl/>
          </w:rPr>
          <w:t>الإنذار المبكر للجميع (EW4All)</w:t>
        </w:r>
      </w:hyperlink>
      <w:r w:rsidRPr="00DB74C9">
        <w:rPr>
          <w:rtl/>
        </w:rPr>
        <w:t xml:space="preserve">، وتماشياً مع </w:t>
      </w:r>
      <w:hyperlink r:id="rId27" w:history="1">
        <w:r w:rsidRPr="00C62097">
          <w:rPr>
            <w:rtl/>
          </w:rPr>
          <w:t xml:space="preserve">القرار 136 </w:t>
        </w:r>
        <w:r w:rsidRPr="00DB74C9">
          <w:rPr>
            <w:rStyle w:val="Hyperlink"/>
            <w:rtl/>
          </w:rPr>
          <w:t>(المراج</w:t>
        </w:r>
        <w:r w:rsidR="007517B7">
          <w:rPr>
            <w:rStyle w:val="Hyperlink"/>
            <w:rFonts w:hint="cs"/>
            <w:rtl/>
          </w:rPr>
          <w:t>َ</w:t>
        </w:r>
        <w:r w:rsidRPr="00DB74C9">
          <w:rPr>
            <w:rStyle w:val="Hyperlink"/>
            <w:rtl/>
          </w:rPr>
          <w:t>ع في بوخارست، 2022</w:t>
        </w:r>
        <w:r w:rsidR="008D38AB" w:rsidRPr="00DB74C9">
          <w:rPr>
            <w:rStyle w:val="FootnoteReference"/>
            <w:rtl/>
          </w:rPr>
          <w:footnoteReference w:id="3"/>
        </w:r>
        <w:r w:rsidRPr="00DB74C9">
          <w:rPr>
            <w:rStyle w:val="Hyperlink"/>
            <w:rtl/>
          </w:rPr>
          <w:t>)</w:t>
        </w:r>
      </w:hyperlink>
      <w:r w:rsidRPr="00DB74C9">
        <w:rPr>
          <w:rtl/>
        </w:rPr>
        <w:t xml:space="preserve"> لمؤتمر المندوبين المفوضين و</w:t>
      </w:r>
      <w:hyperlink r:id="rId28" w:history="1">
        <w:r w:rsidRPr="00C62097">
          <w:rPr>
            <w:rtl/>
          </w:rPr>
          <w:t xml:space="preserve">القرار 34 </w:t>
        </w:r>
        <w:r w:rsidRPr="00DB74C9">
          <w:rPr>
            <w:rStyle w:val="Hyperlink"/>
            <w:rtl/>
          </w:rPr>
          <w:t>(المراج</w:t>
        </w:r>
        <w:r w:rsidR="007517B7">
          <w:rPr>
            <w:rStyle w:val="Hyperlink"/>
            <w:rFonts w:hint="cs"/>
            <w:rtl/>
          </w:rPr>
          <w:t>َ</w:t>
        </w:r>
        <w:r w:rsidRPr="00DB74C9">
          <w:rPr>
            <w:rStyle w:val="Hyperlink"/>
            <w:rtl/>
          </w:rPr>
          <w:t>ع في كيغالي، 2022</w:t>
        </w:r>
        <w:r w:rsidR="008D38AB" w:rsidRPr="00DB74C9">
          <w:rPr>
            <w:rStyle w:val="FootnoteReference"/>
            <w:rtl/>
          </w:rPr>
          <w:footnoteReference w:id="4"/>
        </w:r>
        <w:r w:rsidRPr="00DB74C9">
          <w:rPr>
            <w:rStyle w:val="Hyperlink"/>
            <w:rtl/>
          </w:rPr>
          <w:t>)</w:t>
        </w:r>
      </w:hyperlink>
      <w:r w:rsidRPr="00DB74C9">
        <w:rPr>
          <w:rtl/>
        </w:rPr>
        <w:t xml:space="preserve"> للمؤتمر العالمي لتنمية الاتصالات، زاد دعمه للبلدان في تنفيذ أنظمة الإنذار المبكر (</w:t>
      </w:r>
      <w:r w:rsidRPr="00DB74C9">
        <w:t>EWS</w:t>
      </w:r>
      <w:r w:rsidRPr="00DB74C9">
        <w:rPr>
          <w:rtl/>
        </w:rPr>
        <w:t>). وهذه المبادرة الجديدة للتكيف مع المناخ التي أطلقت في عام 2022، بقيادة المنظمة العالمية للأرصاد الجوية ومكتب الأمم المتحدة للحد من مخاطر الكوارث (</w:t>
      </w:r>
      <w:r w:rsidRPr="00DB74C9">
        <w:t>UNDRR</w:t>
      </w:r>
      <w:r w:rsidRPr="00DB74C9">
        <w:rPr>
          <w:rtl/>
        </w:rPr>
        <w:t>)، تنص على أنه بحلول عام</w:t>
      </w:r>
      <w:r w:rsidR="00C62097">
        <w:rPr>
          <w:rFonts w:hint="cs"/>
          <w:rtl/>
        </w:rPr>
        <w:t> </w:t>
      </w:r>
      <w:r w:rsidRPr="00DB74C9">
        <w:rPr>
          <w:rtl/>
        </w:rPr>
        <w:t>2027، ينبغي حماية كل شخص في العالم من خلال نظام إنذار مبكر. ويقود الاتحاد الدعامة (3) بشأن "</w:t>
      </w:r>
      <w:hyperlink r:id="rId29" w:history="1">
        <w:r w:rsidRPr="00DB74C9">
          <w:rPr>
            <w:rStyle w:val="Hyperlink"/>
            <w:rtl/>
          </w:rPr>
          <w:t>نشر الإنذارات والاتصالات</w:t>
        </w:r>
      </w:hyperlink>
      <w:r w:rsidRPr="00DB74C9">
        <w:rPr>
          <w:rtl/>
        </w:rPr>
        <w:t>" لمبادرة EW4All للنظر في توصيلية الميل الأخير وضمان وصول الإنذارات إلى الأشخاص المعرضين للخطر في الوقت المناسب لاتخاذ الإجراءات.</w:t>
      </w:r>
    </w:p>
    <w:p w14:paraId="0E1C3E66" w14:textId="640A8DDF" w:rsidR="00DB74C9" w:rsidRPr="00DB74C9" w:rsidRDefault="00DB74C9" w:rsidP="00DB74C9">
      <w:r w:rsidRPr="00DB74C9">
        <w:rPr>
          <w:rtl/>
        </w:rPr>
        <w:t>ولتحقيق هذه المبادرة الحاسمة للتكيف مع تغير المناخ، يشجع الاتحاد اتباع نهج متعدد القنوات لضمان استخدام البلدان لمجموعة واسعة من قنوات الاتصالات والتكنولوجيات التقليدية والمتطورة على السواء لنشر الإنذارات، بما في ذلك الإذاعة والتلفزيون والشبكات المتنقلة والسواتل. وللاستفادة من الانتشار الكبير للشبكات والخدمات والهواتف المتنقلة وكذلك التقدم في خدمات الإنذار الناشئة عبر الأنظمة الساتلية، يعمل الاتحاد عن كثب مع أعضاء الاتحاد من القطاعين العام والخاص، بما</w:t>
      </w:r>
      <w:r w:rsidR="00FA481E">
        <w:rPr>
          <w:rFonts w:hint="cs"/>
          <w:rtl/>
        </w:rPr>
        <w:t> </w:t>
      </w:r>
      <w:r w:rsidRPr="00DB74C9">
        <w:rPr>
          <w:rtl/>
        </w:rPr>
        <w:t>في</w:t>
      </w:r>
      <w:r w:rsidR="00FA481E">
        <w:rPr>
          <w:rFonts w:hint="cs"/>
          <w:rtl/>
        </w:rPr>
        <w:t> </w:t>
      </w:r>
      <w:r w:rsidRPr="00DB74C9">
        <w:rPr>
          <w:rtl/>
        </w:rPr>
        <w:t xml:space="preserve">ذلك صناعة الاتصالات المتنقلة </w:t>
      </w:r>
      <w:proofErr w:type="spellStart"/>
      <w:r w:rsidRPr="00DB74C9">
        <w:rPr>
          <w:rtl/>
        </w:rPr>
        <w:t>والساتلية</w:t>
      </w:r>
      <w:proofErr w:type="spellEnd"/>
      <w:r w:rsidRPr="00DB74C9">
        <w:rPr>
          <w:rtl/>
        </w:rPr>
        <w:t xml:space="preserve">، وكذلك الهيئات الأكاديمية والمجتمع المدني، للبناء على الحلول القائمة واستكشاف النهج المبتكرة لسد الميل الأخير. ويشجع الاتحاد أيضاً استعمال بروتوكول الإنذار المشترك </w:t>
      </w:r>
      <w:r w:rsidR="00FA481E">
        <w:t>(</w:t>
      </w:r>
      <w:r w:rsidR="00FA481E" w:rsidRPr="00DB74C9">
        <w:t>CAP</w:t>
      </w:r>
      <w:r w:rsidR="00FA481E">
        <w:t>)</w:t>
      </w:r>
      <w:r w:rsidRPr="00DB74C9">
        <w:rPr>
          <w:rtl/>
        </w:rPr>
        <w:t xml:space="preserve"> لضمان إرسال رسائل الإنذار في نسق موحد، وإمكانية فهمها من جانب السكان المعرضين للخطر وإمكانية تنفيذها. </w:t>
      </w:r>
    </w:p>
    <w:p w14:paraId="6C9293C3" w14:textId="19D9D3E7" w:rsidR="00DB74C9" w:rsidRPr="00DB74C9" w:rsidRDefault="00DB74C9" w:rsidP="00DB74C9">
      <w:r w:rsidRPr="00DB74C9">
        <w:rPr>
          <w:rtl/>
        </w:rPr>
        <w:t xml:space="preserve">وخلال المؤتمر COP28، تم تحديد </w:t>
      </w:r>
      <w:hyperlink r:id="rId30" w:history="1">
        <w:r w:rsidRPr="00DB74C9">
          <w:rPr>
            <w:rStyle w:val="Hyperlink"/>
            <w:rtl/>
          </w:rPr>
          <w:t xml:space="preserve">التزامات صناعات الاتصالات المتنقلة </w:t>
        </w:r>
        <w:proofErr w:type="spellStart"/>
        <w:r w:rsidRPr="00DB74C9">
          <w:rPr>
            <w:rStyle w:val="Hyperlink"/>
            <w:rtl/>
          </w:rPr>
          <w:t>والساتلية</w:t>
        </w:r>
        <w:proofErr w:type="spellEnd"/>
      </w:hyperlink>
      <w:r w:rsidRPr="00DB74C9">
        <w:rPr>
          <w:rtl/>
        </w:rPr>
        <w:t xml:space="preserve">. وأطلقت رابطة </w:t>
      </w:r>
      <w:r w:rsidRPr="00DB74C9">
        <w:t>GSMA</w:t>
      </w:r>
      <w:r w:rsidRPr="00DB74C9">
        <w:rPr>
          <w:rtl/>
        </w:rPr>
        <w:t xml:space="preserve"> ومشغلو الشبكات المتنقلة، بما في ذلك </w:t>
      </w:r>
      <w:r w:rsidRPr="00DB74C9">
        <w:t>VEON</w:t>
      </w:r>
      <w:r w:rsidRPr="00DB74C9">
        <w:rPr>
          <w:rtl/>
        </w:rPr>
        <w:t xml:space="preserve"> و</w:t>
      </w:r>
      <w:r w:rsidRPr="00DB74C9">
        <w:t>KDDI</w:t>
      </w:r>
      <w:r w:rsidRPr="00DB74C9">
        <w:rPr>
          <w:rtl/>
        </w:rPr>
        <w:t xml:space="preserve"> و</w:t>
      </w:r>
      <w:r w:rsidRPr="00DB74C9">
        <w:t>Globe</w:t>
      </w:r>
      <w:r w:rsidRPr="00DB74C9">
        <w:rPr>
          <w:rtl/>
        </w:rPr>
        <w:t xml:space="preserve"> و</w:t>
      </w:r>
      <w:proofErr w:type="spellStart"/>
      <w:r w:rsidRPr="00DB74C9">
        <w:t>Saricom</w:t>
      </w:r>
      <w:proofErr w:type="spellEnd"/>
      <w:r w:rsidRPr="00DB74C9">
        <w:rPr>
          <w:rtl/>
        </w:rPr>
        <w:t xml:space="preserve"> و</w:t>
      </w:r>
      <w:r w:rsidRPr="00DB74C9">
        <w:t>Telefonica</w:t>
      </w:r>
      <w:r w:rsidRPr="00DB74C9">
        <w:rPr>
          <w:rtl/>
        </w:rPr>
        <w:t xml:space="preserve"> و</w:t>
      </w:r>
      <w:r w:rsidRPr="00DB74C9">
        <w:t>MTN</w:t>
      </w:r>
      <w:r w:rsidRPr="00DB74C9">
        <w:rPr>
          <w:rtl/>
        </w:rPr>
        <w:t xml:space="preserve"> </w:t>
      </w:r>
      <w:proofErr w:type="spellStart"/>
      <w:r w:rsidRPr="00DB74C9">
        <w:rPr>
          <w:rtl/>
        </w:rPr>
        <w:t>وAxiata</w:t>
      </w:r>
      <w:proofErr w:type="spellEnd"/>
      <w:r w:rsidRPr="00DB74C9">
        <w:rPr>
          <w:rtl/>
        </w:rPr>
        <w:t xml:space="preserve"> </w:t>
      </w:r>
      <w:proofErr w:type="spellStart"/>
      <w:r w:rsidRPr="00DB74C9">
        <w:rPr>
          <w:rtl/>
        </w:rPr>
        <w:t>Group</w:t>
      </w:r>
      <w:proofErr w:type="spellEnd"/>
      <w:r w:rsidRPr="00DB74C9">
        <w:rPr>
          <w:rtl/>
        </w:rPr>
        <w:t xml:space="preserve">، الدعوة إلى العمل لنشر الإذاعة الخلوية وخدمة الرسائل القصيرة القائمة على الموقع، مع الاستفادة من التوصيلية الرقمية لضمان حماية الجميع. والتزمت الرابطة العالمية لمشغلي السواتل </w:t>
      </w:r>
      <w:r w:rsidR="003F4AF9">
        <w:t>(</w:t>
      </w:r>
      <w:r w:rsidR="003F4AF9" w:rsidRPr="00DB74C9">
        <w:t>GSOA</w:t>
      </w:r>
      <w:r w:rsidR="003F4AF9">
        <w:t>)</w:t>
      </w:r>
      <w:r w:rsidRPr="00DB74C9">
        <w:rPr>
          <w:rtl/>
        </w:rPr>
        <w:t xml:space="preserve"> وشركاؤها بتعزيز الخدمات المباشرة إلى أجهزة اليد والتغلب على التحديات من خلال التعاون بين القطاعات، بما في ذلك التعاون مع مصنعي الأجهزة. </w:t>
      </w:r>
    </w:p>
    <w:p w14:paraId="4E3B8F55" w14:textId="0110F7FE" w:rsidR="00DB74C9" w:rsidRPr="00DB74C9" w:rsidRDefault="00DB74C9" w:rsidP="00256E21">
      <w:r w:rsidRPr="00DB74C9">
        <w:rPr>
          <w:rtl/>
        </w:rPr>
        <w:t>ويرتبط عمل الاتحاد في هذه المبادرة بالهدف 3.2 من خطة "الفضاء 2030" بشأن "تعزيز استخدام التطبيقات الفضائية المتكاملة لتسهيل مراقبة تغير المناخ وتقييم مخاطر الكوارث، وتحسين أنظمة الإنذار المبكر بالكوارث، وتوفير بيانات للمؤشرات المستخدمة لتتبع التقدم المحرز في تنفيذ خطة التنمية المستدامة لعام 2030، وإطار سنداي والتزامات الدول الأطراف في</w:t>
      </w:r>
      <w:r w:rsidR="00E11BA8">
        <w:rPr>
          <w:rFonts w:hint="cs"/>
          <w:rtl/>
        </w:rPr>
        <w:t> </w:t>
      </w:r>
      <w:r w:rsidRPr="00DB74C9">
        <w:rPr>
          <w:rtl/>
        </w:rPr>
        <w:t xml:space="preserve">اتفاق باريس" وبالهدف </w:t>
      </w:r>
      <w:r w:rsidR="003F4AF9">
        <w:t>5.2</w:t>
      </w:r>
      <w:r w:rsidRPr="00DB74C9">
        <w:rPr>
          <w:rtl/>
        </w:rPr>
        <w:t xml:space="preserve"> من خطة "الفضاء 2030" بشأن "تعزيز استخدام التكنولوجيات الفضائية في جميع مراحل دورة إدارة الكوارث، التي تنطبق على كل من الكوارث الطبيعية والكوارث التي من صنع الإنسان، بما في ذلك الوقاية والتخفيف والتأهب والاستجابة والإنعاش وإعادة الإعمار وإعادة التأهيل؛ ورصد وتقييم عناصر مثل التعرض للكوارث، والأخطار، ومخاطر الكوارث وأضرارها في مختلف مناطق العالم؛ وتعزيز تبادل بيانات رصد الكوارث."</w:t>
      </w:r>
    </w:p>
    <w:p w14:paraId="5DF69482" w14:textId="7E59B9D5" w:rsidR="00DB74C9" w:rsidRPr="00DB74C9" w:rsidRDefault="00E11BA8" w:rsidP="00E11BA8">
      <w:pPr>
        <w:pStyle w:val="Heading2"/>
      </w:pPr>
      <w:r>
        <w:rPr>
          <w:rFonts w:hint="cs"/>
          <w:rtl/>
        </w:rPr>
        <w:lastRenderedPageBreak/>
        <w:t>4.3</w:t>
      </w:r>
      <w:r w:rsidR="00DB74C9" w:rsidRPr="00DB74C9">
        <w:rPr>
          <w:rtl/>
        </w:rPr>
        <w:tab/>
        <w:t xml:space="preserve">الأولوية </w:t>
      </w:r>
      <w:proofErr w:type="spellStart"/>
      <w:r w:rsidR="00DB74C9" w:rsidRPr="00DB74C9">
        <w:rPr>
          <w:rtl/>
        </w:rPr>
        <w:t>المواضيعية</w:t>
      </w:r>
      <w:proofErr w:type="spellEnd"/>
      <w:r w:rsidR="00DB74C9" w:rsidRPr="00DB74C9">
        <w:rPr>
          <w:rtl/>
        </w:rPr>
        <w:t xml:space="preserve"> 4 - التطبيقات الرقمية</w:t>
      </w:r>
    </w:p>
    <w:p w14:paraId="57AC16E4" w14:textId="77777777" w:rsidR="00DB74C9" w:rsidRPr="00DB74C9" w:rsidRDefault="00DB74C9" w:rsidP="00DB74C9">
      <w:r w:rsidRPr="00DB74C9">
        <w:rPr>
          <w:rtl/>
        </w:rPr>
        <w:t xml:space="preserve">في إطار هذه الأولوية </w:t>
      </w:r>
      <w:proofErr w:type="spellStart"/>
      <w:r w:rsidRPr="00DB74C9">
        <w:rPr>
          <w:rtl/>
        </w:rPr>
        <w:t>المواضيعية</w:t>
      </w:r>
      <w:proofErr w:type="spellEnd"/>
      <w:r w:rsidRPr="00DB74C9">
        <w:rPr>
          <w:rtl/>
        </w:rPr>
        <w:t xml:space="preserve">، من المخطط تعزيز اعتماد واستخدام تطبيقات الاتصالات/تكنولوجيا المعلومات والاتصالات بفضل زيادة نشر الشبكات والخدمات الفضائية اللازمة لهذه التطبيقات من أجل تحسين قدرة الدول الأعضاء على الاستفادة من الابتكار وريادة الأعمال من أجل التنمية المستدامة بما يتماشى مع الأهداف المتوخاة في الهدف الشامل 1 من الخطة. </w:t>
      </w:r>
    </w:p>
    <w:p w14:paraId="7FF71698" w14:textId="3F9821D0" w:rsidR="00DB74C9" w:rsidRPr="00DB74C9" w:rsidRDefault="00E11BA8" w:rsidP="00E11BA8">
      <w:pPr>
        <w:pStyle w:val="Heading2"/>
      </w:pPr>
      <w:r>
        <w:t>5.3</w:t>
      </w:r>
      <w:r w:rsidR="00DB74C9" w:rsidRPr="00DB74C9">
        <w:rPr>
          <w:rtl/>
        </w:rPr>
        <w:tab/>
        <w:t xml:space="preserve">الأولوية </w:t>
      </w:r>
      <w:proofErr w:type="spellStart"/>
      <w:r w:rsidR="00DB74C9" w:rsidRPr="00DB74C9">
        <w:rPr>
          <w:rtl/>
        </w:rPr>
        <w:t>المواضيعية</w:t>
      </w:r>
      <w:proofErr w:type="spellEnd"/>
      <w:r w:rsidR="00DB74C9" w:rsidRPr="00DB74C9">
        <w:rPr>
          <w:rtl/>
        </w:rPr>
        <w:t xml:space="preserve"> 5 - البيئة التمكينية</w:t>
      </w:r>
    </w:p>
    <w:p w14:paraId="452AC964" w14:textId="77777777" w:rsidR="00DB74C9" w:rsidRPr="00DB74C9" w:rsidRDefault="00DB74C9" w:rsidP="00DB74C9">
      <w:r w:rsidRPr="00DB74C9">
        <w:rPr>
          <w:rtl/>
        </w:rPr>
        <w:t xml:space="preserve">من شأن البيئات السياساتية والتنظيمية المصممة في إطار هذه الأولوية </w:t>
      </w:r>
      <w:proofErr w:type="spellStart"/>
      <w:r w:rsidRPr="00DB74C9">
        <w:rPr>
          <w:rtl/>
        </w:rPr>
        <w:t>المواضيعية</w:t>
      </w:r>
      <w:proofErr w:type="spellEnd"/>
      <w:r w:rsidRPr="00DB74C9">
        <w:rPr>
          <w:rtl/>
        </w:rPr>
        <w:t xml:space="preserve"> من خلال مراعاة ‏خصوصيات تكنولوجيات الفضاء أن تضمن إتاحة مزايا هذه التقنيات للدول الأعضاء عند الاقتضاء، ومن ثم ‏زيادة خيارات السياسات لتوفير التوصيلية للجميع وتنفيذ تحول رقمي مستدام.‏</w:t>
      </w:r>
    </w:p>
    <w:p w14:paraId="157CEB0E" w14:textId="0A4E90FA" w:rsidR="00DB74C9" w:rsidRPr="00DB74C9" w:rsidRDefault="00DB74C9" w:rsidP="00DB74C9">
      <w:pPr>
        <w:rPr>
          <w:lang w:bidi="en-GB"/>
        </w:rPr>
      </w:pPr>
      <w:r w:rsidRPr="00DB74C9">
        <w:rPr>
          <w:rtl/>
        </w:rPr>
        <w:t xml:space="preserve">ترتبط الأنشطة في إطار هذه الأولوية </w:t>
      </w:r>
      <w:proofErr w:type="spellStart"/>
      <w:r w:rsidRPr="00DB74C9">
        <w:rPr>
          <w:rtl/>
        </w:rPr>
        <w:t>المواضيعية</w:t>
      </w:r>
      <w:proofErr w:type="spellEnd"/>
      <w:r w:rsidRPr="00DB74C9">
        <w:rPr>
          <w:rtl/>
        </w:rPr>
        <w:t xml:space="preserve"> بالهدف 4.3 من خطة "الفضاء 2030" بشأن "تعزيز بناء القدرات والتعليم والتدريب في مجال علوم الفضاء وتطبيقاته، لا سيما في البلدان النامية" وبالهدف 3.4 من "خطة الفضاء 2030" بشأن "تعزيز بناء القدرات والمساعدة التقنية، بما في ذلك المساعدة الذي يقدمها مكتب شؤون الفضاء الخارجي، إلى الدول الأعضاء، ولا</w:t>
      </w:r>
      <w:r w:rsidR="00E11BA8">
        <w:rPr>
          <w:rFonts w:hint="cs"/>
          <w:rtl/>
        </w:rPr>
        <w:t> </w:t>
      </w:r>
      <w:r w:rsidRPr="00DB74C9">
        <w:rPr>
          <w:rtl/>
        </w:rPr>
        <w:t>سيما في مجال القانون والسياسة الدوليين المتعلقين بالفضاء‎"</w:t>
      </w:r>
      <w:r w:rsidRPr="00DB74C9">
        <w:t>:</w:t>
      </w:r>
    </w:p>
    <w:p w14:paraId="745236DF" w14:textId="44E81B0D" w:rsidR="00DB74C9" w:rsidRPr="00DB74C9" w:rsidRDefault="00373D9A" w:rsidP="00373D9A">
      <w:pPr>
        <w:pStyle w:val="enumlev1"/>
        <w:rPr>
          <w:lang w:bidi="ar-SA"/>
        </w:rPr>
      </w:pPr>
      <w:r w:rsidRPr="00373D9A">
        <w:rPr>
          <w:lang w:bidi="ar-SA"/>
        </w:rPr>
        <w:sym w:font="Symbol" w:char="F0B7"/>
      </w:r>
      <w:r>
        <w:rPr>
          <w:rtl/>
        </w:rPr>
        <w:tab/>
      </w:r>
      <w:r w:rsidR="00DB74C9" w:rsidRPr="00DB74C9">
        <w:rPr>
          <w:rtl/>
        </w:rPr>
        <w:t xml:space="preserve">واصلت أكاديمية الاتحاد تقديم برنامج التدريب على إدارة الطيف </w:t>
      </w:r>
      <w:r w:rsidR="00E11BA8">
        <w:t>(</w:t>
      </w:r>
      <w:r w:rsidR="00E11BA8" w:rsidRPr="00DB74C9">
        <w:t>SMTP</w:t>
      </w:r>
      <w:r w:rsidR="00E11BA8">
        <w:t>)</w:t>
      </w:r>
      <w:r w:rsidR="00DB74C9" w:rsidRPr="00DB74C9">
        <w:rPr>
          <w:rtl/>
        </w:rPr>
        <w:t xml:space="preserve"> بالتعاون مع مركز التدريب التابع لأكاديمية الاتحاد AFRALTI. وبرنامج التدريب على إدارة الطيف (</w:t>
      </w:r>
      <w:r w:rsidR="00DB74C9" w:rsidRPr="00DB74C9">
        <w:t>SMTP</w:t>
      </w:r>
      <w:r w:rsidR="00DB74C9" w:rsidRPr="00DB74C9">
        <w:rPr>
          <w:rtl/>
        </w:rPr>
        <w:t>) هو برنامج شامل مصمم للدول الأعضاء وأعضاء القطاعات، ويقدم تدريباً رفيع المستوى في جميع جوانب إدارة الطيف، ويضم مستويات أساسية ومتقدمة على السواء تغطي طائفة واسعة من المواضيع من الأطر القانونية إلى التخصصات التقنية. وفي عام 2023، تم تشغيل 8 وحدات، اجتذبت أكثر من 60 مشاركاً من 20 بلداً.</w:t>
      </w:r>
    </w:p>
    <w:p w14:paraId="11101176" w14:textId="11300786" w:rsidR="00DB74C9" w:rsidRPr="00DB74C9" w:rsidRDefault="00373D9A" w:rsidP="00373D9A">
      <w:pPr>
        <w:pStyle w:val="enumlev1"/>
        <w:rPr>
          <w:lang w:bidi="ar-SA"/>
        </w:rPr>
      </w:pPr>
      <w:r w:rsidRPr="00373D9A">
        <w:rPr>
          <w:lang w:bidi="ar-SA"/>
        </w:rPr>
        <w:sym w:font="Symbol" w:char="F0B7"/>
      </w:r>
      <w:r>
        <w:rPr>
          <w:rtl/>
        </w:rPr>
        <w:tab/>
      </w:r>
      <w:r w:rsidR="00DB74C9" w:rsidRPr="00DB74C9">
        <w:rPr>
          <w:rtl/>
        </w:rPr>
        <w:t xml:space="preserve">بالإضافة إلى ذلك، واصلت أكاديمية الاتحاد تعاونها مع المنظمة الدولية للاتصالات الساتلية </w:t>
      </w:r>
      <w:r w:rsidR="00E11BA8">
        <w:t>(</w:t>
      </w:r>
      <w:r w:rsidR="00E11BA8" w:rsidRPr="00DB74C9">
        <w:t>ITSO</w:t>
      </w:r>
      <w:r w:rsidR="00E11BA8">
        <w:t>)</w:t>
      </w:r>
      <w:r w:rsidR="00DB74C9" w:rsidRPr="00DB74C9">
        <w:rPr>
          <w:rtl/>
        </w:rPr>
        <w:t xml:space="preserve"> بشأن دورة "الاتصالات الساتلية وإجراءات لوائح الراديو". والهدف الرئيسي للدورة هو تحسين المعرفة بالسياسات واللوائح وأطر الترخيص والجوانب التقنية المتعلقة بتقديم خدمات الاتصالات الساتلية. وفي عام 2023، قدمت الدورة التدريبية لمنطقتي الدول العربية وإفريقيا واجتذبت أكثر من 60 مشاركاً من 29 بلداً.</w:t>
      </w:r>
    </w:p>
    <w:p w14:paraId="307A8681" w14:textId="1914A57C" w:rsidR="00DB74C9" w:rsidRPr="00DB74C9" w:rsidRDefault="00373D9A" w:rsidP="00373D9A">
      <w:pPr>
        <w:pStyle w:val="enumlev1"/>
        <w:rPr>
          <w:lang w:bidi="ar-SA"/>
        </w:rPr>
      </w:pPr>
      <w:r w:rsidRPr="00373D9A">
        <w:rPr>
          <w:lang w:bidi="ar-SA"/>
        </w:rPr>
        <w:sym w:font="Symbol" w:char="F0B7"/>
      </w:r>
      <w:r>
        <w:rPr>
          <w:rtl/>
        </w:rPr>
        <w:tab/>
      </w:r>
      <w:r w:rsidR="00DB74C9" w:rsidRPr="00DB74C9">
        <w:rPr>
          <w:rtl/>
        </w:rPr>
        <w:t xml:space="preserve">وشارك موظفو الاتحاد بنشاط في مختلف الحلقات الدراسية وورش العمل، بما في ذلك تلك التي نظمها مكتب الأمم المتحدة لشؤون الفضاء الخارجي </w:t>
      </w:r>
      <w:r>
        <w:t>(</w:t>
      </w:r>
      <w:r w:rsidRPr="00DB74C9">
        <w:t>UNOOSA</w:t>
      </w:r>
      <w:r>
        <w:t>)</w:t>
      </w:r>
      <w:r w:rsidR="00DB74C9" w:rsidRPr="00DB74C9">
        <w:rPr>
          <w:rtl/>
        </w:rPr>
        <w:t xml:space="preserve"> ووكالة الفضاء الأوروبية (</w:t>
      </w:r>
      <w:r w:rsidR="00DB74C9" w:rsidRPr="00DB74C9">
        <w:t>ESA</w:t>
      </w:r>
      <w:r w:rsidR="00DB74C9" w:rsidRPr="00DB74C9">
        <w:rPr>
          <w:rtl/>
        </w:rPr>
        <w:t>)، لتوفير بناء القدرات للدول الأعضاء في</w:t>
      </w:r>
      <w:r w:rsidR="00E11BA8">
        <w:rPr>
          <w:rFonts w:hint="cs"/>
          <w:rtl/>
        </w:rPr>
        <w:t> </w:t>
      </w:r>
      <w:r w:rsidR="00DB74C9" w:rsidRPr="00DB74C9">
        <w:rPr>
          <w:rtl/>
        </w:rPr>
        <w:t xml:space="preserve">مجال إجراءات الاتحاد الخاصة بتسجيل الترددات </w:t>
      </w:r>
      <w:proofErr w:type="spellStart"/>
      <w:r w:rsidR="00DB74C9" w:rsidRPr="00DB74C9">
        <w:rPr>
          <w:rtl/>
        </w:rPr>
        <w:t>للسواتل</w:t>
      </w:r>
      <w:proofErr w:type="spellEnd"/>
      <w:r w:rsidR="00DB74C9" w:rsidRPr="00DB74C9">
        <w:rPr>
          <w:rtl/>
        </w:rPr>
        <w:t xml:space="preserve"> الصغيرة.</w:t>
      </w:r>
    </w:p>
    <w:p w14:paraId="6786C3E6" w14:textId="37C5507C" w:rsidR="00DB74C9" w:rsidRPr="00DB74C9" w:rsidRDefault="00373D9A" w:rsidP="00CE6696">
      <w:pPr>
        <w:pStyle w:val="enumlev1"/>
        <w:keepNext/>
        <w:keepLines/>
        <w:rPr>
          <w:lang w:bidi="ar-SA"/>
        </w:rPr>
      </w:pPr>
      <w:r w:rsidRPr="00373D9A">
        <w:rPr>
          <w:lang w:bidi="ar-SA"/>
        </w:rPr>
        <w:sym w:font="Symbol" w:char="F0B7"/>
      </w:r>
      <w:r>
        <w:rPr>
          <w:rtl/>
        </w:rPr>
        <w:tab/>
      </w:r>
      <w:r w:rsidR="00DB74C9" w:rsidRPr="00DB74C9">
        <w:rPr>
          <w:rtl/>
        </w:rPr>
        <w:t xml:space="preserve">ويسّر الاتحاد ورشة العمل الثانية للاتحاد الدولي للاتصالات </w:t>
      </w:r>
      <w:r>
        <w:t>(</w:t>
      </w:r>
      <w:r w:rsidRPr="00DB74C9">
        <w:t>ITU</w:t>
      </w:r>
      <w:r>
        <w:t>)</w:t>
      </w:r>
      <w:r>
        <w:rPr>
          <w:rFonts w:hint="cs"/>
          <w:rtl/>
          <w:lang w:bidi="ar-EG"/>
        </w:rPr>
        <w:t xml:space="preserve"> -</w:t>
      </w:r>
      <w:r w:rsidR="00DB74C9" w:rsidRPr="00DB74C9">
        <w:rPr>
          <w:rtl/>
        </w:rPr>
        <w:t xml:space="preserve"> رابطة منظمي الاتصالات في الجنوب الإفريقي</w:t>
      </w:r>
      <w:r w:rsidR="00256E21">
        <w:rPr>
          <w:rFonts w:hint="cs"/>
          <w:rtl/>
        </w:rPr>
        <w:t> </w:t>
      </w:r>
      <w:r w:rsidR="00DB74C9" w:rsidRPr="00DB74C9">
        <w:rPr>
          <w:rtl/>
        </w:rPr>
        <w:t>(</w:t>
      </w:r>
      <w:r w:rsidR="00DB74C9" w:rsidRPr="00DB74C9">
        <w:t>CRASA</w:t>
      </w:r>
      <w:r w:rsidR="00DB74C9" w:rsidRPr="00DB74C9">
        <w:rPr>
          <w:rtl/>
        </w:rPr>
        <w:t>) بشأن الأطر التنظيمية الفضائية واقتصاد الفضاء في لواندا، أنغولا (مقدمو العروض: خبراء مكتب تنمية الاتصالات ومكتب الاتصالات الراديوية، و</w:t>
      </w:r>
      <w:proofErr w:type="spellStart"/>
      <w:r w:rsidR="00DB74C9" w:rsidRPr="00DB74C9">
        <w:t>Anatel</w:t>
      </w:r>
      <w:proofErr w:type="spellEnd"/>
      <w:r w:rsidR="00DB74C9" w:rsidRPr="00DB74C9">
        <w:rPr>
          <w:rtl/>
        </w:rPr>
        <w:t>، والمنظمة الإقليمية الإفريقية للاتصالات الساتلية (</w:t>
      </w:r>
      <w:r w:rsidR="00DB74C9" w:rsidRPr="00DB74C9">
        <w:t>RASCOM</w:t>
      </w:r>
      <w:r w:rsidR="00DB74C9" w:rsidRPr="00DB74C9">
        <w:rPr>
          <w:rtl/>
        </w:rPr>
        <w:t>)، ومرصد صفيف الكيلومتر المربع (</w:t>
      </w:r>
      <w:r w:rsidR="00DB74C9" w:rsidRPr="00DB74C9">
        <w:t>SKA</w:t>
      </w:r>
      <w:r w:rsidR="00DB74C9" w:rsidRPr="00DB74C9">
        <w:rPr>
          <w:rtl/>
        </w:rPr>
        <w:t>)، والاتحاد الفلكي الدولي (</w:t>
      </w:r>
      <w:r w:rsidR="00DB74C9" w:rsidRPr="00DB74C9">
        <w:t>IAU</w:t>
      </w:r>
      <w:r w:rsidR="00DB74C9" w:rsidRPr="00DB74C9">
        <w:rPr>
          <w:rtl/>
        </w:rPr>
        <w:t>)، و</w:t>
      </w:r>
      <w:r w:rsidR="00DB74C9" w:rsidRPr="00DB74C9">
        <w:t>CPS</w:t>
      </w:r>
      <w:r w:rsidR="00DB74C9" w:rsidRPr="00DB74C9">
        <w:rPr>
          <w:rtl/>
        </w:rPr>
        <w:t xml:space="preserve"> </w:t>
      </w:r>
      <w:proofErr w:type="spellStart"/>
      <w:r w:rsidR="00DB74C9" w:rsidRPr="00DB74C9">
        <w:rPr>
          <w:rtl/>
        </w:rPr>
        <w:t>وAST</w:t>
      </w:r>
      <w:proofErr w:type="spellEnd"/>
      <w:r w:rsidR="00DB74C9" w:rsidRPr="00DB74C9">
        <w:rPr>
          <w:rtl/>
        </w:rPr>
        <w:t xml:space="preserve"> </w:t>
      </w:r>
      <w:proofErr w:type="spellStart"/>
      <w:r w:rsidR="00DB74C9" w:rsidRPr="00DB74C9">
        <w:rPr>
          <w:rtl/>
        </w:rPr>
        <w:t>Space</w:t>
      </w:r>
      <w:proofErr w:type="spellEnd"/>
      <w:r w:rsidR="00DB74C9" w:rsidRPr="00DB74C9">
        <w:rPr>
          <w:rtl/>
        </w:rPr>
        <w:t xml:space="preserve"> </w:t>
      </w:r>
      <w:proofErr w:type="spellStart"/>
      <w:r w:rsidR="00DB74C9" w:rsidRPr="00DB74C9">
        <w:rPr>
          <w:rtl/>
        </w:rPr>
        <w:t>Mobile</w:t>
      </w:r>
      <w:proofErr w:type="spellEnd"/>
      <w:r w:rsidR="00DB74C9" w:rsidRPr="00DB74C9">
        <w:rPr>
          <w:rtl/>
        </w:rPr>
        <w:t>، و</w:t>
      </w:r>
      <w:r w:rsidR="00DB74C9" w:rsidRPr="00DB74C9">
        <w:t>GSOA</w:t>
      </w:r>
      <w:r w:rsidR="00DB74C9" w:rsidRPr="00DB74C9">
        <w:rPr>
          <w:rtl/>
        </w:rPr>
        <w:t>، و</w:t>
      </w:r>
      <w:r w:rsidR="00DB74C9" w:rsidRPr="00DB74C9">
        <w:t>GGPEN</w:t>
      </w:r>
      <w:r w:rsidR="00DB74C9" w:rsidRPr="00DB74C9">
        <w:rPr>
          <w:rtl/>
        </w:rPr>
        <w:t xml:space="preserve"> و</w:t>
      </w:r>
      <w:r w:rsidR="00DB74C9" w:rsidRPr="00DB74C9">
        <w:t>UNOOSA</w:t>
      </w:r>
      <w:r w:rsidR="00DB74C9" w:rsidRPr="00DB74C9">
        <w:rPr>
          <w:rtl/>
        </w:rPr>
        <w:t>،</w:t>
      </w:r>
      <w:r w:rsidR="0010751A">
        <w:rPr>
          <w:rtl/>
        </w:rPr>
        <w:t xml:space="preserve"> </w:t>
      </w:r>
      <w:r w:rsidR="00DB74C9" w:rsidRPr="00DB74C9">
        <w:rPr>
          <w:rtl/>
        </w:rPr>
        <w:t>وهيئة تنظيم الاتصالات في ملاوي (</w:t>
      </w:r>
      <w:r w:rsidR="00DB74C9" w:rsidRPr="00DB74C9">
        <w:t>MACRA</w:t>
      </w:r>
      <w:r w:rsidR="00DB74C9" w:rsidRPr="00DB74C9">
        <w:rPr>
          <w:rtl/>
        </w:rPr>
        <w:t>) و</w:t>
      </w:r>
      <w:r w:rsidR="00DB74C9" w:rsidRPr="00DB74C9">
        <w:t>CRASA</w:t>
      </w:r>
      <w:r w:rsidR="00DB74C9" w:rsidRPr="00DB74C9">
        <w:rPr>
          <w:rtl/>
        </w:rPr>
        <w:t xml:space="preserve"> وهيئة تنظيم الاتصالات في</w:t>
      </w:r>
      <w:r w:rsidR="008A7E03">
        <w:rPr>
          <w:rFonts w:hint="cs"/>
          <w:rtl/>
        </w:rPr>
        <w:t> </w:t>
      </w:r>
      <w:r w:rsidR="00DB74C9" w:rsidRPr="00DB74C9">
        <w:rPr>
          <w:rtl/>
        </w:rPr>
        <w:t>تنزانيا</w:t>
      </w:r>
      <w:r w:rsidR="00256E21">
        <w:rPr>
          <w:rFonts w:hint="cs"/>
          <w:rtl/>
        </w:rPr>
        <w:t> </w:t>
      </w:r>
      <w:r w:rsidR="00DB74C9" w:rsidRPr="00DB74C9">
        <w:rPr>
          <w:rtl/>
        </w:rPr>
        <w:t>(</w:t>
      </w:r>
      <w:r w:rsidR="00DB74C9" w:rsidRPr="00DB74C9">
        <w:t>TCRA</w:t>
      </w:r>
      <w:r w:rsidR="00DB74C9" w:rsidRPr="00DB74C9">
        <w:rPr>
          <w:rtl/>
        </w:rPr>
        <w:t xml:space="preserve">)). وتم تزويد الدول الأعضاء في رابطة </w:t>
      </w:r>
      <w:r w:rsidR="00DB74C9" w:rsidRPr="00DB74C9">
        <w:t>CRASA</w:t>
      </w:r>
      <w:r w:rsidR="00DB74C9" w:rsidRPr="00DB74C9">
        <w:rPr>
          <w:rtl/>
        </w:rPr>
        <w:t xml:space="preserve"> برؤى حول سوق الاتصالات الساتلية الحالية، مع التركيز على التطورات الحديثة والجوانب متعددة الأوجه لأنظمة الاتصالات الساتلية ذات المدار الأرضي المنخفض، والمشاركة في</w:t>
      </w:r>
      <w:r w:rsidR="008A7E03">
        <w:rPr>
          <w:rFonts w:hint="cs"/>
          <w:rtl/>
        </w:rPr>
        <w:t> </w:t>
      </w:r>
      <w:r w:rsidR="00DB74C9" w:rsidRPr="00DB74C9">
        <w:rPr>
          <w:rtl/>
        </w:rPr>
        <w:t>مناقشات حول المعايير التنظيمية المتعلقة بتوزيع الطيف والتنسيق وإجراءات التخفيف من التداخل، وتبادل وتحليل دراسات الحالة المقدمة من مختلف البلدان والشركات لفهم الجوانب التشغيلية للأنظمة الساتلية والتنظيمية والترخيص، وتعزيز الحوار حول الاعتبارات البيئية والاستدامة، وتشجيع تبادل المعرفة والتعاون بين الدول الأعضاء في</w:t>
      </w:r>
      <w:r w:rsidR="008A7E03">
        <w:rPr>
          <w:rFonts w:hint="cs"/>
          <w:rtl/>
        </w:rPr>
        <w:t> </w:t>
      </w:r>
      <w:r w:rsidR="00DB74C9" w:rsidRPr="00DB74C9">
        <w:rPr>
          <w:rtl/>
        </w:rPr>
        <w:t>رابطة CRASA. وبالإضافة إلى ذلك، نظمت زيارة إلى المكتب الوطني لإدارة البرامج الفضائية (</w:t>
      </w:r>
      <w:r w:rsidR="00DB74C9" w:rsidRPr="00DB74C9">
        <w:t>GGPEN</w:t>
      </w:r>
      <w:r w:rsidR="00DB74C9" w:rsidRPr="00DB74C9">
        <w:rPr>
          <w:rtl/>
        </w:rPr>
        <w:t>) في</w:t>
      </w:r>
      <w:r w:rsidR="001E23E1">
        <w:rPr>
          <w:rFonts w:hint="cs"/>
          <w:rtl/>
        </w:rPr>
        <w:t> </w:t>
      </w:r>
      <w:r w:rsidR="00DB74C9" w:rsidRPr="00DB74C9">
        <w:rPr>
          <w:rtl/>
        </w:rPr>
        <w:t xml:space="preserve">أنغولا للحصول على أفكار بشأن تجربة البلد في إطلاق </w:t>
      </w:r>
      <w:proofErr w:type="spellStart"/>
      <w:r w:rsidR="00DB74C9" w:rsidRPr="00DB74C9">
        <w:rPr>
          <w:rtl/>
        </w:rPr>
        <w:t>ساتله</w:t>
      </w:r>
      <w:proofErr w:type="spellEnd"/>
      <w:r w:rsidR="00DB74C9" w:rsidRPr="00DB74C9">
        <w:rPr>
          <w:rtl/>
        </w:rPr>
        <w:t xml:space="preserve"> الخاص. ونوقشت البنود التالية:</w:t>
      </w:r>
    </w:p>
    <w:p w14:paraId="381641DF" w14:textId="2DE19E4C" w:rsidR="00DB74C9" w:rsidRPr="00DB74C9" w:rsidRDefault="001E23E1" w:rsidP="001E23E1">
      <w:pPr>
        <w:pStyle w:val="enumlev2"/>
      </w:pPr>
      <w:r w:rsidRPr="001E23E1">
        <w:rPr>
          <w:rFonts w:ascii="Arial" w:hAnsi="Arial" w:cs="Arial"/>
        </w:rPr>
        <w:t>○</w:t>
      </w:r>
      <w:r>
        <w:rPr>
          <w:rtl/>
        </w:rPr>
        <w:tab/>
      </w:r>
      <w:r w:rsidR="00DB74C9" w:rsidRPr="00DB74C9">
        <w:rPr>
          <w:rtl/>
        </w:rPr>
        <w:t>توفر الاتصالات الساتلية المباشرة إلى الأجهزة، وهي تكنولوجيا ناشئة، إمكانية التوصيلية في المناطق النائية.</w:t>
      </w:r>
    </w:p>
    <w:p w14:paraId="48E9D064" w14:textId="363A30BA" w:rsidR="00DB74C9" w:rsidRPr="00DB74C9" w:rsidRDefault="001E23E1" w:rsidP="001E23E1">
      <w:pPr>
        <w:pStyle w:val="enumlev2"/>
      </w:pPr>
      <w:r w:rsidRPr="001E23E1">
        <w:rPr>
          <w:rFonts w:ascii="Arial" w:hAnsi="Arial" w:cs="Arial"/>
        </w:rPr>
        <w:t>○</w:t>
      </w:r>
      <w:r>
        <w:rPr>
          <w:rtl/>
        </w:rPr>
        <w:tab/>
      </w:r>
      <w:r w:rsidR="00DB74C9" w:rsidRPr="00DB74C9">
        <w:rPr>
          <w:rtl/>
        </w:rPr>
        <w:t>تعتبر لوائح الاتصالات الساتلية في البرازيل من أفضل الممارسات.</w:t>
      </w:r>
    </w:p>
    <w:p w14:paraId="4CEC7800" w14:textId="45AD3EDA" w:rsidR="00DB74C9" w:rsidRPr="00DB74C9" w:rsidRDefault="001E23E1" w:rsidP="001E23E1">
      <w:pPr>
        <w:pStyle w:val="enumlev2"/>
      </w:pPr>
      <w:r w:rsidRPr="001E23E1">
        <w:rPr>
          <w:rFonts w:ascii="Arial" w:hAnsi="Arial" w:cs="Arial"/>
        </w:rPr>
        <w:t>○</w:t>
      </w:r>
      <w:r>
        <w:rPr>
          <w:rtl/>
        </w:rPr>
        <w:tab/>
      </w:r>
      <w:r w:rsidR="00DB74C9" w:rsidRPr="00DB74C9">
        <w:rPr>
          <w:rtl/>
        </w:rPr>
        <w:t xml:space="preserve">يحتاج أعضاء رابطة </w:t>
      </w:r>
      <w:r w:rsidR="00DB74C9" w:rsidRPr="00DB74C9">
        <w:t>CRASA</w:t>
      </w:r>
      <w:r w:rsidR="00DB74C9" w:rsidRPr="00DB74C9">
        <w:rPr>
          <w:rtl/>
        </w:rPr>
        <w:t xml:space="preserve"> إلى مزيد من التوعية بشأن عروض وفرص العضوية التي تقدمها منظمة</w:t>
      </w:r>
      <w:r w:rsidR="00256E21">
        <w:rPr>
          <w:rFonts w:hint="cs"/>
          <w:rtl/>
        </w:rPr>
        <w:t> </w:t>
      </w:r>
      <w:r w:rsidR="00DB74C9" w:rsidRPr="00DB74C9">
        <w:rPr>
          <w:rtl/>
        </w:rPr>
        <w:t>RASCOM.</w:t>
      </w:r>
    </w:p>
    <w:p w14:paraId="26C47284" w14:textId="489D10A8" w:rsidR="00DB74C9" w:rsidRPr="00DB74C9" w:rsidRDefault="001E23E1" w:rsidP="001E23E1">
      <w:pPr>
        <w:pStyle w:val="enumlev2"/>
      </w:pPr>
      <w:r w:rsidRPr="001E23E1">
        <w:rPr>
          <w:rFonts w:ascii="Arial" w:hAnsi="Arial" w:cs="Arial"/>
        </w:rPr>
        <w:t>○</w:t>
      </w:r>
      <w:r>
        <w:rPr>
          <w:rtl/>
        </w:rPr>
        <w:tab/>
      </w:r>
      <w:r w:rsidR="00DB74C9" w:rsidRPr="00DB74C9">
        <w:rPr>
          <w:rtl/>
        </w:rPr>
        <w:t>تجري المناقشات بشأن ترخيص الخدمة الساتلية غير المستقرة بالنسبة إلى الأرض وتنسيق الترددات الراديوية والتخفيف من التداخل.</w:t>
      </w:r>
    </w:p>
    <w:p w14:paraId="5969F59D" w14:textId="1B2ADBEA" w:rsidR="00DB74C9" w:rsidRPr="00DB74C9" w:rsidRDefault="001E23E1" w:rsidP="001E23E1">
      <w:pPr>
        <w:pStyle w:val="enumlev2"/>
      </w:pPr>
      <w:r w:rsidRPr="001E23E1">
        <w:rPr>
          <w:rFonts w:ascii="Arial" w:hAnsi="Arial" w:cs="Arial"/>
        </w:rPr>
        <w:lastRenderedPageBreak/>
        <w:t>○</w:t>
      </w:r>
      <w:r>
        <w:rPr>
          <w:rtl/>
        </w:rPr>
        <w:tab/>
      </w:r>
      <w:r w:rsidR="00DB74C9" w:rsidRPr="00DB74C9">
        <w:rPr>
          <w:rtl/>
        </w:rPr>
        <w:t xml:space="preserve">يبسط نهج الترخيص الشامل لأذونات المعدات </w:t>
      </w:r>
      <w:proofErr w:type="spellStart"/>
      <w:r w:rsidR="00DB74C9" w:rsidRPr="00DB74C9">
        <w:rPr>
          <w:rtl/>
        </w:rPr>
        <w:t>المطرافية</w:t>
      </w:r>
      <w:proofErr w:type="spellEnd"/>
      <w:r w:rsidR="00DB74C9" w:rsidRPr="00DB74C9">
        <w:rPr>
          <w:rtl/>
        </w:rPr>
        <w:t>.</w:t>
      </w:r>
    </w:p>
    <w:p w14:paraId="510062B3" w14:textId="231FC313" w:rsidR="00DB74C9" w:rsidRPr="00DB74C9" w:rsidRDefault="001E23E1" w:rsidP="001E23E1">
      <w:pPr>
        <w:pStyle w:val="enumlev2"/>
      </w:pPr>
      <w:r w:rsidRPr="001E23E1">
        <w:rPr>
          <w:rFonts w:ascii="Arial" w:hAnsi="Arial" w:cs="Arial"/>
        </w:rPr>
        <w:t>○</w:t>
      </w:r>
      <w:r>
        <w:rPr>
          <w:rtl/>
        </w:rPr>
        <w:tab/>
      </w:r>
      <w:r w:rsidR="00DB74C9" w:rsidRPr="00DB74C9">
        <w:rPr>
          <w:rtl/>
        </w:rPr>
        <w:t xml:space="preserve">أهمية الالتزام بلوائح الاتحاد والمبادئ التوجيهية لمكتب </w:t>
      </w:r>
      <w:r w:rsidR="00DB74C9" w:rsidRPr="00DB74C9">
        <w:t>UNOOSA</w:t>
      </w:r>
      <w:r w:rsidR="00DB74C9" w:rsidRPr="00DB74C9">
        <w:rPr>
          <w:rtl/>
        </w:rPr>
        <w:t xml:space="preserve"> فيما يتعلق بالموارد الطيفية والمدارية.</w:t>
      </w:r>
    </w:p>
    <w:p w14:paraId="16D73EA1" w14:textId="59BCFF21" w:rsidR="00DB74C9" w:rsidRPr="00DB74C9" w:rsidRDefault="001E23E1" w:rsidP="001E23E1">
      <w:pPr>
        <w:pStyle w:val="enumlev2"/>
      </w:pPr>
      <w:r w:rsidRPr="001E23E1">
        <w:rPr>
          <w:rFonts w:ascii="Arial" w:hAnsi="Arial" w:cs="Arial"/>
        </w:rPr>
        <w:t>○</w:t>
      </w:r>
      <w:r>
        <w:rPr>
          <w:rtl/>
        </w:rPr>
        <w:tab/>
      </w:r>
      <w:r w:rsidR="00DB74C9" w:rsidRPr="00DB74C9">
        <w:rPr>
          <w:rtl/>
        </w:rPr>
        <w:t>تأكيد أنغولا على بناء الخبرات قبل إطلاق السواتل.</w:t>
      </w:r>
    </w:p>
    <w:p w14:paraId="5A8A528B" w14:textId="4775381A" w:rsidR="00DB74C9" w:rsidRPr="00DB74C9" w:rsidRDefault="001E23E1" w:rsidP="001E23E1">
      <w:pPr>
        <w:pStyle w:val="enumlev2"/>
      </w:pPr>
      <w:r w:rsidRPr="001E23E1">
        <w:rPr>
          <w:rFonts w:ascii="Arial" w:hAnsi="Arial" w:cs="Arial"/>
        </w:rPr>
        <w:t>○</w:t>
      </w:r>
      <w:r>
        <w:rPr>
          <w:rtl/>
        </w:rPr>
        <w:tab/>
      </w:r>
      <w:r w:rsidR="00DB74C9" w:rsidRPr="00DB74C9">
        <w:rPr>
          <w:rtl/>
        </w:rPr>
        <w:t xml:space="preserve">حرص أعضاء رابطة </w:t>
      </w:r>
      <w:r w:rsidR="00DB74C9" w:rsidRPr="00DB74C9">
        <w:t>CRASA</w:t>
      </w:r>
      <w:r w:rsidR="00DB74C9" w:rsidRPr="00DB74C9">
        <w:rPr>
          <w:rtl/>
        </w:rPr>
        <w:t xml:space="preserve"> على تطوير الخبرة في البرامج الفضائية الوطنية.</w:t>
      </w:r>
    </w:p>
    <w:p w14:paraId="078D9736" w14:textId="148B84E0" w:rsidR="00DB74C9" w:rsidRPr="00DB74C9" w:rsidRDefault="001E23E1" w:rsidP="001E23E1">
      <w:pPr>
        <w:pStyle w:val="enumlev2"/>
      </w:pPr>
      <w:r w:rsidRPr="001E23E1">
        <w:rPr>
          <w:rFonts w:ascii="Arial" w:hAnsi="Arial" w:cs="Arial"/>
        </w:rPr>
        <w:t>○</w:t>
      </w:r>
      <w:r>
        <w:rPr>
          <w:rtl/>
        </w:rPr>
        <w:tab/>
      </w:r>
      <w:r w:rsidR="00DB74C9" w:rsidRPr="00DB74C9">
        <w:rPr>
          <w:rtl/>
        </w:rPr>
        <w:t xml:space="preserve">تخطيط رابطة </w:t>
      </w:r>
      <w:r w:rsidR="00DB74C9" w:rsidRPr="00DB74C9">
        <w:t>CRASA</w:t>
      </w:r>
      <w:r w:rsidR="00DB74C9" w:rsidRPr="00DB74C9">
        <w:rPr>
          <w:rtl/>
        </w:rPr>
        <w:t xml:space="preserve"> والاتحاد لعقد اجتماع لأنشطة رسم خرائط البنية التحتية.</w:t>
      </w:r>
    </w:p>
    <w:p w14:paraId="5DEE97A1" w14:textId="76F61628" w:rsidR="00DB74C9" w:rsidRPr="00DB74C9" w:rsidRDefault="001E23E1" w:rsidP="001E23E1">
      <w:pPr>
        <w:pStyle w:val="enumlev2"/>
      </w:pPr>
      <w:r w:rsidRPr="001E23E1">
        <w:rPr>
          <w:rFonts w:ascii="Arial" w:hAnsi="Arial" w:cs="Arial"/>
        </w:rPr>
        <w:t>○</w:t>
      </w:r>
      <w:r>
        <w:rPr>
          <w:rtl/>
        </w:rPr>
        <w:tab/>
      </w:r>
      <w:r w:rsidR="00DB74C9" w:rsidRPr="00DB74C9">
        <w:rPr>
          <w:rtl/>
        </w:rPr>
        <w:t>معالجة قضايا التداخل والحطام الفضائي مسألة ذات أولوية عالية.</w:t>
      </w:r>
    </w:p>
    <w:p w14:paraId="253BF15A" w14:textId="5A358431" w:rsidR="00DB74C9" w:rsidRPr="00DB74C9" w:rsidRDefault="001E23E1" w:rsidP="001E23E1">
      <w:pPr>
        <w:pStyle w:val="enumlev1"/>
        <w:rPr>
          <w:lang w:bidi="ar-EG"/>
        </w:rPr>
      </w:pPr>
      <w:r w:rsidRPr="00373D9A">
        <w:rPr>
          <w:lang w:bidi="ar-SA"/>
        </w:rPr>
        <w:sym w:font="Symbol" w:char="F0B7"/>
      </w:r>
      <w:r>
        <w:rPr>
          <w:rtl/>
        </w:rPr>
        <w:tab/>
      </w:r>
      <w:r w:rsidR="00DB74C9" w:rsidRPr="00DB74C9">
        <w:rPr>
          <w:rtl/>
        </w:rPr>
        <w:t>نظم الاتحاد ورشة عمل لبناء القدرات وحواراً بشأن تكنولوجيا/تنظيم الفضاء في كينشاسا، جمهورية الكونغو الديمقراطية (المتحدثون: مكتب تنمية الاتصالات، و</w:t>
      </w:r>
      <w:r w:rsidR="00DB74C9" w:rsidRPr="00DB74C9">
        <w:t>MACRA</w:t>
      </w:r>
      <w:r w:rsidR="00DB74C9" w:rsidRPr="00DB74C9">
        <w:rPr>
          <w:rtl/>
        </w:rPr>
        <w:t xml:space="preserve"> و</w:t>
      </w:r>
      <w:r w:rsidR="00DB74C9" w:rsidRPr="00DB74C9">
        <w:t>CRASA</w:t>
      </w:r>
      <w:r w:rsidR="00DB74C9" w:rsidRPr="00DB74C9">
        <w:rPr>
          <w:rtl/>
        </w:rPr>
        <w:t xml:space="preserve"> و</w:t>
      </w:r>
      <w:r w:rsidR="00DB74C9" w:rsidRPr="00DB74C9">
        <w:t>GSOA</w:t>
      </w:r>
      <w:r w:rsidR="00DB74C9" w:rsidRPr="00DB74C9">
        <w:rPr>
          <w:rtl/>
        </w:rPr>
        <w:t xml:space="preserve">). وقدم الاتحاد لمحة عامة عن سوق الاتصالات الساتلية والتطورات الأخيرة، وناقش أهمية أنظمة الاتصالات الساتلية والفرص والتحديات في امتلاك نظام </w:t>
      </w:r>
      <w:proofErr w:type="spellStart"/>
      <w:r w:rsidR="00DB74C9" w:rsidRPr="00DB74C9">
        <w:rPr>
          <w:rtl/>
        </w:rPr>
        <w:t>ساتلي</w:t>
      </w:r>
      <w:proofErr w:type="spellEnd"/>
      <w:r w:rsidR="00DB74C9" w:rsidRPr="00DB74C9">
        <w:rPr>
          <w:rtl/>
        </w:rPr>
        <w:t xml:space="preserve">، والتعاون </w:t>
      </w:r>
      <w:proofErr w:type="spellStart"/>
      <w:r w:rsidR="00DB74C9" w:rsidRPr="00DB74C9">
        <w:rPr>
          <w:rtl/>
        </w:rPr>
        <w:t>والتآزؤ</w:t>
      </w:r>
      <w:proofErr w:type="spellEnd"/>
      <w:r w:rsidR="00DB74C9" w:rsidRPr="00DB74C9">
        <w:rPr>
          <w:rtl/>
        </w:rPr>
        <w:t xml:space="preserve"> في استعمال الأنظمة الساتلية، والجوانب الدولية والإقليمية والوطنية للوائح الاتصالات الساتلية ومبادئ النفاذ المنصف إلى الموارد الفضائية وحمايتها. وجرى أيضاً تيسير مناقشة مفتوحة بشأن التوقعات والاحتياجات الإقليمية بهدف تصميم ورشة العمل الثانية الأكثر تركيزاً. وفيما يلي القضايا الرئيسية التي نوقشت</w:t>
      </w:r>
      <w:r w:rsidR="00CE6696">
        <w:rPr>
          <w:rFonts w:hint="cs"/>
          <w:rtl/>
        </w:rPr>
        <w:t>:</w:t>
      </w:r>
    </w:p>
    <w:p w14:paraId="07A6D8D3" w14:textId="08DD098A" w:rsidR="00DB74C9" w:rsidRPr="00CE6696" w:rsidRDefault="001E23E1" w:rsidP="00B643A3">
      <w:pPr>
        <w:pStyle w:val="enumlev2"/>
        <w:rPr>
          <w:spacing w:val="-2"/>
        </w:rPr>
      </w:pPr>
      <w:r w:rsidRPr="00CE6696">
        <w:rPr>
          <w:rFonts w:ascii="Arial" w:hAnsi="Arial" w:cs="Arial"/>
          <w:spacing w:val="-2"/>
        </w:rPr>
        <w:t>○</w:t>
      </w:r>
      <w:r w:rsidRPr="00CE6696">
        <w:rPr>
          <w:rFonts w:ascii="Arial" w:hAnsi="Arial" w:cs="Arial"/>
          <w:spacing w:val="-2"/>
        </w:rPr>
        <w:tab/>
      </w:r>
      <w:r w:rsidR="00DB74C9" w:rsidRPr="00CE6696">
        <w:rPr>
          <w:spacing w:val="-2"/>
          <w:rtl/>
        </w:rPr>
        <w:t xml:space="preserve">تنظيم الاتصالات الساتلية موضوع ملح في المنطقة. ويواجه أعضاء رابطة </w:t>
      </w:r>
      <w:r w:rsidR="00DB74C9" w:rsidRPr="00CE6696">
        <w:rPr>
          <w:spacing w:val="-2"/>
        </w:rPr>
        <w:t>CRASA</w:t>
      </w:r>
      <w:r w:rsidR="00DB74C9" w:rsidRPr="00CE6696">
        <w:rPr>
          <w:spacing w:val="-2"/>
          <w:rtl/>
        </w:rPr>
        <w:t xml:space="preserve"> تحديات في اللوائح المتعلقة بالخدمات الساتلية ويرغبون في معرفة المزيد عن الفرص والخدمات وبناء القدرات والجوانب التقنية والتجارية والاقتصادية في مجال السواتل.</w:t>
      </w:r>
    </w:p>
    <w:p w14:paraId="26D8C2F0" w14:textId="488D8CD1" w:rsidR="00DB74C9" w:rsidRPr="00DB74C9" w:rsidRDefault="001E23E1" w:rsidP="00B643A3">
      <w:pPr>
        <w:pStyle w:val="enumlev2"/>
      </w:pPr>
      <w:r w:rsidRPr="001E23E1">
        <w:rPr>
          <w:rFonts w:ascii="Arial" w:hAnsi="Arial" w:cs="Arial"/>
        </w:rPr>
        <w:t>○</w:t>
      </w:r>
      <w:r>
        <w:rPr>
          <w:rFonts w:ascii="Arial" w:hAnsi="Arial" w:cs="Arial"/>
        </w:rPr>
        <w:tab/>
      </w:r>
      <w:r w:rsidR="00DB74C9" w:rsidRPr="00DB74C9">
        <w:rPr>
          <w:rtl/>
        </w:rPr>
        <w:t>وتقوم عدة بلدان حالياً بنشر أو اختبار حلول الاتصالات الساتلية في المدار الأرضي المنخفض.</w:t>
      </w:r>
    </w:p>
    <w:p w14:paraId="64BB3213" w14:textId="0530C4C5" w:rsidR="00DB74C9" w:rsidRPr="00DB74C9" w:rsidRDefault="001E23E1" w:rsidP="001E23E1">
      <w:pPr>
        <w:pStyle w:val="enumlev1"/>
        <w:rPr>
          <w:lang w:bidi="ar-SA"/>
        </w:rPr>
      </w:pPr>
      <w:r w:rsidRPr="00373D9A">
        <w:rPr>
          <w:lang w:bidi="ar-SA"/>
        </w:rPr>
        <w:sym w:font="Symbol" w:char="F0B7"/>
      </w:r>
      <w:r>
        <w:rPr>
          <w:rtl/>
        </w:rPr>
        <w:tab/>
      </w:r>
      <w:r w:rsidR="00DB74C9" w:rsidRPr="00DB74C9">
        <w:rPr>
          <w:rtl/>
        </w:rPr>
        <w:t>شارك الاتحاد في المؤتمر الدولي المشترك بين الأمم المتحدة ومنظمة الصحة العالمية بشأن الفضاء والصحة العالمية بالتعاون مع حكومة سويسرا وشبكة الفضاء والصحة العالمية بدعم من وكالة الفضاء الأوروبية واستضافه مؤتمر الأمم المتحدة للتجارة والتنمية (</w:t>
      </w:r>
      <w:proofErr w:type="spellStart"/>
      <w:r w:rsidR="00DB74C9" w:rsidRPr="00DB74C9">
        <w:rPr>
          <w:rtl/>
        </w:rPr>
        <w:t>الأونكتاد</w:t>
      </w:r>
      <w:proofErr w:type="spellEnd"/>
      <w:r w:rsidR="00DB74C9" w:rsidRPr="00DB74C9">
        <w:rPr>
          <w:rtl/>
        </w:rPr>
        <w:t>) في جنيف في نوفمبر 2023 وحضر شبكة الفضاء والصحة العالمية أثناء الدورة الحادية والستين للجنة الفرعية العلمية والتقنية التابعة للجنة استخدام الفضاء الخارجي في الأغراض السلمية</w:t>
      </w:r>
    </w:p>
    <w:p w14:paraId="0ACF0828" w14:textId="0856B74F" w:rsidR="00B643A3" w:rsidRDefault="00B643A3" w:rsidP="007B5C71">
      <w:pPr>
        <w:rPr>
          <w:rtl/>
        </w:rPr>
      </w:pPr>
      <w:r>
        <w:rPr>
          <w:rtl/>
        </w:rPr>
        <w:br w:type="page"/>
      </w:r>
    </w:p>
    <w:p w14:paraId="118C3CB0" w14:textId="77777777" w:rsidR="00B643A3" w:rsidRPr="00B643A3" w:rsidRDefault="00B643A3" w:rsidP="00D25717">
      <w:pPr>
        <w:pStyle w:val="AnnexNo"/>
        <w:rPr>
          <w:lang w:bidi="ar-SA"/>
        </w:rPr>
      </w:pPr>
      <w:bookmarkStart w:id="4" w:name="الملحق3"/>
      <w:bookmarkEnd w:id="4"/>
      <w:r w:rsidRPr="00B643A3">
        <w:rPr>
          <w:rtl/>
        </w:rPr>
        <w:lastRenderedPageBreak/>
        <w:t>الملحق 3</w:t>
      </w:r>
    </w:p>
    <w:p w14:paraId="4C00F632" w14:textId="5706E947" w:rsidR="00B643A3" w:rsidRPr="00B643A3" w:rsidRDefault="00B643A3" w:rsidP="00D25717">
      <w:pPr>
        <w:pStyle w:val="Annextitle"/>
        <w:rPr>
          <w:lang w:bidi="ar-SA"/>
        </w:rPr>
      </w:pPr>
      <w:bookmarkStart w:id="5" w:name="_Hlk132818415"/>
      <w:r w:rsidRPr="00B643A3">
        <w:rPr>
          <w:rtl/>
        </w:rPr>
        <w:t xml:space="preserve">اجتماعات الأمم المتحدة المشتركة بين الوكالات بشأن أنشطة الفضاء الخارجي </w:t>
      </w:r>
      <w:bookmarkEnd w:id="5"/>
      <w:r w:rsidR="00D25717">
        <w:t>(</w:t>
      </w:r>
      <w:r w:rsidR="00D25717" w:rsidRPr="00B643A3">
        <w:t>UN-Space</w:t>
      </w:r>
      <w:r w:rsidR="00D25717">
        <w:t>)</w:t>
      </w:r>
    </w:p>
    <w:p w14:paraId="5BF1A6DE" w14:textId="77ACBC9E" w:rsidR="00B643A3" w:rsidRPr="00B643A3" w:rsidRDefault="00B643A3" w:rsidP="00B643A3">
      <w:r w:rsidRPr="00B643A3">
        <w:rPr>
          <w:rtl/>
        </w:rPr>
        <w:t xml:space="preserve">بدأت الاجتماعات المشتركة بين وكالات الأمم المتحدة بشأن أنشطة الفضاء الخارجي في منتصف السبعينيات قبل أن يشار إليها باسم "آلية الأمم المتحدة للفضاء" بموجب قرار الجمعية العامة </w:t>
      </w:r>
      <w:r w:rsidR="00256E21">
        <w:t>68/75a</w:t>
      </w:r>
      <w:r w:rsidRPr="00B643A3">
        <w:rPr>
          <w:rtl/>
        </w:rPr>
        <w:t xml:space="preserve"> الصادر في ديسمبر 2013.</w:t>
      </w:r>
      <w:r w:rsidR="005F5169">
        <w:rPr>
          <w:rFonts w:hint="cs"/>
          <w:rtl/>
        </w:rPr>
        <w:t xml:space="preserve"> </w:t>
      </w:r>
    </w:p>
    <w:p w14:paraId="609B7028" w14:textId="1261AA90" w:rsidR="00B643A3" w:rsidRPr="00B643A3" w:rsidRDefault="00B643A3" w:rsidP="00B643A3">
      <w:pPr>
        <w:rPr>
          <w:spacing w:val="-2"/>
        </w:rPr>
      </w:pPr>
      <w:r w:rsidRPr="00B643A3">
        <w:rPr>
          <w:spacing w:val="-2"/>
          <w:rtl/>
        </w:rPr>
        <w:t>وآلية الأمم المتحدة للفضاء هي آلية لتعزيز التعاون والتآزر وتبادل المعلومات وتنسيق خطط وبرامج كيانات الأمم المتحدة (الإدارات والمكاتب والصناديق والبرامج والوكالات المتخصصة) في تنفيذ الأنشطة التي تنطوي على استخدام تكنولوجيا الفضاء وتطبيقاتها.</w:t>
      </w:r>
    </w:p>
    <w:p w14:paraId="462AA2BF" w14:textId="44E5C15B" w:rsidR="00B643A3" w:rsidRPr="00B643A3" w:rsidRDefault="00B643A3" w:rsidP="00B643A3">
      <w:r w:rsidRPr="00B643A3">
        <w:rPr>
          <w:rtl/>
        </w:rPr>
        <w:t>ويشرف مكتب شؤون الفضاء الخارجي على آلية الأمم المتحدة للفضاء ويعمل كأمانة لها. ويشارك في هذه الآلية خمسة وثلاثون كياناً من كيانات الأمم المتحدة (</w:t>
      </w:r>
      <w:hyperlink r:id="rId31" w:history="1">
        <w:r w:rsidR="00D25717" w:rsidRPr="00C21B1B">
          <w:rPr>
            <w:rStyle w:val="Hyperlink"/>
            <w:bCs/>
            <w:szCs w:val="24"/>
          </w:rPr>
          <w:t>https://www.unoosa.org/oosa/en/ourwork/un-space/po.html</w:t>
        </w:r>
      </w:hyperlink>
      <w:r w:rsidRPr="00B643A3">
        <w:rPr>
          <w:rtl/>
        </w:rPr>
        <w:t>).</w:t>
      </w:r>
    </w:p>
    <w:p w14:paraId="6CB248A9" w14:textId="2DDFB36D" w:rsidR="00B643A3" w:rsidRPr="00B643A3" w:rsidRDefault="00B643A3" w:rsidP="00B643A3">
      <w:r w:rsidRPr="00B643A3">
        <w:rPr>
          <w:rtl/>
        </w:rPr>
        <w:t xml:space="preserve">واصلت اللجنة المعنية باستخدام الفضاء الخارجي في الأغراض السلمية </w:t>
      </w:r>
      <w:r w:rsidR="00E675E9">
        <w:t>(</w:t>
      </w:r>
      <w:r w:rsidR="00E675E9" w:rsidRPr="00B643A3">
        <w:t>COPUOS</w:t>
      </w:r>
      <w:r w:rsidR="00E675E9">
        <w:t>)</w:t>
      </w:r>
      <w:r w:rsidRPr="00B643A3">
        <w:rPr>
          <w:rtl/>
        </w:rPr>
        <w:t xml:space="preserve"> في </w:t>
      </w:r>
      <w:hyperlink r:id="rId32" w:history="1">
        <w:r w:rsidRPr="00B643A3">
          <w:rPr>
            <w:rStyle w:val="Hyperlink"/>
            <w:rtl/>
          </w:rPr>
          <w:t>دورتها السادسة والستين</w:t>
        </w:r>
      </w:hyperlink>
      <w:r w:rsidRPr="00B643A3">
        <w:rPr>
          <w:rtl/>
        </w:rPr>
        <w:t xml:space="preserve"> في</w:t>
      </w:r>
      <w:r w:rsidR="00E675E9">
        <w:rPr>
          <w:rFonts w:hint="cs"/>
          <w:rtl/>
        </w:rPr>
        <w:t> </w:t>
      </w:r>
      <w:r w:rsidRPr="00B643A3">
        <w:rPr>
          <w:rtl/>
        </w:rPr>
        <w:t>يونيو 2023 تشجيع كيانات منظومة الأمم المتحدة على المشاركة، حسب الاقتضاء، في جهود التنسيق لآلية الأمم المتحدة للفضاء.</w:t>
      </w:r>
    </w:p>
    <w:p w14:paraId="0E9A5BFB" w14:textId="2B3F6F81" w:rsidR="00B643A3" w:rsidRPr="00B643A3" w:rsidRDefault="00B643A3" w:rsidP="00B643A3">
      <w:r w:rsidRPr="00B643A3">
        <w:rPr>
          <w:rtl/>
        </w:rPr>
        <w:t xml:space="preserve">وعقدت الدورة الثانية والأربعون لآلية الأمم المتحدة للفضاء في 18 أكتوبر 2023 واستضافتها دائرة الجغرافيا المكانية وتكنولوجيا المعلومات والاتصالات في مركز الخدمات العالمي للأمم المتحدة </w:t>
      </w:r>
      <w:r w:rsidR="00E675E9">
        <w:t>(</w:t>
      </w:r>
      <w:r w:rsidR="00E675E9" w:rsidRPr="00B643A3">
        <w:t>UNGSC</w:t>
      </w:r>
      <w:r w:rsidR="00E675E9">
        <w:t>)</w:t>
      </w:r>
      <w:r w:rsidRPr="00B643A3">
        <w:rPr>
          <w:rtl/>
        </w:rPr>
        <w:t xml:space="preserve"> في </w:t>
      </w:r>
      <w:proofErr w:type="spellStart"/>
      <w:r w:rsidRPr="00B643A3">
        <w:rPr>
          <w:rtl/>
        </w:rPr>
        <w:t>برينديسي</w:t>
      </w:r>
      <w:proofErr w:type="spellEnd"/>
      <w:r w:rsidRPr="00B643A3">
        <w:rPr>
          <w:rtl/>
        </w:rPr>
        <w:t>، إيطاليا.</w:t>
      </w:r>
    </w:p>
    <w:p w14:paraId="52C764E7" w14:textId="36CF81D0" w:rsidR="00B643A3" w:rsidRPr="00B643A3" w:rsidRDefault="00B643A3" w:rsidP="00B643A3">
      <w:pPr>
        <w:rPr>
          <w:spacing w:val="-2"/>
        </w:rPr>
      </w:pPr>
      <w:r w:rsidRPr="00B643A3">
        <w:rPr>
          <w:spacing w:val="-2"/>
          <w:rtl/>
        </w:rPr>
        <w:t>وتضمنت الجلسة معلومات محدثة عن آخر التطورات في استخدام الفضاء الخارجي في الأغراض السلمية، وعن خطة "الفضاء</w:t>
      </w:r>
      <w:r w:rsidR="00256E21">
        <w:rPr>
          <w:rFonts w:hint="cs"/>
          <w:spacing w:val="-2"/>
          <w:rtl/>
        </w:rPr>
        <w:t> </w:t>
      </w:r>
      <w:r w:rsidRPr="00B643A3">
        <w:rPr>
          <w:spacing w:val="-2"/>
          <w:rtl/>
        </w:rPr>
        <w:t xml:space="preserve">2030"، فضلاً عن مناقشات بشأن الروابط بين آلية الأمم المتحدة للفضاء والموجز </w:t>
      </w:r>
      <w:proofErr w:type="spellStart"/>
      <w:r w:rsidRPr="00B643A3">
        <w:rPr>
          <w:spacing w:val="-2"/>
          <w:rtl/>
        </w:rPr>
        <w:t>السياساتي</w:t>
      </w:r>
      <w:proofErr w:type="spellEnd"/>
      <w:r w:rsidRPr="00B643A3">
        <w:rPr>
          <w:spacing w:val="-2"/>
          <w:rtl/>
        </w:rPr>
        <w:t xml:space="preserve"> لخطتنا المشتركة رقم 7، من أجل البشرية جمعاء - مستقبل إدارة الفضاء الخارجي (</w:t>
      </w:r>
      <w:hyperlink r:id="rId33" w:history="1">
        <w:r w:rsidR="0010751A" w:rsidRPr="0010751A">
          <w:rPr>
            <w:rStyle w:val="Hyperlink"/>
            <w:rFonts w:cstheme="minorHAnsi"/>
            <w:spacing w:val="-2"/>
            <w:szCs w:val="24"/>
          </w:rPr>
          <w:t>https://www.un.org/sites/un2.un.org/files/our-common-agenda-policy-brief-outer-space-ar.pdf</w:t>
        </w:r>
      </w:hyperlink>
      <w:r w:rsidRPr="00B643A3">
        <w:rPr>
          <w:spacing w:val="-2"/>
          <w:rtl/>
        </w:rPr>
        <w:t>).</w:t>
      </w:r>
    </w:p>
    <w:p w14:paraId="4676DF03" w14:textId="7DC4D24B" w:rsidR="00B643A3" w:rsidRPr="00B643A3" w:rsidRDefault="00B643A3" w:rsidP="00B643A3">
      <w:proofErr w:type="spellStart"/>
      <w:r w:rsidRPr="00B643A3">
        <w:rPr>
          <w:rtl/>
        </w:rPr>
        <w:t>و‏يشير</w:t>
      </w:r>
      <w:proofErr w:type="spellEnd"/>
      <w:r w:rsidRPr="00B643A3">
        <w:rPr>
          <w:rtl/>
        </w:rPr>
        <w:t xml:space="preserve"> هذا الموجز </w:t>
      </w:r>
      <w:proofErr w:type="spellStart"/>
      <w:r w:rsidRPr="00B643A3">
        <w:rPr>
          <w:rtl/>
        </w:rPr>
        <w:t>السياساتي</w:t>
      </w:r>
      <w:proofErr w:type="spellEnd"/>
      <w:r w:rsidRPr="00B643A3">
        <w:rPr>
          <w:rtl/>
        </w:rPr>
        <w:t xml:space="preserve"> إلى اعتماد خطة "الفضاء ‎2030"‏، مع الاعتراف بالصلة المهمة بين الفضاء الخارجي وخطة التنمية المستدامة. ويوصي كيانات الأمم المتحدة بزيادة تعاونها، بما في ذلك من خلال آلية الأمم المتحدة للفضاء، بغية تحسين تنسيق تبادل البيانات بينها، وبناء قدرات منظومة الأمم المتحدة، والتعاون بشأن شراء المعلومات الفضائية. وساهم الاتحاد بنشاط في</w:t>
      </w:r>
      <w:r w:rsidR="00E675E9">
        <w:rPr>
          <w:rFonts w:hint="cs"/>
          <w:rtl/>
        </w:rPr>
        <w:t> </w:t>
      </w:r>
      <w:r w:rsidRPr="00B643A3">
        <w:rPr>
          <w:rtl/>
        </w:rPr>
        <w:t xml:space="preserve">إعداد هذا الموجز </w:t>
      </w:r>
      <w:proofErr w:type="spellStart"/>
      <w:r w:rsidRPr="00B643A3">
        <w:rPr>
          <w:rtl/>
        </w:rPr>
        <w:t>السياساتي</w:t>
      </w:r>
      <w:proofErr w:type="spellEnd"/>
      <w:r w:rsidRPr="00B643A3">
        <w:rPr>
          <w:rtl/>
        </w:rPr>
        <w:t xml:space="preserve"> بقيادة مكتب الأمين العام للأمم المتحدة إلى جانب مكتبي الأمم المتحدة لشؤون نزع السلاح</w:t>
      </w:r>
      <w:r w:rsidR="00256E21">
        <w:rPr>
          <w:rFonts w:hint="cs"/>
          <w:rtl/>
        </w:rPr>
        <w:t> </w:t>
      </w:r>
      <w:r w:rsidR="00E675E9">
        <w:t>(</w:t>
      </w:r>
      <w:r w:rsidR="00E675E9" w:rsidRPr="00B643A3">
        <w:t>UNODA</w:t>
      </w:r>
      <w:r w:rsidR="00E675E9">
        <w:t>)</w:t>
      </w:r>
      <w:r w:rsidRPr="00B643A3">
        <w:rPr>
          <w:rtl/>
        </w:rPr>
        <w:t xml:space="preserve"> وشؤون الفضاء الخارجي (</w:t>
      </w:r>
      <w:r w:rsidRPr="00B643A3">
        <w:t>UNOOSA</w:t>
      </w:r>
      <w:r w:rsidRPr="00B643A3">
        <w:rPr>
          <w:rtl/>
        </w:rPr>
        <w:t>). وعرض الاتحاد مشاركة الاتحاد على مدى 60 عاماً في قضايا الفضاء مما</w:t>
      </w:r>
      <w:r w:rsidR="009B51A3">
        <w:rPr>
          <w:rFonts w:hint="cs"/>
          <w:rtl/>
        </w:rPr>
        <w:t> </w:t>
      </w:r>
      <w:r w:rsidRPr="00B643A3">
        <w:rPr>
          <w:rtl/>
        </w:rPr>
        <w:t xml:space="preserve">أدى إلى إدراج العديد من الأحكام التنظيمية في معاهدات الاتحاد وساهم ببيانات مستخرجة من السجل الأساسي الدولي للترددات. ويقر الموجز </w:t>
      </w:r>
      <w:proofErr w:type="spellStart"/>
      <w:r w:rsidRPr="00B643A3">
        <w:rPr>
          <w:rtl/>
        </w:rPr>
        <w:t>السياساتي</w:t>
      </w:r>
      <w:proofErr w:type="spellEnd"/>
      <w:r w:rsidRPr="00B643A3">
        <w:rPr>
          <w:rtl/>
        </w:rPr>
        <w:t xml:space="preserve"> على وجه الخصوص بأن "الاتحاد لديه الآليات المؤسسية اللازمة لتلبية متطلبات الاتصالات للبعثات الفضائية</w:t>
      </w:r>
      <w:r w:rsidR="009B51A3">
        <w:rPr>
          <w:rFonts w:hint="cs"/>
          <w:rtl/>
        </w:rPr>
        <w:t> </w:t>
      </w:r>
      <w:r w:rsidRPr="00B643A3">
        <w:rPr>
          <w:rtl/>
        </w:rPr>
        <w:t>المستقبلية".</w:t>
      </w:r>
    </w:p>
    <w:p w14:paraId="595661E9" w14:textId="08C3A2E2" w:rsidR="00B643A3" w:rsidRPr="00B643A3" w:rsidRDefault="00B643A3" w:rsidP="00B643A3">
      <w:r w:rsidRPr="00B643A3">
        <w:rPr>
          <w:rtl/>
        </w:rPr>
        <w:t>ووافق المشاركون في آلية الفضاء للأمم المتحدة على استعراض تنظيمها وإضافة مسارات عمل في قطاع الفضاء الخارجي وإدراج اجتماعات افتراضية بين الدورات. وستقدم آلية الأمم المتحدة للفضاء تقريراً إلى الأمين العام للأمم المتحدة عن تنسيق الأنشطة المتصلة بالفضاء داخل منظومة الأمم المتحدة. وسيقدم هذا التقرير أيضاً إلى اللجنة المعنية باستخدام الفضاء الخارجي في</w:t>
      </w:r>
      <w:r w:rsidR="005903BC">
        <w:rPr>
          <w:rFonts w:hint="cs"/>
          <w:rtl/>
        </w:rPr>
        <w:t> </w:t>
      </w:r>
      <w:r w:rsidRPr="00B643A3">
        <w:rPr>
          <w:rtl/>
        </w:rPr>
        <w:t>الأغراض السليمة في يونيو 2024.</w:t>
      </w:r>
    </w:p>
    <w:p w14:paraId="62BB940B" w14:textId="100DEC6F" w:rsidR="00B70A43" w:rsidRPr="00111C30" w:rsidRDefault="00B643A3" w:rsidP="00111C30">
      <w:pPr>
        <w:rPr>
          <w:spacing w:val="-2"/>
          <w:rtl/>
          <w:lang w:bidi="en-GB"/>
        </w:rPr>
      </w:pPr>
      <w:r w:rsidRPr="00B643A3">
        <w:rPr>
          <w:spacing w:val="-2"/>
          <w:rtl/>
        </w:rPr>
        <w:t xml:space="preserve">ولتلخيص الأنشطة </w:t>
      </w:r>
      <w:proofErr w:type="spellStart"/>
      <w:r w:rsidRPr="00B643A3">
        <w:rPr>
          <w:spacing w:val="-2"/>
          <w:rtl/>
        </w:rPr>
        <w:t>المواضيعية</w:t>
      </w:r>
      <w:proofErr w:type="spellEnd"/>
      <w:r w:rsidRPr="00B643A3">
        <w:rPr>
          <w:spacing w:val="-2"/>
          <w:rtl/>
        </w:rPr>
        <w:t xml:space="preserve"> التي تضطلع بها كيانات الأمم المتحدة، تصدر آلية الأمم المتحدة للفضاء، كل سنتين، </w:t>
      </w:r>
      <w:hyperlink r:id="rId34" w:history="1">
        <w:r w:rsidRPr="00B643A3">
          <w:rPr>
            <w:rStyle w:val="Hyperlink"/>
            <w:spacing w:val="-2"/>
            <w:rtl/>
          </w:rPr>
          <w:t>تقارير خاصة</w:t>
        </w:r>
      </w:hyperlink>
      <w:r w:rsidRPr="00B643A3">
        <w:rPr>
          <w:spacing w:val="-2"/>
          <w:rtl/>
        </w:rPr>
        <w:t xml:space="preserve"> لتقديمها إلى لجنة استخدام الفضاء الخارجي في الأغراض السلمية. ويساهم الاتحاد في هذه التقارير الخاصة عن مبادرات وتطبيقات التعاون بين الوكالات في مجال الفضاء. وقد صدر التقرير الأخير في عام 2022 حول موضوع "</w:t>
      </w:r>
      <w:hyperlink r:id="rId35" w:history="1">
        <w:r w:rsidRPr="00B643A3">
          <w:rPr>
            <w:rStyle w:val="Hyperlink"/>
            <w:spacing w:val="-2"/>
            <w:rtl/>
          </w:rPr>
          <w:t>الفضاء من أجل العمل المناخي</w:t>
        </w:r>
      </w:hyperlink>
      <w:r w:rsidRPr="00B643A3">
        <w:rPr>
          <w:spacing w:val="-2"/>
          <w:rtl/>
        </w:rPr>
        <w:t>".</w:t>
      </w:r>
    </w:p>
    <w:p w14:paraId="62CA11DC" w14:textId="565BC1B3" w:rsidR="00F50E3F" w:rsidRDefault="00111C30"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w:t>
      </w:r>
    </w:p>
    <w:sectPr w:rsidR="00F50E3F" w:rsidSect="006C3242">
      <w:footerReference w:type="default" r:id="rId36"/>
      <w:headerReference w:type="first" r:id="rId37"/>
      <w:footerReference w:type="first" r:id="rId3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B5AB" w14:textId="77777777" w:rsidR="00BD3ABF" w:rsidRDefault="00BD3ABF" w:rsidP="006C3242">
      <w:pPr>
        <w:spacing w:before="0" w:line="240" w:lineRule="auto"/>
      </w:pPr>
      <w:r>
        <w:separator/>
      </w:r>
    </w:p>
  </w:endnote>
  <w:endnote w:type="continuationSeparator" w:id="0">
    <w:p w14:paraId="27CFDF28" w14:textId="77777777" w:rsidR="00BD3ABF" w:rsidRDefault="00BD3AB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52A42684" w14:textId="77777777" w:rsidTr="00357086">
      <w:trPr>
        <w:jc w:val="center"/>
      </w:trPr>
      <w:tc>
        <w:tcPr>
          <w:tcW w:w="868" w:type="pct"/>
          <w:vAlign w:val="center"/>
        </w:tcPr>
        <w:p w14:paraId="56F6A787" w14:textId="2A50B6CF"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4F85D65C" w14:textId="6B123A01"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B70A43">
            <w:rPr>
              <w:rFonts w:ascii="Calibri" w:hAnsi="Calibri" w:cs="Arial"/>
              <w:bCs/>
              <w:color w:val="7F7F7F"/>
              <w:sz w:val="18"/>
            </w:rPr>
            <w:t>36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C7D6BF9"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E6687D7" w14:textId="35481B6B" w:rsidR="00387876" w:rsidRPr="0026373E" w:rsidRDefault="00387876" w:rsidP="00B70A43">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465155C" w14:textId="77777777" w:rsidTr="00F50E3F">
      <w:trPr>
        <w:jc w:val="center"/>
      </w:trPr>
      <w:tc>
        <w:tcPr>
          <w:tcW w:w="868" w:type="pct"/>
          <w:vAlign w:val="center"/>
        </w:tcPr>
        <w:p w14:paraId="2DC4B7C5" w14:textId="77777777" w:rsidR="007B0AA0" w:rsidRPr="007B0AA0" w:rsidRDefault="005F5169"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6ECABD1B" w14:textId="6B0A0920"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B70A43">
            <w:rPr>
              <w:rFonts w:ascii="Calibri" w:hAnsi="Calibri" w:cs="Arial"/>
              <w:bCs/>
              <w:color w:val="7F7F7F"/>
              <w:sz w:val="18"/>
            </w:rPr>
            <w:t>36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2C5AC04"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4F1204B" w14:textId="37DF9E17" w:rsidR="00387876" w:rsidRPr="0026373E" w:rsidRDefault="00387876" w:rsidP="00F0622B">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1131" w14:textId="77777777" w:rsidR="00BD3ABF" w:rsidRDefault="00BD3ABF" w:rsidP="006C3242">
      <w:pPr>
        <w:spacing w:before="0" w:line="240" w:lineRule="auto"/>
      </w:pPr>
      <w:r>
        <w:separator/>
      </w:r>
    </w:p>
  </w:footnote>
  <w:footnote w:type="continuationSeparator" w:id="0">
    <w:p w14:paraId="160C4C16" w14:textId="77777777" w:rsidR="00BD3ABF" w:rsidRDefault="00BD3ABF" w:rsidP="006C3242">
      <w:pPr>
        <w:spacing w:before="0" w:line="240" w:lineRule="auto"/>
      </w:pPr>
      <w:r>
        <w:continuationSeparator/>
      </w:r>
    </w:p>
  </w:footnote>
  <w:footnote w:id="1">
    <w:p w14:paraId="17F7D6C1" w14:textId="2BBDD4F5" w:rsidR="00353267" w:rsidRPr="00353267" w:rsidRDefault="00353267" w:rsidP="00C01925">
      <w:pPr>
        <w:pStyle w:val="FootnoteText"/>
        <w:ind w:left="397" w:hanging="397"/>
        <w:rPr>
          <w:sz w:val="18"/>
          <w:szCs w:val="18"/>
          <w:lang w:bidi="ar-EG"/>
        </w:rPr>
      </w:pPr>
      <w:r>
        <w:rPr>
          <w:rStyle w:val="FootnoteReference"/>
        </w:rPr>
        <w:footnoteRef/>
      </w:r>
      <w:r>
        <w:rPr>
          <w:sz w:val="18"/>
          <w:szCs w:val="18"/>
          <w:rtl/>
        </w:rPr>
        <w:tab/>
      </w:r>
      <w:r w:rsidR="00B35189" w:rsidRPr="00B35189">
        <w:rPr>
          <w:sz w:val="18"/>
          <w:szCs w:val="18"/>
          <w:rtl/>
        </w:rPr>
        <w:t>انظر القرار 99 (المرا</w:t>
      </w:r>
      <w:r w:rsidR="006E6D8C">
        <w:rPr>
          <w:rFonts w:hint="cs"/>
          <w:sz w:val="18"/>
          <w:szCs w:val="18"/>
          <w:rtl/>
        </w:rPr>
        <w:t>جَ</w:t>
      </w:r>
      <w:r w:rsidR="00B35189" w:rsidRPr="00B35189">
        <w:rPr>
          <w:sz w:val="18"/>
          <w:szCs w:val="18"/>
          <w:rtl/>
        </w:rPr>
        <w:t>ع في أنطاليا، 2006) الصادر عن مؤتمر المندوبين المفوضين.</w:t>
      </w:r>
    </w:p>
  </w:footnote>
  <w:footnote w:id="2">
    <w:p w14:paraId="4CC9E37E" w14:textId="77777777" w:rsidR="003A5081" w:rsidRPr="005F5F34" w:rsidRDefault="003A5081" w:rsidP="00C01925">
      <w:pPr>
        <w:pStyle w:val="FootnoteText"/>
        <w:ind w:left="397" w:hanging="397"/>
        <w:textDirection w:val="tbRlV"/>
        <w:rPr>
          <w:sz w:val="18"/>
          <w:szCs w:val="18"/>
          <w:lang w:val="ar-SA" w:eastAsia="zh-TW" w:bidi="en-GB"/>
        </w:rPr>
      </w:pPr>
      <w:r w:rsidRPr="005F5F34">
        <w:rPr>
          <w:rStyle w:val="FootnoteReference"/>
          <w:rtl/>
        </w:rPr>
        <w:footnoteRef/>
      </w:r>
      <w:r w:rsidRPr="005F5F34">
        <w:rPr>
          <w:sz w:val="18"/>
          <w:szCs w:val="18"/>
          <w:rtl/>
        </w:rPr>
        <w:tab/>
        <w:t>خطة التنمية المستدامة لعام ‏‎2030‎، وإطار سنداي للحد من مخاطر الكوارث للفترة ‏‎2030-2015‎، واتفاق باريس.‏</w:t>
      </w:r>
    </w:p>
  </w:footnote>
  <w:footnote w:id="3">
    <w:p w14:paraId="7AA04740" w14:textId="04DB96E2" w:rsidR="008D38AB" w:rsidRPr="004F5373" w:rsidRDefault="008D38AB" w:rsidP="00C01925">
      <w:pPr>
        <w:pStyle w:val="FootnoteText"/>
        <w:ind w:left="397" w:hanging="397"/>
        <w:textDirection w:val="tbRlV"/>
        <w:rPr>
          <w:sz w:val="18"/>
          <w:szCs w:val="18"/>
          <w:lang w:val="ar-SA" w:eastAsia="zh-TW" w:bidi="en-GB"/>
        </w:rPr>
      </w:pPr>
      <w:r w:rsidRPr="004F5373">
        <w:rPr>
          <w:rStyle w:val="FootnoteReference"/>
          <w:rtl/>
        </w:rPr>
        <w:footnoteRef/>
      </w:r>
      <w:r w:rsidRPr="004F5373">
        <w:rPr>
          <w:sz w:val="18"/>
          <w:szCs w:val="18"/>
          <w:rtl/>
        </w:rPr>
        <w:tab/>
        <w:t>القـرار 136 (المراجَع في بوخارست، 2022)</w:t>
      </w:r>
      <w:r w:rsidRPr="004F5373">
        <w:rPr>
          <w:sz w:val="18"/>
          <w:szCs w:val="18"/>
        </w:rPr>
        <w:t>:</w:t>
      </w:r>
      <w:r w:rsidRPr="004F5373">
        <w:rPr>
          <w:sz w:val="18"/>
          <w:szCs w:val="18"/>
          <w:rtl/>
        </w:rPr>
        <w:t xml:space="preserve"> استخدام الاتصالات/تكنولوجيا المعلومات والاتصالات في المساعدات الإنسانية وفي عمليات الرصد والإدارة الخاصة بحالات الطوارئ والكوارث، بما في ذلك الطوارئ المتعلقة بالصحة، من أجل الإنذار المبكر بها والوقاية منها والتخفيف من آثارها والإغاثة، المتاح في: </w:t>
      </w:r>
      <w:hyperlink r:id="rId1" w:history="1">
        <w:r w:rsidR="00DB0492" w:rsidRPr="002B525A">
          <w:rPr>
            <w:rStyle w:val="Hyperlink"/>
            <w:sz w:val="18"/>
            <w:szCs w:val="24"/>
          </w:rPr>
          <w:t>https://www.itu.int/en/council/Documents/basic-texts-2023/RES-136-A.pdf</w:t>
        </w:r>
      </w:hyperlink>
    </w:p>
  </w:footnote>
  <w:footnote w:id="4">
    <w:p w14:paraId="331B5BB9" w14:textId="71955E46" w:rsidR="008D38AB" w:rsidRPr="00DB0492" w:rsidRDefault="008D38AB" w:rsidP="00C01925">
      <w:pPr>
        <w:pStyle w:val="FootnoteText"/>
        <w:ind w:left="397" w:hanging="397"/>
        <w:textDirection w:val="tbRlV"/>
        <w:rPr>
          <w:spacing w:val="-4"/>
          <w:sz w:val="18"/>
          <w:szCs w:val="18"/>
          <w:shd w:val="clear" w:color="auto" w:fill="FFFFFF"/>
          <w:lang w:val="ar-SA" w:eastAsia="zh-TW" w:bidi="en-GB"/>
        </w:rPr>
      </w:pPr>
      <w:r w:rsidRPr="004F5373">
        <w:rPr>
          <w:rStyle w:val="FootnoteReference"/>
          <w:rtl/>
        </w:rPr>
        <w:footnoteRef/>
      </w:r>
      <w:r w:rsidRPr="004F5373">
        <w:rPr>
          <w:sz w:val="18"/>
          <w:szCs w:val="18"/>
          <w:rtl/>
        </w:rPr>
        <w:tab/>
      </w:r>
      <w:r w:rsidRPr="00256E21">
        <w:rPr>
          <w:spacing w:val="-6"/>
          <w:sz w:val="18"/>
          <w:szCs w:val="18"/>
          <w:rtl/>
        </w:rPr>
        <w:t>القرار 34 (المرا</w:t>
      </w:r>
      <w:r w:rsidR="00E223D3" w:rsidRPr="00256E21">
        <w:rPr>
          <w:rFonts w:hint="cs"/>
          <w:spacing w:val="-6"/>
          <w:sz w:val="18"/>
          <w:szCs w:val="18"/>
          <w:rtl/>
        </w:rPr>
        <w:t>جَ</w:t>
      </w:r>
      <w:r w:rsidRPr="00256E21">
        <w:rPr>
          <w:spacing w:val="-6"/>
          <w:sz w:val="18"/>
          <w:szCs w:val="18"/>
          <w:rtl/>
        </w:rPr>
        <w:t xml:space="preserve">ع في كيغالي، 2022) للمؤتمر العالمي لتنمية الاتصالات: دور الاتصالات/تكنولوجيا المعلومات والاتصالات في التأهب للكوارث والإنذار المبكر بها والإنقاذ والتخفيف من آثارها والإغاثة والاستجابة لها، المتاح في </w:t>
      </w:r>
      <w:hyperlink r:id="rId2" w:history="1">
        <w:r w:rsidR="00256E21" w:rsidRPr="00256E21">
          <w:rPr>
            <w:rStyle w:val="Hyperlink"/>
            <w:spacing w:val="-6"/>
            <w:sz w:val="18"/>
            <w:szCs w:val="24"/>
            <w:shd w:val="clear" w:color="auto" w:fill="FFFFFF"/>
          </w:rPr>
          <w:t>https://www.itu.int/dms_pub/itu-d/opb/tdc/D-TDC-WTDC-2022-PDF-A.pdf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F93D"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45A8795" wp14:editId="10102D48">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460F0"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57A5E7F0" wp14:editId="12BFD8A7">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D55EF3"/>
    <w:multiLevelType w:val="hybridMultilevel"/>
    <w:tmpl w:val="FE1CF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A5FC8"/>
    <w:multiLevelType w:val="hybridMultilevel"/>
    <w:tmpl w:val="95E2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8F38AE"/>
    <w:multiLevelType w:val="hybridMultilevel"/>
    <w:tmpl w:val="2262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1128746488">
    <w:abstractNumId w:val="12"/>
    <w:lvlOverride w:ilvl="0">
      <w:lvl w:ilvl="0" w:tplc="08090001">
        <w:start w:val="1"/>
        <w:numFmt w:val="bullet"/>
        <w:lvlText w:val=""/>
        <w:lvlJc w:val="left"/>
        <w:pPr>
          <w:ind w:left="720" w:hanging="360"/>
        </w:pPr>
        <w:rPr>
          <w:rFonts w:ascii="Symbol" w:hAnsi="Symbol" w:hint="default"/>
        </w:rPr>
      </w:lvl>
    </w:lvlOverride>
  </w:num>
  <w:num w:numId="13" w16cid:durableId="934754066">
    <w:abstractNumId w:val="13"/>
    <w:lvlOverride w:ilvl="0">
      <w:lvl w:ilvl="0" w:tplc="08090001">
        <w:start w:val="1"/>
        <w:numFmt w:val="bullet"/>
        <w:lvlText w:val=""/>
        <w:lvlJc w:val="left"/>
        <w:pPr>
          <w:ind w:left="720" w:hanging="360"/>
        </w:pPr>
        <w:rPr>
          <w:rFonts w:ascii="Symbol" w:hAnsi="Symbol" w:hint="default"/>
        </w:rPr>
      </w:lvl>
    </w:lvlOverride>
  </w:num>
  <w:num w:numId="14" w16cid:durableId="2143452449">
    <w:abstractNumId w:val="11"/>
    <w:lvlOverride w:ilvl="0">
      <w:lvl w:ilvl="0" w:tplc="08090001">
        <w:start w:val="1"/>
        <w:numFmt w:val="bullet"/>
        <w:lvlText w:val=""/>
        <w:lvlJc w:val="left"/>
        <w:pPr>
          <w:ind w:left="720" w:hanging="360"/>
        </w:pPr>
        <w:rPr>
          <w:rFonts w:ascii="Symbol" w:hAnsi="Symbol" w:hint="default"/>
        </w:rPr>
      </w:lvl>
    </w:lvlOverride>
    <w:lvlOverride w:ilvl="1">
      <w:lvl w:ilvl="1" w:tplc="08090003">
        <w:start w:val="1"/>
        <w:numFmt w:val="bullet"/>
        <w:lvlText w:val="o"/>
        <w:lvlJc w:val="left"/>
        <w:pPr>
          <w:ind w:left="1440" w:hanging="360"/>
        </w:pPr>
        <w:rPr>
          <w:rFonts w:ascii="Courier New" w:hAnsi="Courier New" w:cs="Courier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BF"/>
    <w:rsid w:val="000218BA"/>
    <w:rsid w:val="0002213E"/>
    <w:rsid w:val="000552F5"/>
    <w:rsid w:val="0006468A"/>
    <w:rsid w:val="00075D5F"/>
    <w:rsid w:val="000818B3"/>
    <w:rsid w:val="00090574"/>
    <w:rsid w:val="0009186A"/>
    <w:rsid w:val="000C10AD"/>
    <w:rsid w:val="000C1C0E"/>
    <w:rsid w:val="000C548A"/>
    <w:rsid w:val="000D54BF"/>
    <w:rsid w:val="00101BD9"/>
    <w:rsid w:val="00105097"/>
    <w:rsid w:val="0010751A"/>
    <w:rsid w:val="00110C8A"/>
    <w:rsid w:val="00111C30"/>
    <w:rsid w:val="00145C02"/>
    <w:rsid w:val="00167CB4"/>
    <w:rsid w:val="00182FB7"/>
    <w:rsid w:val="00191A4B"/>
    <w:rsid w:val="00195B5F"/>
    <w:rsid w:val="001A3BBA"/>
    <w:rsid w:val="001C0169"/>
    <w:rsid w:val="001D1D50"/>
    <w:rsid w:val="001D6745"/>
    <w:rsid w:val="001E23E1"/>
    <w:rsid w:val="001E446E"/>
    <w:rsid w:val="001F642B"/>
    <w:rsid w:val="002118B8"/>
    <w:rsid w:val="002154EE"/>
    <w:rsid w:val="002276D2"/>
    <w:rsid w:val="0023283D"/>
    <w:rsid w:val="00246E1E"/>
    <w:rsid w:val="00256E21"/>
    <w:rsid w:val="00260757"/>
    <w:rsid w:val="0026373E"/>
    <w:rsid w:val="00271C43"/>
    <w:rsid w:val="00282422"/>
    <w:rsid w:val="0028427D"/>
    <w:rsid w:val="00290728"/>
    <w:rsid w:val="002978F4"/>
    <w:rsid w:val="002B028D"/>
    <w:rsid w:val="002C53CB"/>
    <w:rsid w:val="002E6541"/>
    <w:rsid w:val="00334924"/>
    <w:rsid w:val="00336E61"/>
    <w:rsid w:val="003409BC"/>
    <w:rsid w:val="00346B83"/>
    <w:rsid w:val="00353267"/>
    <w:rsid w:val="00357185"/>
    <w:rsid w:val="00362112"/>
    <w:rsid w:val="00373D9A"/>
    <w:rsid w:val="00383829"/>
    <w:rsid w:val="00387876"/>
    <w:rsid w:val="003A5081"/>
    <w:rsid w:val="003C4EB4"/>
    <w:rsid w:val="003F4AF9"/>
    <w:rsid w:val="003F4B29"/>
    <w:rsid w:val="0042686F"/>
    <w:rsid w:val="004317D8"/>
    <w:rsid w:val="00434183"/>
    <w:rsid w:val="00443869"/>
    <w:rsid w:val="00446C89"/>
    <w:rsid w:val="00447F32"/>
    <w:rsid w:val="004533FF"/>
    <w:rsid w:val="004565F6"/>
    <w:rsid w:val="00461ADB"/>
    <w:rsid w:val="004B7334"/>
    <w:rsid w:val="004E11DC"/>
    <w:rsid w:val="005018CF"/>
    <w:rsid w:val="00525DDD"/>
    <w:rsid w:val="005409AC"/>
    <w:rsid w:val="0055311A"/>
    <w:rsid w:val="0055516A"/>
    <w:rsid w:val="00562A38"/>
    <w:rsid w:val="0058491B"/>
    <w:rsid w:val="005903BC"/>
    <w:rsid w:val="00592EA5"/>
    <w:rsid w:val="005A3170"/>
    <w:rsid w:val="005B306B"/>
    <w:rsid w:val="005C56AC"/>
    <w:rsid w:val="005C5AF1"/>
    <w:rsid w:val="005F5169"/>
    <w:rsid w:val="00622658"/>
    <w:rsid w:val="006340FC"/>
    <w:rsid w:val="00677396"/>
    <w:rsid w:val="00680249"/>
    <w:rsid w:val="0069200F"/>
    <w:rsid w:val="00692A72"/>
    <w:rsid w:val="00696387"/>
    <w:rsid w:val="006A05FB"/>
    <w:rsid w:val="006A3433"/>
    <w:rsid w:val="006A65CB"/>
    <w:rsid w:val="006A6740"/>
    <w:rsid w:val="006C3242"/>
    <w:rsid w:val="006C7CC0"/>
    <w:rsid w:val="006D1C78"/>
    <w:rsid w:val="006E6D8C"/>
    <w:rsid w:val="006F63F7"/>
    <w:rsid w:val="007025C7"/>
    <w:rsid w:val="00706D7A"/>
    <w:rsid w:val="007139E0"/>
    <w:rsid w:val="00722F0D"/>
    <w:rsid w:val="0073513F"/>
    <w:rsid w:val="0074420E"/>
    <w:rsid w:val="007506AD"/>
    <w:rsid w:val="007517B7"/>
    <w:rsid w:val="00756EC8"/>
    <w:rsid w:val="00762AF6"/>
    <w:rsid w:val="0078341F"/>
    <w:rsid w:val="00783E26"/>
    <w:rsid w:val="00797214"/>
    <w:rsid w:val="007B0AA0"/>
    <w:rsid w:val="007B5C71"/>
    <w:rsid w:val="007C3BC7"/>
    <w:rsid w:val="007C3BCD"/>
    <w:rsid w:val="007D4ACF"/>
    <w:rsid w:val="007F0787"/>
    <w:rsid w:val="00801965"/>
    <w:rsid w:val="00802861"/>
    <w:rsid w:val="00810B7B"/>
    <w:rsid w:val="0082358A"/>
    <w:rsid w:val="008235CD"/>
    <w:rsid w:val="008247DE"/>
    <w:rsid w:val="008339C0"/>
    <w:rsid w:val="00840B10"/>
    <w:rsid w:val="008441BD"/>
    <w:rsid w:val="008513CB"/>
    <w:rsid w:val="0086407E"/>
    <w:rsid w:val="008A2AB4"/>
    <w:rsid w:val="008A7E03"/>
    <w:rsid w:val="008A7F84"/>
    <w:rsid w:val="008D38AB"/>
    <w:rsid w:val="008E13D8"/>
    <w:rsid w:val="008F15DF"/>
    <w:rsid w:val="008F60D1"/>
    <w:rsid w:val="0091702E"/>
    <w:rsid w:val="00923B0C"/>
    <w:rsid w:val="0094021C"/>
    <w:rsid w:val="00952F86"/>
    <w:rsid w:val="00974B51"/>
    <w:rsid w:val="00982B28"/>
    <w:rsid w:val="009857FE"/>
    <w:rsid w:val="00997AC4"/>
    <w:rsid w:val="009B51A3"/>
    <w:rsid w:val="009D313F"/>
    <w:rsid w:val="009D6F9C"/>
    <w:rsid w:val="00A42D1A"/>
    <w:rsid w:val="00A47A5A"/>
    <w:rsid w:val="00A6683B"/>
    <w:rsid w:val="00A85094"/>
    <w:rsid w:val="00A97F94"/>
    <w:rsid w:val="00AA7EA2"/>
    <w:rsid w:val="00AC36AB"/>
    <w:rsid w:val="00B03099"/>
    <w:rsid w:val="00B05BC8"/>
    <w:rsid w:val="00B102F1"/>
    <w:rsid w:val="00B15640"/>
    <w:rsid w:val="00B17A06"/>
    <w:rsid w:val="00B25144"/>
    <w:rsid w:val="00B35189"/>
    <w:rsid w:val="00B36969"/>
    <w:rsid w:val="00B43964"/>
    <w:rsid w:val="00B6080B"/>
    <w:rsid w:val="00B643A3"/>
    <w:rsid w:val="00B64B47"/>
    <w:rsid w:val="00B70A43"/>
    <w:rsid w:val="00B91B14"/>
    <w:rsid w:val="00B95654"/>
    <w:rsid w:val="00BB541B"/>
    <w:rsid w:val="00BD3ABF"/>
    <w:rsid w:val="00C002DE"/>
    <w:rsid w:val="00C01925"/>
    <w:rsid w:val="00C040E2"/>
    <w:rsid w:val="00C515AC"/>
    <w:rsid w:val="00C53BF8"/>
    <w:rsid w:val="00C62097"/>
    <w:rsid w:val="00C66157"/>
    <w:rsid w:val="00C674FE"/>
    <w:rsid w:val="00C67501"/>
    <w:rsid w:val="00C74265"/>
    <w:rsid w:val="00C75633"/>
    <w:rsid w:val="00C759AA"/>
    <w:rsid w:val="00C80CA9"/>
    <w:rsid w:val="00CE2EE1"/>
    <w:rsid w:val="00CE3349"/>
    <w:rsid w:val="00CE36E5"/>
    <w:rsid w:val="00CE6696"/>
    <w:rsid w:val="00CF27F5"/>
    <w:rsid w:val="00CF3A73"/>
    <w:rsid w:val="00CF3FFD"/>
    <w:rsid w:val="00D10CCF"/>
    <w:rsid w:val="00D13941"/>
    <w:rsid w:val="00D25717"/>
    <w:rsid w:val="00D63735"/>
    <w:rsid w:val="00D77D0F"/>
    <w:rsid w:val="00D85F3E"/>
    <w:rsid w:val="00D94493"/>
    <w:rsid w:val="00DA1CF0"/>
    <w:rsid w:val="00DB0492"/>
    <w:rsid w:val="00DB74C9"/>
    <w:rsid w:val="00DC1E02"/>
    <w:rsid w:val="00DC24B4"/>
    <w:rsid w:val="00DC5FB0"/>
    <w:rsid w:val="00DE4BCA"/>
    <w:rsid w:val="00DF16DC"/>
    <w:rsid w:val="00E01308"/>
    <w:rsid w:val="00E11BA8"/>
    <w:rsid w:val="00E223D3"/>
    <w:rsid w:val="00E45211"/>
    <w:rsid w:val="00E4531F"/>
    <w:rsid w:val="00E473C5"/>
    <w:rsid w:val="00E47A06"/>
    <w:rsid w:val="00E502A0"/>
    <w:rsid w:val="00E53BF5"/>
    <w:rsid w:val="00E56839"/>
    <w:rsid w:val="00E56B44"/>
    <w:rsid w:val="00E61BE8"/>
    <w:rsid w:val="00E675E9"/>
    <w:rsid w:val="00E92863"/>
    <w:rsid w:val="00E95327"/>
    <w:rsid w:val="00EA3C38"/>
    <w:rsid w:val="00EB796D"/>
    <w:rsid w:val="00EF6FA6"/>
    <w:rsid w:val="00F05056"/>
    <w:rsid w:val="00F058DC"/>
    <w:rsid w:val="00F0622B"/>
    <w:rsid w:val="00F12BDC"/>
    <w:rsid w:val="00F24FC4"/>
    <w:rsid w:val="00F2676C"/>
    <w:rsid w:val="00F269A6"/>
    <w:rsid w:val="00F363FE"/>
    <w:rsid w:val="00F50E3F"/>
    <w:rsid w:val="00F54552"/>
    <w:rsid w:val="00F56F10"/>
    <w:rsid w:val="00F73ADC"/>
    <w:rsid w:val="00F84366"/>
    <w:rsid w:val="00F85089"/>
    <w:rsid w:val="00F974C5"/>
    <w:rsid w:val="00FA481E"/>
    <w:rsid w:val="00FA6F46"/>
    <w:rsid w:val="00FB1E5B"/>
    <w:rsid w:val="00FC4592"/>
    <w:rsid w:val="00FD4770"/>
    <w:rsid w:val="00FD527F"/>
    <w:rsid w:val="00FE5872"/>
    <w:rsid w:val="00FE7FCA"/>
    <w:rsid w:val="00FF53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B5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54552"/>
    <w:pPr>
      <w:keepNext/>
      <w:spacing w:before="240" w:after="120"/>
      <w:jc w:val="center"/>
    </w:pPr>
    <w:rPr>
      <w:lang w:bidi="ar-SY"/>
    </w:rPr>
  </w:style>
  <w:style w:type="paragraph" w:customStyle="1" w:styleId="Tabletitle">
    <w:name w:val="Table title"/>
    <w:basedOn w:val="TableNo"/>
    <w:qFormat/>
    <w:rsid w:val="00F54552"/>
    <w:pPr>
      <w:spacing w:before="12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28427D"/>
    <w:rPr>
      <w:color w:val="605E5C"/>
      <w:shd w:val="clear" w:color="auto" w:fill="E1DFDD"/>
    </w:rPr>
  </w:style>
  <w:style w:type="character" w:styleId="FollowedHyperlink">
    <w:name w:val="FollowedHyperlink"/>
    <w:basedOn w:val="DefaultParagraphFont"/>
    <w:uiPriority w:val="99"/>
    <w:semiHidden/>
    <w:unhideWhenUsed/>
    <w:rsid w:val="002842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RES-R.74-2023" TargetMode="External"/><Relationship Id="rId18" Type="http://schemas.openxmlformats.org/officeDocument/2006/relationships/hyperlink" Target="https://www.itu.int/en/council/Documents/2024/036e-Table6.pdf" TargetMode="External"/><Relationship Id="rId26" Type="http://schemas.openxmlformats.org/officeDocument/2006/relationships/hyperlink" Target="https://wmo.int/ar/node/22533" TargetMode="External"/><Relationship Id="rId39" Type="http://schemas.openxmlformats.org/officeDocument/2006/relationships/fontTable" Target="fontTable.xml"/><Relationship Id="rId21" Type="http://schemas.openxmlformats.org/officeDocument/2006/relationships/hyperlink" Target="https://www.itu.int/en/council/Documents/2024/036e-Table9.pdf" TargetMode="External"/><Relationship Id="rId34" Type="http://schemas.openxmlformats.org/officeDocument/2006/relationships/hyperlink" Target="https://www.unoosa.org/oosa/en/ourwork/un-space/reports_publications.html" TargetMode="External"/><Relationship Id="rId7" Type="http://schemas.openxmlformats.org/officeDocument/2006/relationships/endnotes" Target="endnotes.xml"/><Relationship Id="rId12" Type="http://schemas.openxmlformats.org/officeDocument/2006/relationships/hyperlink" Target="https://www.itu.int/itu-d/meetings/gsr-24/programme/schedule/session-details/?sessionid=21" TargetMode="External"/><Relationship Id="rId17" Type="http://schemas.openxmlformats.org/officeDocument/2006/relationships/hyperlink" Target="https://www.itu.int/en/council/Documents/2024/036e-Table2.pdf" TargetMode="External"/><Relationship Id="rId25" Type="http://schemas.openxmlformats.org/officeDocument/2006/relationships/hyperlink" Target="https://www.itu.int/pub/R-RES-R.74/ar" TargetMode="External"/><Relationship Id="rId33" Type="http://schemas.openxmlformats.org/officeDocument/2006/relationships/hyperlink" Target="https://www.un.org/sites/un2.un.org/files/our-common-agenda-policy-brief-outer-space-ar.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en/council/Documents/2024/036e-Table1.pdf" TargetMode="External"/><Relationship Id="rId20" Type="http://schemas.openxmlformats.org/officeDocument/2006/relationships/hyperlink" Target="https://www.itu.int/en/council/Documents/2024/036e-Table8.pdf" TargetMode="External"/><Relationship Id="rId29" Type="http://schemas.openxmlformats.org/officeDocument/2006/relationships/hyperlink" Target="https://www.itu.int/en/ITU-D/Emergency-Telecommunications/Pages/Early-Warnings-for-All-Initiativ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d/meetings/gsr-24/programme/schedule/session-details/?sessionid=8" TargetMode="External"/><Relationship Id="rId24" Type="http://schemas.openxmlformats.org/officeDocument/2006/relationships/hyperlink" Target="https://www.itu.int/pub/R-HDB-65-2023" TargetMode="External"/><Relationship Id="rId32" Type="http://schemas.openxmlformats.org/officeDocument/2006/relationships/hyperlink" Target="https://www.unoosa.org/res/oosadoc/data/documents/2023/a/a7820_0_html/A_78_020A.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00-CA-CIR-0272/en" TargetMode="External"/><Relationship Id="rId23" Type="http://schemas.openxmlformats.org/officeDocument/2006/relationships/hyperlink" Target="https://www.itu.int/md/S24-CL-C-0055/en" TargetMode="External"/><Relationship Id="rId28" Type="http://schemas.openxmlformats.org/officeDocument/2006/relationships/hyperlink" Target="https://www.itu.int/dms_pub/itu-d/opb/tdc/D-TDC-WTDC-2022-PDF-A.pdf" TargetMode="External"/><Relationship Id="rId36" Type="http://schemas.openxmlformats.org/officeDocument/2006/relationships/footer" Target="footer1.xml"/><Relationship Id="rId10" Type="http://schemas.openxmlformats.org/officeDocument/2006/relationships/hyperlink" Target="https://www.itu.int/net4/wsis/forum/2024/ar/Agenda/Session/491" TargetMode="External"/><Relationship Id="rId19" Type="http://schemas.openxmlformats.org/officeDocument/2006/relationships/hyperlink" Target="https://www.itu.int/en/council/Documents/2024/036e-Table7.pdf" TargetMode="External"/><Relationship Id="rId31" Type="http://schemas.openxmlformats.org/officeDocument/2006/relationships/hyperlink" Target="https://www.unoosa.org/oosa/en/ourwork/un-space/po.html" TargetMode="External"/><Relationship Id="rId4" Type="http://schemas.openxmlformats.org/officeDocument/2006/relationships/settings" Target="settings.xml"/><Relationship Id="rId9" Type="http://schemas.openxmlformats.org/officeDocument/2006/relationships/hyperlink" Target="https://www.itu.int/md/S23-CL-C-0058/en" TargetMode="External"/><Relationship Id="rId14" Type="http://schemas.openxmlformats.org/officeDocument/2006/relationships/hyperlink" Target="https://www.itu.int/space-sustainability/" TargetMode="External"/><Relationship Id="rId22" Type="http://schemas.openxmlformats.org/officeDocument/2006/relationships/hyperlink" Target="https://www.unoosa.org/oosa/oosadoc/data/resolutions/2021/general_assembly_76th_session/ares763.html" TargetMode="External"/><Relationship Id="rId27" Type="http://schemas.openxmlformats.org/officeDocument/2006/relationships/hyperlink" Target="https://www.itu.int/en/council/Documents/basic-texts-2023/RES-136-A.pdf" TargetMode="External"/><Relationship Id="rId30" Type="http://schemas.openxmlformats.org/officeDocument/2006/relationships/hyperlink" Target="https://www.itu.int/en/ITU-D/Emergency-Telecommunications/Pages/Events/2023/COP-28-EW4All.aspx" TargetMode="External"/><Relationship Id="rId35" Type="http://schemas.openxmlformats.org/officeDocument/2006/relationships/hyperlink" Target="https://www.unoosa.org/oosa/oosadoc/data/documents/2022/aac.105/aac.1051264_0.html" TargetMode="External"/><Relationship Id="rId8" Type="http://schemas.openxmlformats.org/officeDocument/2006/relationships/hyperlink" Target="https://www.itu.int/en/council/Documents/basic-texts-2023/RES-218-A.pdf"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dms_pub/itu-d/opb/tdc/D-TDC-WTDC-2022-PDF-A.pdf" TargetMode="External"/><Relationship Id="rId1" Type="http://schemas.openxmlformats.org/officeDocument/2006/relationships/hyperlink" Target="https://www.itu.int/en/council/Documents/basic-texts-2023/RES-136-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15</Pages>
  <Words>5883</Words>
  <Characters>33539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2024-05-20T13:56:00Z</dcterms:created>
  <dcterms:modified xsi:type="dcterms:W3CDTF">2024-05-27T12:03:00Z</dcterms:modified>
  <cp:category>Conference document</cp:category>
</cp:coreProperties>
</file>