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59147E" w:rsidRPr="00813E5E" w14:paraId="16C8DD02" w14:textId="77777777" w:rsidTr="00C538FC">
        <w:trPr>
          <w:cantSplit/>
          <w:trHeight w:val="23"/>
        </w:trPr>
        <w:tc>
          <w:tcPr>
            <w:tcW w:w="3969" w:type="dxa"/>
            <w:vMerge w:val="restart"/>
            <w:tcMar>
              <w:left w:w="0" w:type="dxa"/>
            </w:tcMar>
          </w:tcPr>
          <w:p w14:paraId="380780FF" w14:textId="23F24680" w:rsidR="0059147E" w:rsidRPr="00E85629" w:rsidRDefault="0059147E" w:rsidP="0059147E">
            <w:pPr>
              <w:tabs>
                <w:tab w:val="left" w:pos="851"/>
              </w:tabs>
              <w:spacing w:before="0" w:line="240" w:lineRule="atLeast"/>
              <w:rPr>
                <w:b/>
              </w:rPr>
            </w:pPr>
            <w:bookmarkStart w:id="0" w:name="_Hlk133421839"/>
            <w:r w:rsidRPr="006643FF">
              <w:rPr>
                <w:b/>
                <w:lang w:val="es-ES"/>
              </w:rPr>
              <w:t>Punto del orden del día: PL 2</w:t>
            </w:r>
          </w:p>
        </w:tc>
        <w:tc>
          <w:tcPr>
            <w:tcW w:w="5245" w:type="dxa"/>
          </w:tcPr>
          <w:p w14:paraId="12EC8577" w14:textId="6210D078" w:rsidR="0059147E" w:rsidRPr="00E85629" w:rsidRDefault="0059147E" w:rsidP="0059147E">
            <w:pPr>
              <w:tabs>
                <w:tab w:val="left" w:pos="851"/>
              </w:tabs>
              <w:spacing w:before="0" w:line="240" w:lineRule="atLeast"/>
              <w:jc w:val="right"/>
              <w:rPr>
                <w:b/>
              </w:rPr>
            </w:pPr>
            <w:r>
              <w:rPr>
                <w:b/>
              </w:rPr>
              <w:t>Documento C24/36-S</w:t>
            </w:r>
          </w:p>
        </w:tc>
      </w:tr>
      <w:tr w:rsidR="0059147E" w:rsidRPr="00813E5E" w14:paraId="2F7BAD0F" w14:textId="77777777" w:rsidTr="00C538FC">
        <w:trPr>
          <w:cantSplit/>
        </w:trPr>
        <w:tc>
          <w:tcPr>
            <w:tcW w:w="3969" w:type="dxa"/>
            <w:vMerge/>
          </w:tcPr>
          <w:p w14:paraId="32D340BD" w14:textId="77777777" w:rsidR="0059147E" w:rsidRPr="00813E5E" w:rsidRDefault="0059147E" w:rsidP="0059147E">
            <w:pPr>
              <w:tabs>
                <w:tab w:val="left" w:pos="851"/>
              </w:tabs>
              <w:spacing w:line="240" w:lineRule="atLeast"/>
              <w:rPr>
                <w:b/>
              </w:rPr>
            </w:pPr>
          </w:p>
        </w:tc>
        <w:tc>
          <w:tcPr>
            <w:tcW w:w="5245" w:type="dxa"/>
          </w:tcPr>
          <w:p w14:paraId="6D67502D" w14:textId="216D281A" w:rsidR="0059147E" w:rsidRPr="00E85629" w:rsidRDefault="0059147E" w:rsidP="0059147E">
            <w:pPr>
              <w:tabs>
                <w:tab w:val="left" w:pos="851"/>
              </w:tabs>
              <w:spacing w:before="0"/>
              <w:jc w:val="right"/>
              <w:rPr>
                <w:b/>
              </w:rPr>
            </w:pPr>
            <w:r>
              <w:rPr>
                <w:b/>
              </w:rPr>
              <w:t>6 de mayo de 2024</w:t>
            </w:r>
          </w:p>
        </w:tc>
      </w:tr>
      <w:tr w:rsidR="0059147E" w:rsidRPr="00F24B71" w14:paraId="14ED61B8" w14:textId="77777777" w:rsidTr="00C538FC">
        <w:trPr>
          <w:cantSplit/>
          <w:trHeight w:val="23"/>
        </w:trPr>
        <w:tc>
          <w:tcPr>
            <w:tcW w:w="3969" w:type="dxa"/>
            <w:vMerge/>
          </w:tcPr>
          <w:p w14:paraId="36AAE2B4" w14:textId="77777777" w:rsidR="0059147E" w:rsidRPr="00813E5E" w:rsidRDefault="0059147E" w:rsidP="0059147E">
            <w:pPr>
              <w:tabs>
                <w:tab w:val="left" w:pos="851"/>
              </w:tabs>
              <w:spacing w:line="240" w:lineRule="atLeast"/>
              <w:rPr>
                <w:b/>
              </w:rPr>
            </w:pPr>
          </w:p>
        </w:tc>
        <w:tc>
          <w:tcPr>
            <w:tcW w:w="5245" w:type="dxa"/>
          </w:tcPr>
          <w:p w14:paraId="54C7ED74" w14:textId="174569E8" w:rsidR="0059147E" w:rsidRPr="00F24B71" w:rsidRDefault="0059147E" w:rsidP="0059147E">
            <w:pPr>
              <w:tabs>
                <w:tab w:val="left" w:pos="851"/>
              </w:tabs>
              <w:spacing w:before="0" w:line="240" w:lineRule="atLeast"/>
              <w:jc w:val="right"/>
              <w:rPr>
                <w:b/>
                <w:bCs/>
              </w:rPr>
            </w:pPr>
            <w:r>
              <w:rPr>
                <w:b/>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43678881" w:rsidR="00FE57F6" w:rsidRPr="0059147E" w:rsidRDefault="0059147E" w:rsidP="00C538FC">
            <w:pPr>
              <w:pStyle w:val="Subtitle"/>
              <w:framePr w:hSpace="0" w:wrap="auto" w:hAnchor="text" w:xAlign="left" w:yAlign="inline"/>
              <w:rPr>
                <w:lang w:val="es-ES"/>
              </w:rPr>
            </w:pPr>
            <w:bookmarkStart w:id="1" w:name="_Hlk135504519"/>
            <w:r w:rsidRPr="006643FF">
              <w:rPr>
                <w:lang w:val="es-ES"/>
              </w:rPr>
              <w:t xml:space="preserve">FUNCIÓN DE LA UIT EN LA APLICACIÓN D ELA AGENDA </w:t>
            </w:r>
            <w:r>
              <w:rPr>
                <w:lang w:val="es-ES"/>
              </w:rPr>
              <w:t>"</w:t>
            </w:r>
            <w:r w:rsidRPr="006643FF">
              <w:rPr>
                <w:lang w:val="es-ES"/>
              </w:rPr>
              <w:t>ESPACIO2030</w:t>
            </w:r>
            <w:r>
              <w:rPr>
                <w:lang w:val="es-ES"/>
              </w:rPr>
              <w:t>"</w:t>
            </w:r>
            <w:r w:rsidRPr="006643FF">
              <w:rPr>
                <w:lang w:val="es-ES"/>
              </w:rPr>
              <w:t xml:space="preserve">: EL ESPACIO COMO MOTOR DEL DESARROLLO SOSTENIBLE, ASÍ COMO DE SUS PROCESOS DE </w:t>
            </w:r>
            <w:r>
              <w:rPr>
                <w:lang w:val="es-ES"/>
              </w:rPr>
              <w:t>SEGUIMIENTO Y EXAMEN</w:t>
            </w:r>
            <w:bookmarkEnd w:id="1"/>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4DAEBBAD" w:rsidR="00FE57F6" w:rsidRPr="00F24B71" w:rsidRDefault="00F24B71" w:rsidP="00C538FC">
            <w:pPr>
              <w:spacing w:before="160"/>
              <w:rPr>
                <w:b/>
                <w:bCs/>
                <w:sz w:val="26"/>
                <w:szCs w:val="26"/>
                <w:lang w:val="es-ES"/>
              </w:rPr>
            </w:pPr>
            <w:r w:rsidRPr="00F24B71">
              <w:rPr>
                <w:b/>
                <w:bCs/>
                <w:sz w:val="26"/>
                <w:szCs w:val="26"/>
                <w:lang w:val="es-ES"/>
              </w:rPr>
              <w:t>Objetivo</w:t>
            </w:r>
          </w:p>
          <w:p w14:paraId="24D78CFB" w14:textId="4D5F61B9" w:rsidR="0059147E" w:rsidRPr="006643FF" w:rsidRDefault="0059147E" w:rsidP="0059147E">
            <w:pPr>
              <w:jc w:val="both"/>
              <w:rPr>
                <w:sz w:val="26"/>
                <w:szCs w:val="26"/>
                <w:lang w:val="es-ES"/>
              </w:rPr>
            </w:pPr>
            <w:r w:rsidRPr="006643FF">
              <w:rPr>
                <w:sz w:val="26"/>
                <w:szCs w:val="26"/>
                <w:lang w:val="es-ES"/>
              </w:rPr>
              <w:t>La presente contribución responde a los requisitos de información establecidos en la Resolución 218 (Bucarest, 2022) d</w:t>
            </w:r>
            <w:r>
              <w:rPr>
                <w:sz w:val="26"/>
                <w:szCs w:val="26"/>
                <w:lang w:val="es-ES"/>
              </w:rPr>
              <w:t>e la Conferencia de Plenipotenciarios sobre la aplicación por la UIT de la Agenda "Espacio2030"</w:t>
            </w:r>
            <w:r w:rsidRPr="006643FF">
              <w:rPr>
                <w:sz w:val="26"/>
                <w:szCs w:val="26"/>
                <w:lang w:val="es-ES"/>
              </w:rPr>
              <w:t>.</w:t>
            </w:r>
          </w:p>
          <w:p w14:paraId="7C482D41" w14:textId="77777777" w:rsidR="0059147E" w:rsidRPr="002D2E23" w:rsidRDefault="0059147E" w:rsidP="0059147E">
            <w:pPr>
              <w:spacing w:before="160"/>
              <w:rPr>
                <w:b/>
                <w:bCs/>
                <w:sz w:val="26"/>
                <w:szCs w:val="26"/>
                <w:lang w:val="es-ES"/>
              </w:rPr>
            </w:pPr>
            <w:r w:rsidRPr="002D2E23">
              <w:rPr>
                <w:b/>
                <w:bCs/>
                <w:sz w:val="26"/>
                <w:szCs w:val="26"/>
                <w:lang w:val="es-ES"/>
              </w:rPr>
              <w:t>Acción solicitada al Consejo</w:t>
            </w:r>
          </w:p>
          <w:p w14:paraId="77FD2007" w14:textId="77777777" w:rsidR="0059147E" w:rsidRPr="006643FF" w:rsidRDefault="0059147E" w:rsidP="0059147E">
            <w:pPr>
              <w:rPr>
                <w:lang w:val="es-ES"/>
              </w:rPr>
            </w:pPr>
            <w:r w:rsidRPr="006643FF">
              <w:rPr>
                <w:lang w:val="es-ES"/>
              </w:rPr>
              <w:t xml:space="preserve">Se invita al Consejo a </w:t>
            </w:r>
            <w:r w:rsidRPr="006643FF">
              <w:rPr>
                <w:b/>
                <w:bCs/>
                <w:lang w:val="es-ES"/>
              </w:rPr>
              <w:t xml:space="preserve">tomar nota </w:t>
            </w:r>
            <w:r w:rsidRPr="006643FF">
              <w:rPr>
                <w:lang w:val="es-ES"/>
              </w:rPr>
              <w:t>del presente Info</w:t>
            </w:r>
            <w:r>
              <w:rPr>
                <w:lang w:val="es-ES"/>
              </w:rPr>
              <w:t>rme</w:t>
            </w:r>
            <w:r w:rsidRPr="006643FF">
              <w:rPr>
                <w:lang w:val="es-ES"/>
              </w:rPr>
              <w:t>.</w:t>
            </w:r>
          </w:p>
          <w:p w14:paraId="44C2B1D7" w14:textId="77777777" w:rsidR="0059147E" w:rsidRPr="002D2E23" w:rsidRDefault="0059147E" w:rsidP="0059147E">
            <w:pPr>
              <w:spacing w:before="160"/>
              <w:rPr>
                <w:b/>
                <w:bCs/>
                <w:sz w:val="26"/>
                <w:szCs w:val="26"/>
                <w:lang w:val="es-ES"/>
              </w:rPr>
            </w:pPr>
            <w:r w:rsidRPr="002D2E23">
              <w:rPr>
                <w:b/>
                <w:bCs/>
                <w:sz w:val="26"/>
                <w:szCs w:val="26"/>
                <w:lang w:val="es-ES"/>
              </w:rPr>
              <w:t>Vínculos pertinentes con el Plan Estratégico</w:t>
            </w:r>
          </w:p>
          <w:p w14:paraId="7C2D6456" w14:textId="77777777" w:rsidR="0059147E" w:rsidRPr="006643FF" w:rsidRDefault="0059147E" w:rsidP="0059147E">
            <w:pPr>
              <w:rPr>
                <w:lang w:val="es-ES"/>
              </w:rPr>
            </w:pPr>
            <w:r w:rsidRPr="006643FF">
              <w:rPr>
                <w:lang w:val="es-ES"/>
              </w:rPr>
              <w:t>Utilización del espectro de se</w:t>
            </w:r>
            <w:r>
              <w:rPr>
                <w:lang w:val="es-ES"/>
              </w:rPr>
              <w:t>rvicios espaciales y terrenales</w:t>
            </w:r>
            <w:r w:rsidRPr="006643FF">
              <w:rPr>
                <w:lang w:val="es-ES"/>
              </w:rPr>
              <w:t xml:space="preserve"> </w:t>
            </w:r>
          </w:p>
          <w:p w14:paraId="746F3246" w14:textId="77777777" w:rsidR="0059147E" w:rsidRPr="002D2E23" w:rsidRDefault="0059147E" w:rsidP="0059147E">
            <w:pPr>
              <w:spacing w:before="160"/>
              <w:rPr>
                <w:b/>
                <w:bCs/>
                <w:sz w:val="26"/>
                <w:szCs w:val="26"/>
                <w:lang w:val="es-ES"/>
              </w:rPr>
            </w:pPr>
            <w:r w:rsidRPr="002D2E23">
              <w:rPr>
                <w:b/>
                <w:bCs/>
                <w:sz w:val="26"/>
                <w:szCs w:val="26"/>
                <w:lang w:val="es-ES"/>
              </w:rPr>
              <w:t>Repercusiones financieras</w:t>
            </w:r>
          </w:p>
          <w:p w14:paraId="68E88B28" w14:textId="77777777" w:rsidR="0059147E" w:rsidRPr="006643FF" w:rsidRDefault="0059147E" w:rsidP="0059147E">
            <w:pPr>
              <w:rPr>
                <w:lang w:val="es-ES"/>
              </w:rPr>
            </w:pPr>
            <w:r w:rsidRPr="006643FF">
              <w:rPr>
                <w:lang w:val="es-ES"/>
              </w:rPr>
              <w:t>Dentro del presupuesto asignado para 2024-2025</w:t>
            </w:r>
          </w:p>
          <w:p w14:paraId="3C2F74BE" w14:textId="77777777" w:rsidR="0059147E" w:rsidRPr="002D2E23" w:rsidRDefault="0059147E" w:rsidP="0059147E">
            <w:pPr>
              <w:spacing w:before="160"/>
              <w:rPr>
                <w:caps/>
                <w:sz w:val="22"/>
                <w:lang w:val="es-ES"/>
              </w:rPr>
            </w:pPr>
            <w:r w:rsidRPr="002D2E23">
              <w:rPr>
                <w:sz w:val="22"/>
                <w:lang w:val="es-ES"/>
              </w:rPr>
              <w:t>__________________</w:t>
            </w:r>
          </w:p>
          <w:p w14:paraId="039E767E" w14:textId="77777777" w:rsidR="0059147E" w:rsidRPr="002D2E23" w:rsidRDefault="0059147E" w:rsidP="0059147E">
            <w:pPr>
              <w:spacing w:before="160"/>
              <w:rPr>
                <w:b/>
                <w:bCs/>
                <w:sz w:val="26"/>
                <w:szCs w:val="26"/>
                <w:lang w:val="es-ES"/>
              </w:rPr>
            </w:pPr>
            <w:r w:rsidRPr="002D2E23">
              <w:rPr>
                <w:b/>
                <w:bCs/>
                <w:sz w:val="26"/>
                <w:szCs w:val="26"/>
                <w:lang w:val="es-ES"/>
              </w:rPr>
              <w:t>Referencias</w:t>
            </w:r>
          </w:p>
          <w:p w14:paraId="58339413" w14:textId="52FBDFD8" w:rsidR="00FE57F6" w:rsidRDefault="00D9171F" w:rsidP="0059147E">
            <w:pPr>
              <w:spacing w:after="160"/>
            </w:pPr>
            <w:hyperlink r:id="rId8" w:history="1">
              <w:r w:rsidR="0059147E" w:rsidRPr="006643FF">
                <w:rPr>
                  <w:rStyle w:val="Hyperlink"/>
                  <w:i/>
                  <w:iCs/>
                  <w:lang w:val="es-ES"/>
                </w:rPr>
                <w:t>Resolución 218</w:t>
              </w:r>
            </w:hyperlink>
            <w:r w:rsidR="0059147E" w:rsidRPr="006643FF">
              <w:rPr>
                <w:i/>
                <w:iCs/>
                <w:lang w:val="es-ES"/>
              </w:rPr>
              <w:t xml:space="preserve"> (Bucarest, 2022) de la Co</w:t>
            </w:r>
            <w:r w:rsidR="0059147E">
              <w:rPr>
                <w:i/>
                <w:iCs/>
                <w:lang w:val="es-ES"/>
              </w:rPr>
              <w:t>nferencia de Plenipotenciarios</w:t>
            </w:r>
            <w:r w:rsidR="0059147E" w:rsidRPr="006643FF">
              <w:rPr>
                <w:i/>
                <w:iCs/>
                <w:szCs w:val="24"/>
                <w:lang w:val="es-ES"/>
              </w:rPr>
              <w:t xml:space="preserve"> </w:t>
            </w:r>
            <w:r w:rsidR="0059147E" w:rsidRPr="006643FF">
              <w:rPr>
                <w:i/>
                <w:iCs/>
                <w:szCs w:val="24"/>
                <w:lang w:val="es-ES"/>
              </w:rPr>
              <w:br/>
            </w:r>
            <w:r w:rsidR="0059147E">
              <w:rPr>
                <w:i/>
                <w:iCs/>
                <w:szCs w:val="24"/>
                <w:lang w:val="es-ES"/>
              </w:rPr>
              <w:t>Documento</w:t>
            </w:r>
            <w:r w:rsidR="0059147E" w:rsidRPr="006643FF">
              <w:rPr>
                <w:i/>
                <w:iCs/>
                <w:szCs w:val="24"/>
                <w:lang w:val="es-ES"/>
              </w:rPr>
              <w:t xml:space="preserve"> </w:t>
            </w:r>
            <w:hyperlink r:id="rId9" w:history="1">
              <w:r w:rsidR="0059147E" w:rsidRPr="006643FF">
                <w:rPr>
                  <w:rStyle w:val="Hyperlink"/>
                  <w:i/>
                  <w:iCs/>
                  <w:lang w:val="es-ES"/>
                </w:rPr>
                <w:t>C23/58</w:t>
              </w:r>
            </w:hyperlink>
            <w:r w:rsidR="0059147E" w:rsidRPr="006643FF">
              <w:rPr>
                <w:rStyle w:val="Hyperlink"/>
                <w:i/>
                <w:iCs/>
                <w:lang w:val="es-ES"/>
              </w:rPr>
              <w:t xml:space="preserve"> del Consejo</w:t>
            </w:r>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1FF9A873" w14:textId="77777777" w:rsidR="0059147E" w:rsidRPr="002D2E23" w:rsidRDefault="0059147E" w:rsidP="0059147E">
      <w:pPr>
        <w:pStyle w:val="Headingb"/>
        <w:rPr>
          <w:lang w:val="es-ES"/>
        </w:rPr>
      </w:pPr>
      <w:r w:rsidRPr="002D2E23">
        <w:rPr>
          <w:lang w:val="es-ES"/>
        </w:rPr>
        <w:lastRenderedPageBreak/>
        <w:t>Antecedentes</w:t>
      </w:r>
    </w:p>
    <w:p w14:paraId="47C0118E" w14:textId="7B3060AC" w:rsidR="0059147E" w:rsidRPr="006C1938" w:rsidRDefault="0059147E" w:rsidP="0059147E">
      <w:pPr>
        <w:rPr>
          <w:b/>
          <w:lang w:val="es-ES"/>
        </w:rPr>
      </w:pPr>
      <w:r w:rsidRPr="006C1938">
        <w:rPr>
          <w:lang w:val="es-ES"/>
        </w:rPr>
        <w:t xml:space="preserve">En la Agenda </w:t>
      </w:r>
      <w:r>
        <w:rPr>
          <w:b/>
          <w:lang w:val="es-ES"/>
        </w:rPr>
        <w:t>"</w:t>
      </w:r>
      <w:r w:rsidRPr="006C1938">
        <w:rPr>
          <w:lang w:val="es-ES"/>
        </w:rPr>
        <w:t>Espacio2030</w:t>
      </w:r>
      <w:r>
        <w:rPr>
          <w:b/>
          <w:lang w:val="es-ES"/>
        </w:rPr>
        <w:t>"</w:t>
      </w:r>
      <w:r w:rsidRPr="006C1938">
        <w:rPr>
          <w:lang w:val="es-ES"/>
        </w:rPr>
        <w:t>, definida por la Comisión de las Naciones Unidas sobre la Utilización del Espacio Ultraterrestre con Fines Pacíficos (COPUOS), l</w:t>
      </w:r>
      <w:r>
        <w:rPr>
          <w:lang w:val="es-ES"/>
        </w:rPr>
        <w:t>os Estados Miembros expusieron una visión para potenciar el uso de la ciencia y la tecnología espaciales con miras a la consecución de la Agenda 2030 para el Desarrollo Sostenible</w:t>
      </w:r>
      <w:r w:rsidRPr="006C1938">
        <w:rPr>
          <w:lang w:val="es-ES"/>
        </w:rPr>
        <w:t>.</w:t>
      </w:r>
    </w:p>
    <w:p w14:paraId="2E6E3CE5" w14:textId="77777777" w:rsidR="0059147E" w:rsidRPr="006C1938" w:rsidRDefault="0059147E" w:rsidP="0059147E">
      <w:pPr>
        <w:rPr>
          <w:rFonts w:asciiTheme="minorHAnsi" w:hAnsiTheme="minorHAnsi" w:cstheme="minorHAnsi"/>
          <w:b/>
          <w:bCs/>
          <w:lang w:val="es-ES"/>
        </w:rPr>
      </w:pPr>
      <w:r w:rsidRPr="006C1938">
        <w:rPr>
          <w:rFonts w:asciiTheme="minorHAnsi" w:hAnsiTheme="minorHAnsi" w:cstheme="minorHAnsi"/>
          <w:bCs/>
          <w:lang w:val="es-ES"/>
        </w:rPr>
        <w:t xml:space="preserve">En su septuagésimo sexto periodo de sesiones, celebrado en octubre de 2021, la Asamblea General de las Naciones Unidas adoptó la </w:t>
      </w:r>
      <w:r w:rsidRPr="0059147E">
        <w:rPr>
          <w:rFonts w:asciiTheme="minorHAnsi" w:hAnsiTheme="minorHAnsi" w:cstheme="minorHAnsi"/>
          <w:b/>
          <w:bCs/>
          <w:lang w:val="es-ES"/>
        </w:rPr>
        <w:t>Agenda Espacio2030: el espacio como motor del desarrollo sostenible</w:t>
      </w:r>
      <w:r>
        <w:rPr>
          <w:rFonts w:asciiTheme="minorHAnsi" w:hAnsiTheme="minorHAnsi" w:cstheme="minorHAnsi"/>
          <w:lang w:val="es-ES"/>
        </w:rPr>
        <w:t xml:space="preserve"> </w:t>
      </w:r>
      <w:r>
        <w:rPr>
          <w:rFonts w:asciiTheme="minorHAnsi" w:hAnsiTheme="minorHAnsi" w:cstheme="minorHAnsi"/>
          <w:bCs/>
          <w:lang w:val="es-ES"/>
        </w:rPr>
        <w:t>con cuatro objetivos generales</w:t>
      </w:r>
      <w:r w:rsidRPr="006C1938">
        <w:rPr>
          <w:rFonts w:asciiTheme="minorHAnsi" w:hAnsiTheme="minorHAnsi" w:cstheme="minorHAnsi"/>
          <w:bCs/>
          <w:lang w:val="es-ES"/>
        </w:rPr>
        <w:t>:</w:t>
      </w:r>
    </w:p>
    <w:p w14:paraId="5622DB88" w14:textId="4F86D89C" w:rsidR="0059147E" w:rsidRPr="006C1938" w:rsidRDefault="0059147E" w:rsidP="0059147E">
      <w:pPr>
        <w:pStyle w:val="enumlev1"/>
        <w:rPr>
          <w:rFonts w:asciiTheme="minorHAnsi" w:hAnsiTheme="minorHAnsi" w:cstheme="minorHAnsi"/>
          <w:b/>
          <w:lang w:val="es-ES"/>
        </w:rPr>
      </w:pPr>
      <w:r>
        <w:rPr>
          <w:lang w:val="es-ES"/>
        </w:rPr>
        <w:t>1</w:t>
      </w:r>
      <w:r>
        <w:rPr>
          <w:lang w:val="es-ES"/>
        </w:rPr>
        <w:tab/>
      </w:r>
      <w:r w:rsidRPr="006C1938">
        <w:rPr>
          <w:lang w:val="es-ES"/>
        </w:rPr>
        <w:t>aumentar los beneficios económicos derivados del espacio y reforzar el papel del sector espacial como motor importante del desarrollo sostenible</w:t>
      </w:r>
      <w:r w:rsidRPr="006C1938">
        <w:rPr>
          <w:rFonts w:asciiTheme="minorHAnsi" w:hAnsiTheme="minorHAnsi" w:cstheme="minorHAnsi"/>
          <w:lang w:val="es-ES"/>
        </w:rPr>
        <w:t>;</w:t>
      </w:r>
    </w:p>
    <w:p w14:paraId="124CCF0B" w14:textId="33FA41DC" w:rsidR="0059147E" w:rsidRPr="006C1938" w:rsidRDefault="0059147E" w:rsidP="0059147E">
      <w:pPr>
        <w:pStyle w:val="enumlev1"/>
        <w:rPr>
          <w:rFonts w:asciiTheme="minorHAnsi" w:hAnsiTheme="minorHAnsi" w:cstheme="minorHAnsi"/>
          <w:b/>
          <w:bCs/>
          <w:lang w:val="es-ES"/>
        </w:rPr>
      </w:pPr>
      <w:r>
        <w:rPr>
          <w:bCs/>
          <w:lang w:val="es-ES"/>
        </w:rPr>
        <w:t>2</w:t>
      </w:r>
      <w:r>
        <w:rPr>
          <w:bCs/>
          <w:lang w:val="es-ES"/>
        </w:rPr>
        <w:tab/>
      </w:r>
      <w:r w:rsidRPr="006C1938">
        <w:rPr>
          <w:bCs/>
          <w:lang w:val="es-ES"/>
        </w:rPr>
        <w:t xml:space="preserve">utilizar el </w:t>
      </w:r>
      <w:r w:rsidRPr="0059147E">
        <w:rPr>
          <w:lang w:val="es-ES"/>
        </w:rPr>
        <w:t>potencial</w:t>
      </w:r>
      <w:r w:rsidRPr="006C1938">
        <w:rPr>
          <w:bCs/>
          <w:lang w:val="es-ES"/>
        </w:rPr>
        <w:t xml:space="preserve"> del espacio para resolver los problemas cotidianos y aprovechar las innovaciones relacionadas con el espacio para mejorar la calidad de vida</w:t>
      </w:r>
      <w:r w:rsidRPr="006C1938">
        <w:rPr>
          <w:rFonts w:asciiTheme="minorHAnsi" w:hAnsiTheme="minorHAnsi" w:cstheme="minorHAnsi"/>
          <w:bCs/>
          <w:lang w:val="es-ES"/>
        </w:rPr>
        <w:t>;</w:t>
      </w:r>
    </w:p>
    <w:p w14:paraId="27AF9C49" w14:textId="1DAB9788" w:rsidR="0059147E" w:rsidRPr="006C1938" w:rsidRDefault="0059147E" w:rsidP="0059147E">
      <w:pPr>
        <w:pStyle w:val="enumlev1"/>
        <w:rPr>
          <w:rFonts w:asciiTheme="minorHAnsi" w:hAnsiTheme="minorHAnsi" w:cstheme="minorHAnsi"/>
          <w:b/>
          <w:bCs/>
          <w:lang w:val="es-ES"/>
        </w:rPr>
      </w:pPr>
      <w:r>
        <w:rPr>
          <w:bCs/>
          <w:lang w:val="es-ES"/>
        </w:rPr>
        <w:t>3</w:t>
      </w:r>
      <w:r>
        <w:rPr>
          <w:bCs/>
          <w:lang w:val="es-ES"/>
        </w:rPr>
        <w:tab/>
      </w:r>
      <w:r w:rsidRPr="006C1938">
        <w:rPr>
          <w:bCs/>
          <w:lang w:val="es-ES"/>
        </w:rPr>
        <w:t xml:space="preserve">aumentar el acceso al espacio para todos y garantizar que todos los países puedan </w:t>
      </w:r>
      <w:r w:rsidRPr="0059147E">
        <w:rPr>
          <w:lang w:val="es-ES"/>
        </w:rPr>
        <w:t>beneficiarse</w:t>
      </w:r>
      <w:r w:rsidRPr="006C1938">
        <w:rPr>
          <w:bCs/>
          <w:lang w:val="es-ES"/>
        </w:rPr>
        <w:t xml:space="preserve"> socioeconómicamente de las aplicaciones de la ciencia y la tecnología espaciales, y de los datos, la información y los productos basados en el espacio, contribuyendo con ello al logro de los Objetivos de Desarrollo Sostenible</w:t>
      </w:r>
      <w:r w:rsidRPr="006C1938">
        <w:rPr>
          <w:rFonts w:asciiTheme="minorHAnsi" w:hAnsiTheme="minorHAnsi" w:cstheme="minorHAnsi"/>
          <w:bCs/>
          <w:lang w:val="es-ES"/>
        </w:rPr>
        <w:t xml:space="preserve">; </w:t>
      </w:r>
      <w:r>
        <w:rPr>
          <w:rFonts w:asciiTheme="minorHAnsi" w:hAnsiTheme="minorHAnsi" w:cstheme="minorHAnsi"/>
          <w:bCs/>
          <w:lang w:val="es-ES"/>
        </w:rPr>
        <w:t>y</w:t>
      </w:r>
    </w:p>
    <w:p w14:paraId="170B5458" w14:textId="0379361A" w:rsidR="0059147E" w:rsidRPr="006C1938" w:rsidRDefault="0059147E" w:rsidP="0059147E">
      <w:pPr>
        <w:pStyle w:val="enumlev1"/>
        <w:rPr>
          <w:rFonts w:asciiTheme="minorHAnsi" w:hAnsiTheme="minorHAnsi" w:cstheme="minorHAnsi"/>
          <w:b/>
          <w:bCs/>
          <w:lang w:val="es-ES"/>
        </w:rPr>
      </w:pPr>
      <w:r>
        <w:rPr>
          <w:lang w:val="es-ES"/>
        </w:rPr>
        <w:t>4</w:t>
      </w:r>
      <w:r>
        <w:rPr>
          <w:lang w:val="es-ES"/>
        </w:rPr>
        <w:tab/>
      </w:r>
      <w:r w:rsidRPr="0059147E">
        <w:rPr>
          <w:lang w:val="es-ES"/>
        </w:rPr>
        <w:t>establecer</w:t>
      </w:r>
      <w:r w:rsidRPr="006C1938">
        <w:rPr>
          <w:bCs/>
          <w:lang w:val="es-ES"/>
        </w:rPr>
        <w:t xml:space="preserve"> alianzas y fortalecer la cooperación internacional para la utilización del espacio </w:t>
      </w:r>
      <w:r w:rsidRPr="0059147E">
        <w:rPr>
          <w:lang w:val="es-ES"/>
        </w:rPr>
        <w:t>ultraterrestre</w:t>
      </w:r>
      <w:r w:rsidRPr="006C1938">
        <w:rPr>
          <w:bCs/>
          <w:lang w:val="es-ES"/>
        </w:rPr>
        <w:t xml:space="preserve"> con fines pacíficos y para la gobernanza global de las actividades en el espacio ultraterrestre</w:t>
      </w:r>
      <w:r w:rsidRPr="006C1938">
        <w:rPr>
          <w:rFonts w:asciiTheme="minorHAnsi" w:hAnsiTheme="minorHAnsi" w:cstheme="minorHAnsi"/>
          <w:bCs/>
          <w:lang w:val="es-ES"/>
        </w:rPr>
        <w:t>.</w:t>
      </w:r>
    </w:p>
    <w:p w14:paraId="28AF73CF" w14:textId="3641C866" w:rsidR="0059147E" w:rsidRPr="006C1938" w:rsidRDefault="0059147E" w:rsidP="0059147E">
      <w:pPr>
        <w:rPr>
          <w:rFonts w:asciiTheme="minorHAnsi" w:hAnsiTheme="minorHAnsi" w:cstheme="minorBidi"/>
          <w:b/>
          <w:lang w:val="es-ES"/>
        </w:rPr>
      </w:pPr>
      <w:r w:rsidRPr="006C1938">
        <w:rPr>
          <w:bCs/>
          <w:lang w:val="es-ES"/>
        </w:rPr>
        <w:t xml:space="preserve">Para su </w:t>
      </w:r>
      <w:r w:rsidRPr="0059147E">
        <w:rPr>
          <w:lang w:val="es-ES"/>
        </w:rPr>
        <w:t>ejecución</w:t>
      </w:r>
      <w:r w:rsidRPr="006C1938">
        <w:rPr>
          <w:bCs/>
          <w:lang w:val="es-ES"/>
        </w:rPr>
        <w:t>, la Agenda "Espacio2030" pide a los Estados miembros que contribuyan a través de asociaciones, herramientas y recursos</w:t>
      </w:r>
      <w:r w:rsidRPr="006C1938">
        <w:rPr>
          <w:rFonts w:asciiTheme="minorHAnsi" w:hAnsiTheme="minorHAnsi" w:cstheme="minorBidi"/>
          <w:lang w:val="es-ES"/>
        </w:rPr>
        <w:t>.</w:t>
      </w:r>
    </w:p>
    <w:p w14:paraId="6DFA9CBF" w14:textId="55308692" w:rsidR="0059147E" w:rsidRPr="006C1938" w:rsidRDefault="0059147E" w:rsidP="008008B0">
      <w:pPr>
        <w:rPr>
          <w:rFonts w:asciiTheme="minorHAnsi" w:hAnsiTheme="minorHAnsi" w:cstheme="minorBidi"/>
          <w:b/>
          <w:lang w:val="es-ES"/>
        </w:rPr>
      </w:pPr>
      <w:r w:rsidRPr="008008B0">
        <w:rPr>
          <w:rFonts w:asciiTheme="minorHAnsi" w:hAnsiTheme="minorHAnsi" w:cstheme="minorBidi"/>
          <w:b/>
          <w:bCs/>
          <w:lang w:val="es-ES"/>
        </w:rPr>
        <w:t>La Oficina de las Naciones Unidas para Asuntos del Espacio Ultraterrestre (UNOOSA) presta servicios de secretaría a la COPUOS</w:t>
      </w:r>
      <w:r>
        <w:rPr>
          <w:rFonts w:asciiTheme="minorHAnsi" w:hAnsiTheme="minorHAnsi" w:cstheme="minorBidi"/>
          <w:lang w:val="es-ES"/>
        </w:rPr>
        <w:t xml:space="preserve"> </w:t>
      </w:r>
      <w:r>
        <w:rPr>
          <w:rFonts w:asciiTheme="minorHAnsi" w:hAnsiTheme="minorHAnsi" w:cstheme="minorBidi"/>
          <w:bCs/>
          <w:lang w:val="es-ES"/>
        </w:rPr>
        <w:t xml:space="preserve">y </w:t>
      </w:r>
      <w:r w:rsidRPr="008008B0">
        <w:rPr>
          <w:bCs/>
          <w:lang w:val="es-ES"/>
        </w:rPr>
        <w:t>coordina</w:t>
      </w:r>
      <w:r>
        <w:rPr>
          <w:rFonts w:asciiTheme="minorHAnsi" w:hAnsiTheme="minorHAnsi" w:cstheme="minorBidi"/>
          <w:bCs/>
          <w:lang w:val="es-ES"/>
        </w:rPr>
        <w:t xml:space="preserve"> la aplicación de la Agenda </w:t>
      </w:r>
      <w:r w:rsidR="009C5986">
        <w:rPr>
          <w:rFonts w:asciiTheme="minorHAnsi" w:hAnsiTheme="minorHAnsi" w:cstheme="minorBidi"/>
          <w:b/>
          <w:bCs/>
          <w:lang w:val="es-ES"/>
        </w:rPr>
        <w:t>"</w:t>
      </w:r>
      <w:r>
        <w:rPr>
          <w:rFonts w:asciiTheme="minorHAnsi" w:hAnsiTheme="minorHAnsi" w:cstheme="minorBidi"/>
          <w:bCs/>
          <w:lang w:val="es-ES"/>
        </w:rPr>
        <w:t>Espacio2030</w:t>
      </w:r>
      <w:r w:rsidR="009C5986">
        <w:rPr>
          <w:rFonts w:asciiTheme="minorHAnsi" w:hAnsiTheme="minorHAnsi" w:cstheme="minorBidi"/>
          <w:b/>
          <w:bCs/>
          <w:lang w:val="es-ES"/>
        </w:rPr>
        <w:t>"</w:t>
      </w:r>
      <w:r w:rsidRPr="006C1938">
        <w:rPr>
          <w:rFonts w:asciiTheme="minorHAnsi" w:hAnsiTheme="minorHAnsi" w:cstheme="minorBidi"/>
          <w:lang w:val="es-ES"/>
        </w:rPr>
        <w:t xml:space="preserve">. </w:t>
      </w:r>
    </w:p>
    <w:p w14:paraId="425C2F57" w14:textId="1FA98E8E" w:rsidR="0059147E" w:rsidRPr="006C1938" w:rsidRDefault="0059147E" w:rsidP="008008B0">
      <w:pPr>
        <w:rPr>
          <w:rFonts w:asciiTheme="minorHAnsi" w:hAnsiTheme="minorHAnsi" w:cstheme="minorBidi"/>
          <w:b/>
          <w:lang w:val="es-ES"/>
        </w:rPr>
      </w:pPr>
      <w:r w:rsidRPr="006C1938">
        <w:rPr>
          <w:rFonts w:asciiTheme="minorHAnsi" w:hAnsiTheme="minorHAnsi" w:cstheme="minorBidi"/>
          <w:lang w:val="es-ES"/>
        </w:rPr>
        <w:t>La Conferencia de Plenipotenciarios de la UIT de 2022 (PP-22) reco</w:t>
      </w:r>
      <w:r>
        <w:rPr>
          <w:rFonts w:asciiTheme="minorHAnsi" w:hAnsiTheme="minorHAnsi" w:cstheme="minorBidi"/>
          <w:lang w:val="es-ES"/>
        </w:rPr>
        <w:t xml:space="preserve">noció que la UIT desempeña un papel </w:t>
      </w:r>
      <w:r w:rsidRPr="008008B0">
        <w:rPr>
          <w:bCs/>
          <w:lang w:val="es-ES"/>
        </w:rPr>
        <w:t>esencial</w:t>
      </w:r>
      <w:r>
        <w:rPr>
          <w:rFonts w:asciiTheme="minorHAnsi" w:hAnsiTheme="minorHAnsi" w:cstheme="minorBidi"/>
          <w:lang w:val="es-ES"/>
        </w:rPr>
        <w:t xml:space="preserve"> en la </w:t>
      </w:r>
      <w:r w:rsidRPr="008008B0">
        <w:rPr>
          <w:bCs/>
          <w:lang w:val="es-ES"/>
        </w:rPr>
        <w:t>consecución</w:t>
      </w:r>
      <w:r>
        <w:rPr>
          <w:rFonts w:asciiTheme="minorHAnsi" w:hAnsiTheme="minorHAnsi" w:cstheme="minorBidi"/>
          <w:lang w:val="es-ES"/>
        </w:rPr>
        <w:t xml:space="preserve"> de sus objetivos. </w:t>
      </w:r>
      <w:r w:rsidRPr="006C1938">
        <w:rPr>
          <w:rFonts w:asciiTheme="minorHAnsi" w:hAnsiTheme="minorHAnsi" w:cstheme="minorBidi"/>
          <w:lang w:val="es-ES"/>
        </w:rPr>
        <w:t xml:space="preserve">En este sentido la PP-22 adoptó la </w:t>
      </w:r>
      <w:r>
        <w:rPr>
          <w:rFonts w:asciiTheme="minorHAnsi" w:hAnsiTheme="minorHAnsi" w:cstheme="minorBidi"/>
          <w:lang w:val="es-ES"/>
        </w:rPr>
        <w:t>Resolución</w:t>
      </w:r>
      <w:r w:rsidRPr="006C1938">
        <w:rPr>
          <w:rFonts w:asciiTheme="minorHAnsi" w:hAnsiTheme="minorHAnsi" w:cstheme="minorBidi"/>
          <w:lang w:val="es-ES"/>
        </w:rPr>
        <w:t xml:space="preserve"> 218 (Bucarest,2022) </w:t>
      </w:r>
      <w:r>
        <w:rPr>
          <w:rFonts w:asciiTheme="minorHAnsi" w:hAnsiTheme="minorHAnsi" w:cstheme="minorBidi"/>
          <w:lang w:val="es-ES"/>
        </w:rPr>
        <w:t xml:space="preserve">en la que se </w:t>
      </w:r>
      <w:r>
        <w:rPr>
          <w:rFonts w:asciiTheme="minorHAnsi" w:hAnsiTheme="minorHAnsi" w:cstheme="minorBidi"/>
          <w:i/>
          <w:iCs/>
          <w:lang w:val="es-ES"/>
        </w:rPr>
        <w:t>resuelve</w:t>
      </w:r>
      <w:r w:rsidR="00213DB5">
        <w:rPr>
          <w:rFonts w:asciiTheme="minorHAnsi" w:hAnsiTheme="minorHAnsi" w:cstheme="minorBidi"/>
          <w:lang w:val="es-ES"/>
        </w:rPr>
        <w:t>:</w:t>
      </w:r>
    </w:p>
    <w:p w14:paraId="6591026E" w14:textId="090F4D29" w:rsidR="0059147E" w:rsidRPr="006C1938" w:rsidRDefault="008008B0" w:rsidP="008008B0">
      <w:pPr>
        <w:pStyle w:val="enumlev1"/>
        <w:rPr>
          <w:rFonts w:asciiTheme="minorHAnsi" w:hAnsiTheme="minorHAnsi" w:cstheme="minorHAnsi"/>
          <w:b/>
          <w:bCs/>
          <w:lang w:val="es-ES"/>
        </w:rPr>
      </w:pPr>
      <w:r>
        <w:rPr>
          <w:bCs/>
          <w:lang w:val="es-ES"/>
        </w:rPr>
        <w:t>1</w:t>
      </w:r>
      <w:r>
        <w:rPr>
          <w:bCs/>
          <w:lang w:val="es-ES"/>
        </w:rPr>
        <w:tab/>
      </w:r>
      <w:r w:rsidR="0059147E" w:rsidRPr="006C1938">
        <w:rPr>
          <w:bCs/>
          <w:lang w:val="es-ES"/>
        </w:rPr>
        <w:t xml:space="preserve">que la UIT apoye la aplicación de la Agenda "Espacio2030", en particular las partes relativas a los servicios espaciales del objetivo general 3 mencionado en el </w:t>
      </w:r>
      <w:r w:rsidR="0059147E" w:rsidRPr="008008B0">
        <w:rPr>
          <w:lang w:val="es-ES"/>
        </w:rPr>
        <w:t>recordando</w:t>
      </w:r>
      <w:r w:rsidR="0059147E" w:rsidRPr="006C1938">
        <w:rPr>
          <w:bCs/>
          <w:lang w:val="es-ES"/>
        </w:rPr>
        <w:t xml:space="preserve"> </w:t>
      </w:r>
      <w:r w:rsidR="0059147E" w:rsidRPr="006C1938">
        <w:rPr>
          <w:bCs/>
          <w:i/>
          <w:iCs/>
          <w:lang w:val="es-ES"/>
        </w:rPr>
        <w:t>b) supra</w:t>
      </w:r>
      <w:r w:rsidR="0059147E" w:rsidRPr="006C1938">
        <w:rPr>
          <w:bCs/>
          <w:lang w:val="es-ES"/>
        </w:rPr>
        <w:t>, teniendo en cuenta la función única de la UIT con respecto al acceso al espectro de frecuencias radioeléctricas y a las órbitas de satélites asociadas, de conformidad con el Artículo 44 de la Constitución</w:t>
      </w:r>
      <w:r w:rsidR="0059147E" w:rsidRPr="006C1938">
        <w:rPr>
          <w:rFonts w:asciiTheme="minorHAnsi" w:hAnsiTheme="minorHAnsi" w:cstheme="minorHAnsi"/>
          <w:bCs/>
          <w:lang w:val="es-ES"/>
        </w:rPr>
        <w:t>;</w:t>
      </w:r>
    </w:p>
    <w:p w14:paraId="07173066" w14:textId="1B979BE4" w:rsidR="0059147E" w:rsidRPr="006C1938" w:rsidRDefault="008008B0" w:rsidP="008008B0">
      <w:pPr>
        <w:pStyle w:val="enumlev1"/>
        <w:rPr>
          <w:rFonts w:asciiTheme="minorHAnsi" w:hAnsiTheme="minorHAnsi" w:cstheme="minorHAnsi"/>
          <w:b/>
          <w:bCs/>
          <w:lang w:val="es-ES"/>
        </w:rPr>
      </w:pPr>
      <w:r>
        <w:rPr>
          <w:bCs/>
          <w:lang w:val="es-ES"/>
        </w:rPr>
        <w:t>2</w:t>
      </w:r>
      <w:r>
        <w:rPr>
          <w:bCs/>
          <w:lang w:val="es-ES"/>
        </w:rPr>
        <w:tab/>
      </w:r>
      <w:r w:rsidR="0059147E" w:rsidRPr="006C1938">
        <w:rPr>
          <w:bCs/>
          <w:lang w:val="es-ES"/>
        </w:rPr>
        <w:t xml:space="preserve">que la aplicación del </w:t>
      </w:r>
      <w:r w:rsidR="0059147E" w:rsidRPr="006C1938">
        <w:rPr>
          <w:bCs/>
          <w:i/>
          <w:iCs/>
          <w:lang w:val="es-ES"/>
        </w:rPr>
        <w:t>resuelve</w:t>
      </w:r>
      <w:r w:rsidR="0059147E" w:rsidRPr="006C1938">
        <w:rPr>
          <w:bCs/>
          <w:lang w:val="es-ES"/>
        </w:rPr>
        <w:t xml:space="preserve"> 1 </w:t>
      </w:r>
      <w:r w:rsidR="0059147E" w:rsidRPr="006C1938">
        <w:rPr>
          <w:bCs/>
          <w:i/>
          <w:iCs/>
          <w:lang w:val="es-ES"/>
        </w:rPr>
        <w:t>supra</w:t>
      </w:r>
      <w:r w:rsidR="0059147E" w:rsidRPr="006C1938">
        <w:rPr>
          <w:bCs/>
          <w:lang w:val="es-ES"/>
        </w:rPr>
        <w:t xml:space="preserve"> debería aprovechar la participación de la </w:t>
      </w:r>
      <w:r w:rsidR="0059147E" w:rsidRPr="008008B0">
        <w:rPr>
          <w:lang w:val="es-ES"/>
        </w:rPr>
        <w:t>Presencia</w:t>
      </w:r>
      <w:r w:rsidR="0059147E" w:rsidRPr="006C1938">
        <w:rPr>
          <w:bCs/>
          <w:lang w:val="es-ES"/>
        </w:rPr>
        <w:t xml:space="preserve"> Regional de la UIT y prestar especial atención a los países en desarrollo, los países menos adelantados (PMA), los pequeños Estados insulares en desarrollo (PEID) y los países en desarrollo sin litoral (PDSL)</w:t>
      </w:r>
      <w:r w:rsidR="0059147E" w:rsidRPr="006C1938">
        <w:rPr>
          <w:rFonts w:asciiTheme="minorHAnsi" w:hAnsiTheme="minorHAnsi" w:cstheme="minorHAnsi"/>
          <w:bCs/>
          <w:lang w:val="es-ES"/>
        </w:rPr>
        <w:t>;</w:t>
      </w:r>
    </w:p>
    <w:p w14:paraId="1FA864E4" w14:textId="05D81F9D" w:rsidR="0059147E" w:rsidRPr="006C1938" w:rsidRDefault="008008B0" w:rsidP="008008B0">
      <w:pPr>
        <w:pStyle w:val="enumlev1"/>
        <w:rPr>
          <w:rFonts w:asciiTheme="minorHAnsi" w:hAnsiTheme="minorHAnsi" w:cstheme="minorBidi"/>
          <w:b/>
          <w:lang w:val="es-ES"/>
        </w:rPr>
      </w:pPr>
      <w:r>
        <w:rPr>
          <w:rFonts w:asciiTheme="minorHAnsi" w:hAnsiTheme="minorHAnsi" w:cstheme="minorBidi"/>
          <w:lang w:val="es-ES"/>
        </w:rPr>
        <w:t>3</w:t>
      </w:r>
      <w:r>
        <w:rPr>
          <w:rFonts w:asciiTheme="minorHAnsi" w:hAnsiTheme="minorHAnsi" w:cstheme="minorBidi"/>
          <w:lang w:val="es-ES"/>
        </w:rPr>
        <w:tab/>
      </w:r>
      <w:r w:rsidR="0059147E" w:rsidRPr="006C1938">
        <w:rPr>
          <w:rFonts w:asciiTheme="minorHAnsi" w:hAnsiTheme="minorHAnsi" w:cstheme="minorBidi"/>
          <w:lang w:val="es-ES"/>
        </w:rPr>
        <w:t>que la Oficina de Radiocomunicaciones (BR) y la Oficina de Desarrollo de las Telecomunicaciones (BDT) sigan ayudando a los países</w:t>
      </w:r>
      <w:r w:rsidR="0059147E">
        <w:rPr>
          <w:rFonts w:asciiTheme="minorHAnsi" w:hAnsiTheme="minorHAnsi" w:cstheme="minorBidi"/>
          <w:lang w:val="es-ES"/>
        </w:rPr>
        <w:t xml:space="preserve"> en desarrollo, PMA, PEID y PDSL a </w:t>
      </w:r>
      <w:r w:rsidR="0059147E" w:rsidRPr="008008B0">
        <w:rPr>
          <w:lang w:val="es-ES"/>
        </w:rPr>
        <w:t>acceder</w:t>
      </w:r>
      <w:r w:rsidR="0059147E">
        <w:rPr>
          <w:rFonts w:asciiTheme="minorHAnsi" w:hAnsiTheme="minorHAnsi" w:cstheme="minorBidi"/>
          <w:lang w:val="es-ES"/>
        </w:rPr>
        <w:t xml:space="preserve"> al espectro de radiofrecuencias y a las órbitas de satélites asociadas, en particular para alcanzar los objetivos de la Agenda </w:t>
      </w:r>
      <w:r w:rsidRPr="006C1938">
        <w:rPr>
          <w:bCs/>
          <w:lang w:val="es-ES"/>
        </w:rPr>
        <w:t>"Espacio2030"</w:t>
      </w:r>
      <w:r w:rsidR="00213DB5">
        <w:rPr>
          <w:bCs/>
          <w:lang w:val="es-ES"/>
        </w:rPr>
        <w:t>.</w:t>
      </w:r>
    </w:p>
    <w:p w14:paraId="1A333C46" w14:textId="77777777" w:rsidR="0059147E" w:rsidRPr="0016266A" w:rsidRDefault="0059147E" w:rsidP="008008B0">
      <w:pPr>
        <w:pStyle w:val="Headingb"/>
        <w:rPr>
          <w:lang w:val="es-ES"/>
        </w:rPr>
      </w:pPr>
      <w:r w:rsidRPr="0016266A">
        <w:rPr>
          <w:lang w:val="es-ES"/>
        </w:rPr>
        <w:lastRenderedPageBreak/>
        <w:t>Informes sobre la ejecución por la UIT de la Agenda Espacio</w:t>
      </w:r>
      <w:r>
        <w:rPr>
          <w:lang w:val="es-ES"/>
        </w:rPr>
        <w:t>2030</w:t>
      </w:r>
    </w:p>
    <w:p w14:paraId="3A9BFACF" w14:textId="77777777" w:rsidR="0059147E" w:rsidRPr="0016266A" w:rsidRDefault="0059147E" w:rsidP="008008B0">
      <w:pPr>
        <w:rPr>
          <w:rFonts w:asciiTheme="minorHAnsi" w:hAnsiTheme="minorHAnsi" w:cstheme="minorHAnsi"/>
          <w:b/>
          <w:bCs/>
          <w:lang w:val="es-ES"/>
        </w:rPr>
      </w:pPr>
      <w:r w:rsidRPr="0016266A">
        <w:rPr>
          <w:bCs/>
          <w:lang w:val="es-ES"/>
        </w:rPr>
        <w:t>En la Resolución 218 (Bucarest, 2022) se encarga al Secretario General de la UIT y a los Directores de las Oficinas que, entre otras cosas</w:t>
      </w:r>
      <w:r w:rsidRPr="0016266A">
        <w:rPr>
          <w:rFonts w:asciiTheme="minorHAnsi" w:hAnsiTheme="minorHAnsi" w:cstheme="minorHAnsi"/>
          <w:bCs/>
          <w:lang w:val="es-ES"/>
        </w:rPr>
        <w:t xml:space="preserve">: </w:t>
      </w:r>
    </w:p>
    <w:p w14:paraId="0CF1A594" w14:textId="1BF900A9" w:rsidR="0059147E" w:rsidRPr="0016266A" w:rsidRDefault="003207D3" w:rsidP="003207D3">
      <w:pPr>
        <w:pStyle w:val="enumlev1"/>
        <w:rPr>
          <w:rFonts w:asciiTheme="minorHAnsi" w:hAnsiTheme="minorHAnsi" w:cstheme="minorHAnsi"/>
          <w:b/>
          <w:bCs/>
          <w:lang w:val="es-ES"/>
        </w:rPr>
      </w:pPr>
      <w:r>
        <w:rPr>
          <w:bCs/>
          <w:lang w:val="es-ES"/>
        </w:rPr>
        <w:t>1</w:t>
      </w:r>
      <w:r>
        <w:rPr>
          <w:bCs/>
          <w:lang w:val="es-ES"/>
        </w:rPr>
        <w:tab/>
      </w:r>
      <w:r w:rsidR="0059147E" w:rsidRPr="0016266A">
        <w:rPr>
          <w:bCs/>
          <w:lang w:val="es-ES"/>
        </w:rPr>
        <w:t>presenten anualmente al Consejo de la UIT un informe completo sobre la situación de los Planes regidos por los Apéndices</w:t>
      </w:r>
      <w:r w:rsidR="0059147E" w:rsidRPr="0016266A">
        <w:rPr>
          <w:lang w:val="es-ES"/>
        </w:rPr>
        <w:t xml:space="preserve"> </w:t>
      </w:r>
      <w:r w:rsidR="0059147E" w:rsidRPr="003207D3">
        <w:rPr>
          <w:b/>
          <w:bCs/>
          <w:lang w:val="es-ES"/>
        </w:rPr>
        <w:t>30</w:t>
      </w:r>
      <w:r w:rsidR="0059147E" w:rsidRPr="003207D3">
        <w:rPr>
          <w:lang w:val="es-ES"/>
        </w:rPr>
        <w:t>,</w:t>
      </w:r>
      <w:r w:rsidR="0059147E" w:rsidRPr="003207D3">
        <w:rPr>
          <w:b/>
          <w:bCs/>
          <w:lang w:val="es-ES"/>
        </w:rPr>
        <w:t xml:space="preserve"> 30A</w:t>
      </w:r>
      <w:r w:rsidR="0059147E" w:rsidRPr="0016266A">
        <w:rPr>
          <w:lang w:val="es-ES"/>
        </w:rPr>
        <w:t xml:space="preserve"> </w:t>
      </w:r>
      <w:r w:rsidR="0059147E" w:rsidRPr="0016266A">
        <w:rPr>
          <w:bCs/>
          <w:lang w:val="es-ES"/>
        </w:rPr>
        <w:t>y</w:t>
      </w:r>
      <w:r w:rsidR="0059147E" w:rsidRPr="0016266A">
        <w:rPr>
          <w:lang w:val="es-ES"/>
        </w:rPr>
        <w:t xml:space="preserve"> </w:t>
      </w:r>
      <w:r w:rsidR="0059147E" w:rsidRPr="003207D3">
        <w:rPr>
          <w:b/>
          <w:bCs/>
          <w:lang w:val="es-ES"/>
        </w:rPr>
        <w:t>30B</w:t>
      </w:r>
      <w:r w:rsidR="0059147E" w:rsidRPr="0016266A">
        <w:rPr>
          <w:lang w:val="es-ES"/>
        </w:rPr>
        <w:t xml:space="preserve"> </w:t>
      </w:r>
      <w:r w:rsidR="0059147E" w:rsidRPr="0016266A">
        <w:rPr>
          <w:bCs/>
          <w:lang w:val="es-ES"/>
        </w:rPr>
        <w:t>del Reglamento de Radiocomunicaciones, destacando la situación de los países en desarrollo y cualquier reto relacionado con la aplicación de dichos Planes, como la evolución de las situaciones de referencia de las distintas asignaciones de frecuencias y adjudicaciones, incluida cualquier dificultad y problema que la BR haya encontrado en la aplicación de estos Planes, así como los problemas comunicados por las administraciones a la BR;</w:t>
      </w:r>
      <w:bookmarkStart w:id="2" w:name="_Hlk135536731"/>
      <w:r w:rsidR="0059147E" w:rsidRPr="0016266A">
        <w:rPr>
          <w:bCs/>
          <w:lang w:val="es-ES"/>
        </w:rPr>
        <w:t xml:space="preserve"> (</w:t>
      </w:r>
      <w:r w:rsidR="0059147E" w:rsidRPr="0016266A">
        <w:rPr>
          <w:bCs/>
          <w:i/>
          <w:iCs/>
          <w:lang w:val="es-ES"/>
        </w:rPr>
        <w:t>encarga</w:t>
      </w:r>
      <w:r w:rsidR="0059147E" w:rsidRPr="0016266A">
        <w:rPr>
          <w:bCs/>
          <w:lang w:val="es-ES"/>
        </w:rPr>
        <w:t xml:space="preserve"> 2)</w:t>
      </w:r>
      <w:bookmarkEnd w:id="2"/>
    </w:p>
    <w:p w14:paraId="2D69D218" w14:textId="6B5768AB" w:rsidR="0059147E" w:rsidRPr="0016266A" w:rsidRDefault="003207D3" w:rsidP="003207D3">
      <w:pPr>
        <w:pStyle w:val="enumlev1"/>
        <w:rPr>
          <w:rFonts w:asciiTheme="minorHAnsi" w:hAnsiTheme="minorHAnsi" w:cstheme="minorHAnsi"/>
          <w:b/>
          <w:bCs/>
          <w:lang w:val="es-ES"/>
        </w:rPr>
      </w:pPr>
      <w:r>
        <w:rPr>
          <w:bCs/>
          <w:lang w:val="es-ES"/>
        </w:rPr>
        <w:t>2</w:t>
      </w:r>
      <w:r>
        <w:rPr>
          <w:bCs/>
          <w:lang w:val="es-ES"/>
        </w:rPr>
        <w:tab/>
      </w:r>
      <w:r w:rsidR="0059147E" w:rsidRPr="0016266A">
        <w:rPr>
          <w:bCs/>
          <w:lang w:val="es-ES"/>
        </w:rPr>
        <w:t>presenten al Consejo un informe anual sobre la función de la UIT en la aplicación de la Agenda "Espacio2030"; (</w:t>
      </w:r>
      <w:r w:rsidR="0059147E" w:rsidRPr="0016266A">
        <w:rPr>
          <w:bCs/>
          <w:i/>
          <w:iCs/>
          <w:lang w:val="es-ES"/>
        </w:rPr>
        <w:t>encarga</w:t>
      </w:r>
      <w:r w:rsidR="0059147E" w:rsidRPr="0016266A">
        <w:rPr>
          <w:bCs/>
          <w:lang w:val="es-ES"/>
        </w:rPr>
        <w:t xml:space="preserve"> 3)</w:t>
      </w:r>
    </w:p>
    <w:p w14:paraId="4FADA674" w14:textId="769E72D7" w:rsidR="0059147E" w:rsidRPr="0016266A" w:rsidRDefault="003207D3" w:rsidP="003207D3">
      <w:pPr>
        <w:pStyle w:val="enumlev1"/>
        <w:rPr>
          <w:rFonts w:asciiTheme="minorHAnsi" w:hAnsiTheme="minorHAnsi" w:cstheme="minorBidi"/>
          <w:b/>
          <w:bCs/>
          <w:lang w:val="es-ES"/>
        </w:rPr>
      </w:pPr>
      <w:r>
        <w:rPr>
          <w:bCs/>
          <w:lang w:val="es-ES"/>
        </w:rPr>
        <w:t>3</w:t>
      </w:r>
      <w:r>
        <w:rPr>
          <w:bCs/>
          <w:lang w:val="es-ES"/>
        </w:rPr>
        <w:tab/>
      </w:r>
      <w:r w:rsidR="0059147E" w:rsidRPr="0016266A">
        <w:rPr>
          <w:bCs/>
          <w:lang w:val="es-ES"/>
        </w:rPr>
        <w:t>informen al Consejo acerca de las sesiones de la Reunión interinstitucional de las Naciones Unidas sobre las actividades relativas al espacio ultraterrestre (ONU</w:t>
      </w:r>
      <w:r>
        <w:rPr>
          <w:bCs/>
          <w:lang w:val="es-ES"/>
        </w:rPr>
        <w:t> </w:t>
      </w:r>
      <w:r>
        <w:rPr>
          <w:bCs/>
          <w:lang w:val="es-ES"/>
        </w:rPr>
        <w:noBreakHyphen/>
        <w:t> </w:t>
      </w:r>
      <w:r w:rsidR="0059147E" w:rsidRPr="0016266A">
        <w:rPr>
          <w:bCs/>
          <w:lang w:val="es-ES"/>
        </w:rPr>
        <w:t>Espacio) y sobre las medidas que se apliquen para promover sinergias y evitar la duplicación de esfuerzos relacionados con el uso de la tecnología espacial, (</w:t>
      </w:r>
      <w:r w:rsidR="0059147E" w:rsidRPr="0016266A">
        <w:rPr>
          <w:bCs/>
          <w:i/>
          <w:iCs/>
          <w:lang w:val="es-ES"/>
        </w:rPr>
        <w:t>encarga</w:t>
      </w:r>
      <w:r w:rsidR="00313A2A">
        <w:rPr>
          <w:bCs/>
          <w:lang w:val="es-ES"/>
        </w:rPr>
        <w:t> </w:t>
      </w:r>
      <w:r w:rsidR="0059147E" w:rsidRPr="0016266A">
        <w:rPr>
          <w:bCs/>
          <w:lang w:val="es-ES"/>
        </w:rPr>
        <w:t>8)</w:t>
      </w:r>
    </w:p>
    <w:p w14:paraId="53D791C5" w14:textId="77777777" w:rsidR="0059147E" w:rsidRPr="0016266A" w:rsidRDefault="0059147E" w:rsidP="006719C2">
      <w:pPr>
        <w:rPr>
          <w:b/>
          <w:lang w:val="es-ES"/>
        </w:rPr>
      </w:pPr>
      <w:r w:rsidRPr="0016266A">
        <w:rPr>
          <w:lang w:val="es-ES"/>
        </w:rPr>
        <w:t>Los informes sobre cada uno de estos asuntos se presentan, respectivamente, en los An</w:t>
      </w:r>
      <w:r>
        <w:rPr>
          <w:lang w:val="es-ES"/>
        </w:rPr>
        <w:t>exos</w:t>
      </w:r>
      <w:r w:rsidRPr="0016266A">
        <w:rPr>
          <w:lang w:val="es-ES"/>
        </w:rPr>
        <w:t xml:space="preserve"> </w:t>
      </w:r>
      <w:hyperlink w:anchor="Annex1" w:history="1">
        <w:r w:rsidRPr="0016266A">
          <w:rPr>
            <w:rStyle w:val="Hyperlink"/>
            <w:rFonts w:asciiTheme="minorHAnsi" w:hAnsiTheme="minorHAnsi" w:cstheme="minorHAnsi"/>
            <w:lang w:val="es-ES"/>
          </w:rPr>
          <w:t>1</w:t>
        </w:r>
      </w:hyperlink>
      <w:r w:rsidRPr="0016266A">
        <w:rPr>
          <w:lang w:val="es-ES"/>
        </w:rPr>
        <w:t xml:space="preserve">, </w:t>
      </w:r>
      <w:hyperlink w:anchor="Annex2" w:history="1">
        <w:r w:rsidRPr="0016266A">
          <w:rPr>
            <w:rStyle w:val="Hyperlink"/>
            <w:rFonts w:asciiTheme="minorHAnsi" w:hAnsiTheme="minorHAnsi" w:cstheme="minorHAnsi"/>
            <w:lang w:val="es-ES"/>
          </w:rPr>
          <w:t>2</w:t>
        </w:r>
      </w:hyperlink>
      <w:r w:rsidRPr="0016266A">
        <w:rPr>
          <w:lang w:val="es-ES"/>
        </w:rPr>
        <w:t xml:space="preserve"> </w:t>
      </w:r>
      <w:r>
        <w:rPr>
          <w:lang w:val="es-ES"/>
        </w:rPr>
        <w:t>y</w:t>
      </w:r>
      <w:r w:rsidRPr="0016266A">
        <w:rPr>
          <w:lang w:val="es-ES"/>
        </w:rPr>
        <w:t xml:space="preserve"> </w:t>
      </w:r>
      <w:hyperlink w:anchor="Annex3" w:history="1">
        <w:r w:rsidRPr="0016266A">
          <w:rPr>
            <w:rStyle w:val="Hyperlink"/>
            <w:rFonts w:asciiTheme="minorHAnsi" w:hAnsiTheme="minorHAnsi" w:cstheme="minorHAnsi"/>
            <w:lang w:val="es-ES"/>
          </w:rPr>
          <w:t>3</w:t>
        </w:r>
      </w:hyperlink>
      <w:r w:rsidRPr="0016266A">
        <w:rPr>
          <w:lang w:val="es-ES"/>
        </w:rPr>
        <w:t xml:space="preserve"> </w:t>
      </w:r>
      <w:r>
        <w:rPr>
          <w:lang w:val="es-ES"/>
        </w:rPr>
        <w:t>a la presente contribución</w:t>
      </w:r>
      <w:r w:rsidRPr="0016266A">
        <w:rPr>
          <w:lang w:val="es-ES"/>
        </w:rPr>
        <w:t>.</w:t>
      </w:r>
    </w:p>
    <w:p w14:paraId="10002669" w14:textId="77777777" w:rsidR="0059147E" w:rsidRPr="00034A95" w:rsidRDefault="0059147E" w:rsidP="0059147E">
      <w:pPr>
        <w:rPr>
          <w:b/>
          <w:bCs/>
          <w:lang w:val="es-ES"/>
        </w:rPr>
      </w:pPr>
      <w:bookmarkStart w:id="3" w:name="_Hlk165533456"/>
      <w:r w:rsidRPr="00034A95">
        <w:rPr>
          <w:b/>
          <w:bCs/>
          <w:lang w:val="es-ES"/>
        </w:rPr>
        <w:t xml:space="preserve">Actividades de la UIT recientes y planificadas más destacadas </w:t>
      </w:r>
    </w:p>
    <w:p w14:paraId="70CE3693" w14:textId="4BD82B11" w:rsidR="0059147E" w:rsidRPr="00034A95" w:rsidRDefault="003207D3" w:rsidP="003207D3">
      <w:pPr>
        <w:pStyle w:val="enumlev1"/>
        <w:rPr>
          <w:rFonts w:asciiTheme="minorHAnsi" w:hAnsiTheme="minorHAnsi" w:cstheme="minorHAnsi"/>
          <w:b/>
          <w:bCs/>
          <w:szCs w:val="24"/>
          <w:lang w:val="es-ES"/>
        </w:rPr>
      </w:pPr>
      <w:r>
        <w:rPr>
          <w:rFonts w:asciiTheme="minorHAnsi" w:hAnsiTheme="minorHAnsi" w:cstheme="minorHAnsi"/>
          <w:bCs/>
          <w:szCs w:val="24"/>
          <w:lang w:val="es-ES"/>
        </w:rPr>
        <w:sym w:font="Symbol" w:char="F0B7"/>
      </w:r>
      <w:r>
        <w:rPr>
          <w:rFonts w:asciiTheme="minorHAnsi" w:hAnsiTheme="minorHAnsi" w:cstheme="minorHAnsi"/>
          <w:bCs/>
          <w:szCs w:val="24"/>
          <w:lang w:val="es-ES"/>
        </w:rPr>
        <w:tab/>
      </w:r>
      <w:r w:rsidR="0059147E" w:rsidRPr="00034A95">
        <w:rPr>
          <w:rFonts w:asciiTheme="minorHAnsi" w:hAnsiTheme="minorHAnsi" w:cstheme="minorHAnsi"/>
          <w:bCs/>
          <w:szCs w:val="24"/>
          <w:lang w:val="es-ES"/>
        </w:rPr>
        <w:t>A fin de fomentar el diálogo de alto nivel y la sensibilización sobre las oportunidades que ofrecen los sistemas espaciales, el Foro de Alto Nivel CMSI+20 co</w:t>
      </w:r>
      <w:r w:rsidR="0059147E">
        <w:rPr>
          <w:rFonts w:asciiTheme="minorHAnsi" w:hAnsiTheme="minorHAnsi" w:cstheme="minorHAnsi"/>
          <w:bCs/>
          <w:szCs w:val="24"/>
          <w:lang w:val="es-ES"/>
        </w:rPr>
        <w:t>ntará con una</w:t>
      </w:r>
      <w:r w:rsidR="0059147E" w:rsidRPr="00034A95">
        <w:rPr>
          <w:rFonts w:asciiTheme="minorHAnsi" w:hAnsiTheme="minorHAnsi" w:cstheme="minorHAnsi"/>
          <w:bCs/>
          <w:szCs w:val="24"/>
          <w:lang w:val="es-ES"/>
        </w:rPr>
        <w:t xml:space="preserve"> </w:t>
      </w:r>
      <w:hyperlink r:id="rId10" w:history="1">
        <w:r w:rsidR="0059147E" w:rsidRPr="00034A95">
          <w:rPr>
            <w:rStyle w:val="Hyperlink"/>
            <w:rFonts w:asciiTheme="minorHAnsi" w:hAnsiTheme="minorHAnsi" w:cstheme="minorHAnsi"/>
            <w:bCs/>
            <w:szCs w:val="24"/>
            <w:lang w:val="es-ES"/>
          </w:rPr>
          <w:t>sesi</w:t>
        </w:r>
        <w:r w:rsidR="0059147E">
          <w:rPr>
            <w:rStyle w:val="Hyperlink"/>
            <w:rFonts w:asciiTheme="minorHAnsi" w:hAnsiTheme="minorHAnsi" w:cstheme="minorHAnsi"/>
            <w:bCs/>
            <w:szCs w:val="24"/>
            <w:lang w:val="es-ES"/>
          </w:rPr>
          <w:t>ó</w:t>
        </w:r>
        <w:r w:rsidR="0059147E" w:rsidRPr="00034A95">
          <w:rPr>
            <w:rStyle w:val="Hyperlink"/>
            <w:rFonts w:asciiTheme="minorHAnsi" w:hAnsiTheme="minorHAnsi" w:cstheme="minorHAnsi"/>
            <w:bCs/>
            <w:szCs w:val="24"/>
            <w:lang w:val="es-ES"/>
          </w:rPr>
          <w:t>n</w:t>
        </w:r>
      </w:hyperlink>
      <w:r w:rsidR="0059147E" w:rsidRPr="00034A95">
        <w:rPr>
          <w:rFonts w:asciiTheme="minorHAnsi" w:hAnsiTheme="minorHAnsi" w:cstheme="minorHAnsi"/>
          <w:bCs/>
          <w:szCs w:val="24"/>
          <w:lang w:val="es-ES"/>
        </w:rPr>
        <w:t xml:space="preserve"> </w:t>
      </w:r>
      <w:r w:rsidR="0059147E">
        <w:rPr>
          <w:rFonts w:asciiTheme="minorHAnsi" w:hAnsiTheme="minorHAnsi" w:cstheme="minorHAnsi"/>
          <w:bCs/>
          <w:szCs w:val="24"/>
          <w:lang w:val="es-ES"/>
        </w:rPr>
        <w:t>dedicada a la utilización de tecnologías y aplicaciones espaciales para el desarrollo sostenible</w:t>
      </w:r>
      <w:r w:rsidR="0059147E" w:rsidRPr="00034A95">
        <w:rPr>
          <w:rFonts w:asciiTheme="minorHAnsi" w:hAnsiTheme="minorHAnsi" w:cstheme="minorHAnsi"/>
          <w:bCs/>
          <w:szCs w:val="24"/>
          <w:lang w:val="es-ES"/>
        </w:rPr>
        <w:t>.</w:t>
      </w:r>
    </w:p>
    <w:p w14:paraId="32109A97" w14:textId="5B1626A5" w:rsidR="0059147E" w:rsidRPr="00034A95" w:rsidRDefault="003207D3" w:rsidP="003207D3">
      <w:pPr>
        <w:pStyle w:val="enumlev1"/>
        <w:rPr>
          <w:rFonts w:asciiTheme="minorHAnsi" w:hAnsiTheme="minorHAnsi" w:cstheme="minorHAnsi"/>
          <w:b/>
          <w:bCs/>
          <w:szCs w:val="24"/>
          <w:lang w:val="es-ES"/>
        </w:rPr>
      </w:pPr>
      <w:r>
        <w:rPr>
          <w:rFonts w:asciiTheme="minorHAnsi" w:hAnsiTheme="minorHAnsi" w:cstheme="minorHAnsi"/>
          <w:bCs/>
          <w:szCs w:val="24"/>
          <w:lang w:val="es-ES"/>
        </w:rPr>
        <w:sym w:font="Symbol" w:char="F0B7"/>
      </w:r>
      <w:r>
        <w:rPr>
          <w:rFonts w:asciiTheme="minorHAnsi" w:hAnsiTheme="minorHAnsi" w:cstheme="minorHAnsi"/>
          <w:bCs/>
          <w:szCs w:val="24"/>
          <w:lang w:val="es-ES"/>
        </w:rPr>
        <w:tab/>
      </w:r>
      <w:r w:rsidR="0059147E" w:rsidRPr="00034A95">
        <w:rPr>
          <w:rFonts w:asciiTheme="minorHAnsi" w:hAnsiTheme="minorHAnsi" w:cstheme="minorHAnsi"/>
          <w:bCs/>
          <w:szCs w:val="24"/>
          <w:lang w:val="es-ES"/>
        </w:rPr>
        <w:t xml:space="preserve">Del mismo modo, en el marco del Simposio Mundial para Organismos Reguladores de 2024 se celebrarán </w:t>
      </w:r>
      <w:r w:rsidR="0059147E">
        <w:rPr>
          <w:rFonts w:asciiTheme="minorHAnsi" w:hAnsiTheme="minorHAnsi" w:cstheme="minorHAnsi"/>
          <w:bCs/>
          <w:szCs w:val="24"/>
          <w:lang w:val="es-ES"/>
        </w:rPr>
        <w:t>una</w:t>
      </w:r>
      <w:r w:rsidR="0059147E" w:rsidRPr="00034A95">
        <w:rPr>
          <w:rFonts w:asciiTheme="minorHAnsi" w:hAnsiTheme="minorHAnsi" w:cstheme="minorHAnsi"/>
          <w:bCs/>
          <w:szCs w:val="24"/>
          <w:lang w:val="es-ES"/>
        </w:rPr>
        <w:t xml:space="preserve"> </w:t>
      </w:r>
      <w:hyperlink r:id="rId11" w:anchor="/es" w:history="1">
        <w:r w:rsidR="0059147E" w:rsidRPr="00034A95">
          <w:rPr>
            <w:rStyle w:val="Hyperlink"/>
            <w:rFonts w:asciiTheme="minorHAnsi" w:hAnsiTheme="minorHAnsi" w:cstheme="minorHAnsi"/>
            <w:bCs/>
            <w:szCs w:val="24"/>
            <w:lang w:val="es-ES"/>
          </w:rPr>
          <w:t>sesi</w:t>
        </w:r>
        <w:r w:rsidR="0059147E">
          <w:rPr>
            <w:rStyle w:val="Hyperlink"/>
            <w:rFonts w:asciiTheme="minorHAnsi" w:hAnsiTheme="minorHAnsi" w:cstheme="minorHAnsi"/>
            <w:bCs/>
            <w:szCs w:val="24"/>
            <w:lang w:val="es-ES"/>
          </w:rPr>
          <w:t>ó</w:t>
        </w:r>
        <w:r w:rsidR="0059147E" w:rsidRPr="00034A95">
          <w:rPr>
            <w:rStyle w:val="Hyperlink"/>
            <w:rFonts w:asciiTheme="minorHAnsi" w:hAnsiTheme="minorHAnsi" w:cstheme="minorHAnsi"/>
            <w:bCs/>
            <w:szCs w:val="24"/>
            <w:lang w:val="es-ES"/>
          </w:rPr>
          <w:t xml:space="preserve">n </w:t>
        </w:r>
        <w:r w:rsidR="0059147E">
          <w:rPr>
            <w:rStyle w:val="Hyperlink"/>
            <w:rFonts w:asciiTheme="minorHAnsi" w:hAnsiTheme="minorHAnsi" w:cstheme="minorHAnsi"/>
            <w:bCs/>
            <w:szCs w:val="24"/>
            <w:lang w:val="es-ES"/>
          </w:rPr>
          <w:t>dedicada a la economía e</w:t>
        </w:r>
        <w:r w:rsidR="0059147E" w:rsidRPr="00034A95">
          <w:rPr>
            <w:rStyle w:val="Hyperlink"/>
            <w:rFonts w:asciiTheme="minorHAnsi" w:hAnsiTheme="minorHAnsi" w:cstheme="minorHAnsi"/>
            <w:bCs/>
            <w:szCs w:val="24"/>
            <w:lang w:val="es-ES"/>
          </w:rPr>
          <w:t>spac</w:t>
        </w:r>
        <w:r w:rsidR="0059147E">
          <w:rPr>
            <w:rStyle w:val="Hyperlink"/>
            <w:rFonts w:asciiTheme="minorHAnsi" w:hAnsiTheme="minorHAnsi" w:cstheme="minorHAnsi"/>
            <w:bCs/>
            <w:szCs w:val="24"/>
            <w:lang w:val="es-ES"/>
          </w:rPr>
          <w:t>ial</w:t>
        </w:r>
      </w:hyperlink>
      <w:r w:rsidR="0059147E" w:rsidRPr="00034A95">
        <w:rPr>
          <w:rFonts w:asciiTheme="minorHAnsi" w:hAnsiTheme="minorHAnsi" w:cstheme="minorHAnsi"/>
          <w:bCs/>
          <w:szCs w:val="24"/>
          <w:lang w:val="es-ES"/>
        </w:rPr>
        <w:t xml:space="preserve"> </w:t>
      </w:r>
      <w:r w:rsidR="0059147E">
        <w:rPr>
          <w:rFonts w:asciiTheme="minorHAnsi" w:hAnsiTheme="minorHAnsi" w:cstheme="minorHAnsi"/>
          <w:bCs/>
          <w:szCs w:val="24"/>
          <w:lang w:val="es-ES"/>
        </w:rPr>
        <w:t>y un</w:t>
      </w:r>
      <w:r w:rsidR="0059147E" w:rsidRPr="00034A95">
        <w:rPr>
          <w:rFonts w:asciiTheme="minorHAnsi" w:hAnsiTheme="minorHAnsi" w:cstheme="minorHAnsi"/>
          <w:bCs/>
          <w:szCs w:val="24"/>
          <w:lang w:val="es-ES"/>
        </w:rPr>
        <w:t xml:space="preserve"> </w:t>
      </w:r>
      <w:hyperlink r:id="rId12" w:anchor="/es" w:history="1">
        <w:r w:rsidR="0059147E">
          <w:rPr>
            <w:rStyle w:val="Hyperlink"/>
            <w:rFonts w:asciiTheme="minorHAnsi" w:hAnsiTheme="minorHAnsi" w:cstheme="minorHAnsi"/>
            <w:bCs/>
            <w:szCs w:val="24"/>
            <w:lang w:val="es-ES"/>
          </w:rPr>
          <w:t>taller sobre herramientas para el espacio sosteni</w:t>
        </w:r>
        <w:r w:rsidR="0059147E" w:rsidRPr="00034A95">
          <w:rPr>
            <w:rStyle w:val="Hyperlink"/>
            <w:rFonts w:asciiTheme="minorHAnsi" w:hAnsiTheme="minorHAnsi" w:cstheme="minorHAnsi"/>
            <w:bCs/>
            <w:szCs w:val="24"/>
            <w:lang w:val="es-ES"/>
          </w:rPr>
          <w:t>ble</w:t>
        </w:r>
      </w:hyperlink>
      <w:r w:rsidR="0059147E" w:rsidRPr="00034A95">
        <w:rPr>
          <w:rFonts w:asciiTheme="minorHAnsi" w:hAnsiTheme="minorHAnsi" w:cstheme="minorHAnsi"/>
          <w:bCs/>
          <w:szCs w:val="24"/>
          <w:lang w:val="es-ES"/>
        </w:rPr>
        <w:t xml:space="preserve">. </w:t>
      </w:r>
    </w:p>
    <w:p w14:paraId="42076FFE" w14:textId="489BA820" w:rsidR="0059147E" w:rsidRPr="00034A95" w:rsidRDefault="003207D3" w:rsidP="003207D3">
      <w:pPr>
        <w:pStyle w:val="enumlev1"/>
        <w:rPr>
          <w:rFonts w:asciiTheme="minorHAnsi" w:hAnsiTheme="minorHAnsi" w:cstheme="minorHAnsi"/>
          <w:b/>
          <w:bCs/>
          <w:szCs w:val="24"/>
          <w:lang w:val="es-ES"/>
        </w:rPr>
      </w:pPr>
      <w:r>
        <w:rPr>
          <w:rFonts w:asciiTheme="minorHAnsi" w:hAnsiTheme="minorHAnsi" w:cstheme="minorHAnsi"/>
          <w:bCs/>
          <w:szCs w:val="24"/>
          <w:lang w:val="es-ES"/>
        </w:rPr>
        <w:sym w:font="Symbol" w:char="F0B7"/>
      </w:r>
      <w:r>
        <w:rPr>
          <w:rFonts w:asciiTheme="minorHAnsi" w:hAnsiTheme="minorHAnsi" w:cstheme="minorHAnsi"/>
          <w:bCs/>
          <w:szCs w:val="24"/>
          <w:lang w:val="es-ES"/>
        </w:rPr>
        <w:tab/>
      </w:r>
      <w:r w:rsidR="0059147E" w:rsidRPr="00034A95">
        <w:rPr>
          <w:rFonts w:asciiTheme="minorHAnsi" w:hAnsiTheme="minorHAnsi" w:cstheme="minorHAnsi"/>
          <w:bCs/>
          <w:szCs w:val="24"/>
          <w:lang w:val="es-ES"/>
        </w:rPr>
        <w:t xml:space="preserve">La Asamblea de Radiocomunicaciones de 2023 adoptó la </w:t>
      </w:r>
      <w:hyperlink r:id="rId13" w:history="1">
        <w:r w:rsidR="0059147E" w:rsidRPr="00034A95">
          <w:rPr>
            <w:rStyle w:val="Hyperlink"/>
            <w:rFonts w:asciiTheme="minorHAnsi" w:hAnsiTheme="minorHAnsi" w:cstheme="minorHAnsi"/>
            <w:bCs/>
            <w:szCs w:val="24"/>
            <w:lang w:val="es-ES"/>
          </w:rPr>
          <w:t>Resolución UIT-R 74</w:t>
        </w:r>
      </w:hyperlink>
      <w:r w:rsidR="0059147E" w:rsidRPr="00034A95">
        <w:rPr>
          <w:rStyle w:val="Hyperlink"/>
          <w:rFonts w:asciiTheme="minorHAnsi" w:hAnsiTheme="minorHAnsi" w:cstheme="minorHAnsi"/>
          <w:bCs/>
          <w:szCs w:val="24"/>
          <w:lang w:val="es-ES"/>
        </w:rPr>
        <w:t>,</w:t>
      </w:r>
      <w:r w:rsidR="0059147E" w:rsidRPr="00034A95">
        <w:rPr>
          <w:rFonts w:asciiTheme="minorHAnsi" w:hAnsiTheme="minorHAnsi" w:cstheme="minorHAnsi"/>
          <w:bCs/>
          <w:szCs w:val="24"/>
          <w:lang w:val="es-ES"/>
        </w:rPr>
        <w:t xml:space="preserve"> </w:t>
      </w:r>
      <w:r w:rsidR="0059147E" w:rsidRPr="003207D3">
        <w:rPr>
          <w:rFonts w:asciiTheme="minorHAnsi" w:hAnsiTheme="minorHAnsi" w:cstheme="minorBidi"/>
          <w:lang w:val="es-ES"/>
        </w:rPr>
        <w:t>Actividades</w:t>
      </w:r>
      <w:r w:rsidR="0059147E" w:rsidRPr="00034A95">
        <w:rPr>
          <w:rFonts w:asciiTheme="minorHAnsi" w:hAnsiTheme="minorHAnsi" w:cstheme="minorHAnsi"/>
          <w:bCs/>
          <w:szCs w:val="24"/>
          <w:lang w:val="es-ES"/>
        </w:rPr>
        <w:t xml:space="preserve"> relacionadas con la </w:t>
      </w:r>
      <w:r w:rsidR="0059147E">
        <w:rPr>
          <w:rFonts w:asciiTheme="minorHAnsi" w:hAnsiTheme="minorHAnsi" w:cstheme="minorHAnsi"/>
          <w:bCs/>
          <w:szCs w:val="24"/>
          <w:lang w:val="es-ES"/>
        </w:rPr>
        <w:t>utilización sostenible del espectro de frecuencias radioeléctricas y los recursos de órbita de satélite conexos utilizados por los servicios espaciales</w:t>
      </w:r>
      <w:r w:rsidR="0059147E" w:rsidRPr="00034A95">
        <w:rPr>
          <w:rFonts w:asciiTheme="minorHAnsi" w:hAnsiTheme="minorHAnsi" w:cstheme="minorHAnsi"/>
          <w:bCs/>
          <w:szCs w:val="24"/>
          <w:lang w:val="es-ES"/>
        </w:rPr>
        <w:t xml:space="preserve">. </w:t>
      </w:r>
    </w:p>
    <w:p w14:paraId="326034A6" w14:textId="201D8BC4" w:rsidR="0059147E" w:rsidRPr="00034A95" w:rsidRDefault="003207D3" w:rsidP="003207D3">
      <w:pPr>
        <w:pStyle w:val="enumlev1"/>
        <w:rPr>
          <w:rFonts w:asciiTheme="minorHAnsi" w:hAnsiTheme="minorHAnsi" w:cstheme="minorHAnsi"/>
          <w:b/>
          <w:szCs w:val="24"/>
          <w:lang w:val="es-ES"/>
        </w:rPr>
      </w:pPr>
      <w:r>
        <w:rPr>
          <w:rFonts w:asciiTheme="minorHAnsi" w:hAnsiTheme="minorHAnsi" w:cstheme="minorHAnsi"/>
          <w:bCs/>
          <w:szCs w:val="24"/>
          <w:lang w:val="es-ES"/>
        </w:rPr>
        <w:sym w:font="Symbol" w:char="F0B7"/>
      </w:r>
      <w:r>
        <w:rPr>
          <w:rFonts w:asciiTheme="minorHAnsi" w:hAnsiTheme="minorHAnsi" w:cstheme="minorHAnsi"/>
          <w:bCs/>
          <w:szCs w:val="24"/>
          <w:lang w:val="es-ES"/>
        </w:rPr>
        <w:tab/>
      </w:r>
      <w:r w:rsidR="0059147E" w:rsidRPr="00034A95">
        <w:rPr>
          <w:rFonts w:asciiTheme="minorHAnsi" w:hAnsiTheme="minorHAnsi" w:cstheme="minorHAnsi"/>
          <w:szCs w:val="24"/>
          <w:lang w:val="es-ES"/>
        </w:rPr>
        <w:t xml:space="preserve">Por encargo de esa misma Resolución se ha creado y </w:t>
      </w:r>
      <w:r w:rsidR="0059147E">
        <w:rPr>
          <w:rFonts w:asciiTheme="minorHAnsi" w:hAnsiTheme="minorHAnsi" w:cstheme="minorHAnsi"/>
          <w:szCs w:val="24"/>
          <w:lang w:val="es-ES"/>
        </w:rPr>
        <w:t>puesto a disposición una página web dedicada la</w:t>
      </w:r>
      <w:r w:rsidR="0059147E" w:rsidRPr="00034A95">
        <w:rPr>
          <w:rFonts w:asciiTheme="minorHAnsi" w:hAnsiTheme="minorHAnsi" w:cstheme="minorHAnsi"/>
          <w:szCs w:val="24"/>
          <w:lang w:val="es-ES"/>
        </w:rPr>
        <w:t xml:space="preserve"> "</w:t>
      </w:r>
      <w:hyperlink r:id="rId14" w:history="1">
        <w:r w:rsidR="0059147E">
          <w:rPr>
            <w:rStyle w:val="Hyperlink"/>
            <w:rFonts w:asciiTheme="minorHAnsi" w:hAnsiTheme="minorHAnsi" w:cstheme="minorHAnsi"/>
            <w:szCs w:val="24"/>
            <w:lang w:val="es-ES"/>
          </w:rPr>
          <w:t>Pasarela de sostenibilidad espacial</w:t>
        </w:r>
      </w:hyperlink>
      <w:r w:rsidR="00313A2A">
        <w:rPr>
          <w:rFonts w:asciiTheme="minorHAnsi" w:hAnsiTheme="minorHAnsi" w:cstheme="minorHAnsi"/>
          <w:szCs w:val="24"/>
          <w:lang w:val="es-ES"/>
        </w:rPr>
        <w:t>"</w:t>
      </w:r>
      <w:r w:rsidR="0059147E" w:rsidRPr="00034A95">
        <w:rPr>
          <w:rFonts w:asciiTheme="minorHAnsi" w:hAnsiTheme="minorHAnsi" w:cstheme="minorHAnsi"/>
          <w:szCs w:val="24"/>
          <w:lang w:val="es-ES"/>
        </w:rPr>
        <w:t>.</w:t>
      </w:r>
    </w:p>
    <w:p w14:paraId="2FD081D2" w14:textId="612302BA" w:rsidR="0059147E" w:rsidRPr="00034A95" w:rsidRDefault="003207D3" w:rsidP="003207D3">
      <w:pPr>
        <w:pStyle w:val="enumlev1"/>
        <w:rPr>
          <w:rFonts w:asciiTheme="minorHAnsi" w:hAnsiTheme="minorHAnsi" w:cstheme="minorHAnsi"/>
          <w:b/>
          <w:szCs w:val="24"/>
          <w:lang w:val="es-ES"/>
        </w:rPr>
      </w:pPr>
      <w:r>
        <w:rPr>
          <w:rFonts w:asciiTheme="minorHAnsi" w:hAnsiTheme="minorHAnsi" w:cstheme="minorHAnsi"/>
          <w:bCs/>
          <w:szCs w:val="24"/>
          <w:lang w:val="es-ES"/>
        </w:rPr>
        <w:sym w:font="Symbol" w:char="F0B7"/>
      </w:r>
      <w:r>
        <w:rPr>
          <w:rFonts w:asciiTheme="minorHAnsi" w:hAnsiTheme="minorHAnsi" w:cstheme="minorHAnsi"/>
          <w:bCs/>
          <w:szCs w:val="24"/>
          <w:lang w:val="es-ES"/>
        </w:rPr>
        <w:tab/>
      </w:r>
      <w:r w:rsidR="0059147E" w:rsidRPr="00034A95">
        <w:rPr>
          <w:rFonts w:asciiTheme="minorHAnsi" w:hAnsiTheme="minorHAnsi" w:cstheme="minorHAnsi"/>
          <w:szCs w:val="24"/>
          <w:lang w:val="es-ES"/>
        </w:rPr>
        <w:t xml:space="preserve">En paralelo, se publicó la </w:t>
      </w:r>
      <w:hyperlink r:id="rId15" w:history="1">
        <w:r w:rsidR="0059147E" w:rsidRPr="00034A95">
          <w:rPr>
            <w:rStyle w:val="Hyperlink"/>
            <w:rFonts w:asciiTheme="minorHAnsi" w:hAnsiTheme="minorHAnsi" w:cstheme="minorHAnsi"/>
            <w:szCs w:val="24"/>
            <w:lang w:val="es-ES"/>
          </w:rPr>
          <w:t>Carta Circular CA/272</w:t>
        </w:r>
      </w:hyperlink>
      <w:r w:rsidR="0059147E" w:rsidRPr="00034A95">
        <w:rPr>
          <w:rFonts w:asciiTheme="minorHAnsi" w:hAnsiTheme="minorHAnsi" w:cstheme="minorHAnsi"/>
          <w:szCs w:val="24"/>
          <w:lang w:val="es-ES"/>
        </w:rPr>
        <w:t xml:space="preserve"> mediante la que se invita a todos los </w:t>
      </w:r>
      <w:r w:rsidR="0059147E" w:rsidRPr="003207D3">
        <w:rPr>
          <w:rFonts w:asciiTheme="minorHAnsi" w:hAnsiTheme="minorHAnsi" w:cstheme="minorBidi"/>
          <w:lang w:val="es-ES"/>
        </w:rPr>
        <w:t>Miembros</w:t>
      </w:r>
      <w:r w:rsidR="0059147E">
        <w:rPr>
          <w:rFonts w:asciiTheme="minorHAnsi" w:hAnsiTheme="minorHAnsi" w:cstheme="minorHAnsi"/>
          <w:szCs w:val="24"/>
          <w:lang w:val="es-ES"/>
        </w:rPr>
        <w:t xml:space="preserve"> de la UIT a facilitar información pertinente a fin de alimentar la Pasarela de sostenibilidad espacial. </w:t>
      </w:r>
      <w:r w:rsidR="0059147E" w:rsidRPr="002D2E23">
        <w:rPr>
          <w:rFonts w:asciiTheme="minorHAnsi" w:hAnsiTheme="minorHAnsi" w:cstheme="minorHAnsi"/>
          <w:szCs w:val="24"/>
          <w:lang w:val="es-ES"/>
        </w:rPr>
        <w:t xml:space="preserve">Ya se han recibido y publicado las primeras respuestas. </w:t>
      </w:r>
      <w:r w:rsidR="0059147E" w:rsidRPr="00034A95">
        <w:rPr>
          <w:rFonts w:asciiTheme="minorHAnsi" w:hAnsiTheme="minorHAnsi" w:cstheme="minorHAnsi"/>
          <w:szCs w:val="24"/>
          <w:lang w:val="es-ES"/>
        </w:rPr>
        <w:t>Se ha invitado a los Miembros de</w:t>
      </w:r>
      <w:r w:rsidR="0059147E">
        <w:rPr>
          <w:rFonts w:asciiTheme="minorHAnsi" w:hAnsiTheme="minorHAnsi" w:cstheme="minorHAnsi"/>
          <w:szCs w:val="24"/>
          <w:lang w:val="es-ES"/>
        </w:rPr>
        <w:t xml:space="preserve"> </w:t>
      </w:r>
      <w:r w:rsidR="0059147E" w:rsidRPr="00034A95">
        <w:rPr>
          <w:rFonts w:asciiTheme="minorHAnsi" w:hAnsiTheme="minorHAnsi" w:cstheme="minorHAnsi"/>
          <w:szCs w:val="24"/>
          <w:lang w:val="es-ES"/>
        </w:rPr>
        <w:t>la UIT a seguir facilitando información pertinente sobre este tema.</w:t>
      </w:r>
    </w:p>
    <w:p w14:paraId="6D1133FF" w14:textId="368A6EE4" w:rsidR="0059147E" w:rsidRPr="00034A95" w:rsidRDefault="003207D3" w:rsidP="00313A2A">
      <w:pPr>
        <w:pStyle w:val="enumlev1"/>
        <w:keepNext/>
        <w:keepLines/>
        <w:rPr>
          <w:rFonts w:asciiTheme="minorHAnsi" w:hAnsiTheme="minorHAnsi" w:cstheme="minorHAnsi"/>
          <w:b/>
          <w:szCs w:val="24"/>
          <w:lang w:val="es-ES"/>
        </w:rPr>
      </w:pPr>
      <w:r>
        <w:rPr>
          <w:rFonts w:asciiTheme="minorHAnsi" w:hAnsiTheme="minorHAnsi" w:cstheme="minorHAnsi"/>
          <w:bCs/>
          <w:szCs w:val="24"/>
          <w:lang w:val="es-ES"/>
        </w:rPr>
        <w:lastRenderedPageBreak/>
        <w:sym w:font="Symbol" w:char="F0B7"/>
      </w:r>
      <w:r>
        <w:rPr>
          <w:rFonts w:asciiTheme="minorHAnsi" w:hAnsiTheme="minorHAnsi" w:cstheme="minorHAnsi"/>
          <w:bCs/>
          <w:szCs w:val="24"/>
          <w:lang w:val="es-ES"/>
        </w:rPr>
        <w:tab/>
      </w:r>
      <w:r w:rsidR="0059147E" w:rsidRPr="00034A95">
        <w:rPr>
          <w:rFonts w:asciiTheme="minorHAnsi" w:hAnsiTheme="minorHAnsi" w:cstheme="minorHAnsi"/>
          <w:szCs w:val="24"/>
          <w:lang w:val="es-ES"/>
        </w:rPr>
        <w:t xml:space="preserve">Está previsto celebrar un Foro para hacer inventario de las primeras respuestas </w:t>
      </w:r>
      <w:r w:rsidR="0059147E" w:rsidRPr="003207D3">
        <w:rPr>
          <w:rFonts w:asciiTheme="minorHAnsi" w:hAnsiTheme="minorHAnsi" w:cstheme="minorBidi"/>
          <w:lang w:val="es-ES"/>
        </w:rPr>
        <w:t>recibidas</w:t>
      </w:r>
      <w:r w:rsidR="0059147E" w:rsidRPr="00034A95">
        <w:rPr>
          <w:rFonts w:asciiTheme="minorHAnsi" w:hAnsiTheme="minorHAnsi" w:cstheme="minorHAnsi"/>
          <w:szCs w:val="24"/>
          <w:lang w:val="es-ES"/>
        </w:rPr>
        <w:t xml:space="preserve"> con a</w:t>
      </w:r>
      <w:r w:rsidR="0059147E">
        <w:rPr>
          <w:rFonts w:asciiTheme="minorHAnsi" w:hAnsiTheme="minorHAnsi" w:cstheme="minorHAnsi"/>
          <w:szCs w:val="24"/>
          <w:lang w:val="es-ES"/>
        </w:rPr>
        <w:t>rreglo a la Carta Circular los días 10 y 11 de septiembre de</w:t>
      </w:r>
      <w:r w:rsidR="0059147E" w:rsidRPr="00034A95">
        <w:rPr>
          <w:rFonts w:asciiTheme="minorHAnsi" w:hAnsiTheme="minorHAnsi" w:cstheme="minorHAnsi"/>
          <w:szCs w:val="24"/>
          <w:lang w:val="es-ES"/>
        </w:rPr>
        <w:t xml:space="preserve"> 2024. </w:t>
      </w:r>
    </w:p>
    <w:bookmarkEnd w:id="3"/>
    <w:p w14:paraId="769DCDC0" w14:textId="77777777" w:rsidR="0059147E" w:rsidRPr="002D2E23" w:rsidRDefault="0059147E" w:rsidP="00313A2A">
      <w:pPr>
        <w:pStyle w:val="Heading4"/>
        <w:spacing w:before="840"/>
        <w:ind w:left="0" w:firstLine="0"/>
        <w:rPr>
          <w:rFonts w:asciiTheme="minorHAnsi" w:hAnsiTheme="minorHAnsi" w:cstheme="minorHAnsi"/>
          <w:b w:val="0"/>
          <w:bCs/>
          <w:i/>
          <w:iCs/>
          <w:lang w:val="es-ES"/>
        </w:rPr>
      </w:pPr>
      <w:r w:rsidRPr="002D2E23">
        <w:rPr>
          <w:rFonts w:asciiTheme="minorHAnsi" w:hAnsiTheme="minorHAnsi" w:cstheme="minorHAnsi"/>
          <w:i/>
          <w:iCs/>
          <w:lang w:val="es-ES"/>
        </w:rPr>
        <w:t>Anexos</w:t>
      </w:r>
      <w:r w:rsidRPr="002D2E23">
        <w:rPr>
          <w:rFonts w:asciiTheme="minorHAnsi" w:hAnsiTheme="minorHAnsi" w:cstheme="minorHAnsi"/>
          <w:b w:val="0"/>
          <w:bCs/>
          <w:i/>
          <w:iCs/>
          <w:lang w:val="es-ES"/>
        </w:rPr>
        <w:t>: 3</w:t>
      </w:r>
    </w:p>
    <w:p w14:paraId="1EEB2C4C" w14:textId="77777777" w:rsidR="0059147E" w:rsidRPr="002D2E23" w:rsidRDefault="0059147E" w:rsidP="00313A2A">
      <w:pPr>
        <w:pStyle w:val="Heading4"/>
        <w:spacing w:before="120"/>
        <w:ind w:left="0" w:firstLine="0"/>
        <w:rPr>
          <w:rFonts w:ascii="Times New Roman" w:hAnsi="Times New Roman"/>
          <w:b w:val="0"/>
          <w:bCs/>
          <w:lang w:val="es-ES"/>
        </w:rPr>
      </w:pPr>
      <w:r w:rsidRPr="002D2E23">
        <w:rPr>
          <w:lang w:val="es-ES"/>
        </w:rPr>
        <w:br w:type="page"/>
      </w:r>
    </w:p>
    <w:p w14:paraId="3F0F28AA" w14:textId="77777777" w:rsidR="0059147E" w:rsidRPr="002D2E23" w:rsidRDefault="0059147E" w:rsidP="00313A2A">
      <w:pPr>
        <w:pStyle w:val="AnnexNo"/>
        <w:rPr>
          <w:lang w:val="es-ES"/>
        </w:rPr>
      </w:pPr>
      <w:bookmarkStart w:id="4" w:name="Annex1"/>
      <w:r w:rsidRPr="002D2E23">
        <w:rPr>
          <w:lang w:val="es-ES"/>
        </w:rPr>
        <w:lastRenderedPageBreak/>
        <w:t>AnexO 1</w:t>
      </w:r>
      <w:bookmarkEnd w:id="4"/>
    </w:p>
    <w:p w14:paraId="4397DF6B" w14:textId="77777777" w:rsidR="0059147E" w:rsidRPr="00E8117A" w:rsidRDefault="0059147E" w:rsidP="0059147E">
      <w:pPr>
        <w:pStyle w:val="Annextitle"/>
        <w:rPr>
          <w:lang w:val="es-ES"/>
        </w:rPr>
      </w:pPr>
      <w:r w:rsidRPr="00E8117A">
        <w:rPr>
          <w:lang w:val="es-ES"/>
        </w:rPr>
        <w:t xml:space="preserve">Situación de los Planes regidos por los Apéndices 30, 30A y 30B </w:t>
      </w:r>
      <w:r>
        <w:rPr>
          <w:lang w:val="es-ES"/>
        </w:rPr>
        <w:t>del Reglamento de Radiocomunicaciones</w:t>
      </w:r>
    </w:p>
    <w:p w14:paraId="3462E7A9" w14:textId="77777777" w:rsidR="0059147E" w:rsidRPr="00E8117A" w:rsidRDefault="0059147E" w:rsidP="00313A2A">
      <w:pPr>
        <w:pStyle w:val="Headingb"/>
        <w:rPr>
          <w:rFonts w:asciiTheme="minorHAnsi" w:hAnsiTheme="minorHAnsi" w:cstheme="minorHAnsi"/>
          <w:lang w:val="es-ES"/>
        </w:rPr>
      </w:pPr>
      <w:r w:rsidRPr="00313A2A">
        <w:rPr>
          <w:lang w:val="es-ES"/>
        </w:rPr>
        <w:t>Introducción</w:t>
      </w:r>
    </w:p>
    <w:p w14:paraId="515E056D" w14:textId="2582C55C" w:rsidR="0059147E" w:rsidRPr="00E8117A" w:rsidRDefault="0059147E" w:rsidP="006719C2">
      <w:pPr>
        <w:rPr>
          <w:rFonts w:asciiTheme="minorHAnsi" w:hAnsiTheme="minorHAnsi" w:cstheme="minorHAnsi"/>
          <w:szCs w:val="24"/>
          <w:lang w:val="es-ES"/>
        </w:rPr>
      </w:pPr>
      <w:r w:rsidRPr="00E8117A">
        <w:rPr>
          <w:lang w:val="es-ES"/>
        </w:rPr>
        <w:t xml:space="preserve">En la Resolución 218,"Función de la UIT en la aplicación de la Agenda Espacio 2030: el espacio como motor del desarrollo sostenible, así como de sus procesos de seguimiento y examen" se encarga al Secretario General y a los Directores de las Oficinas "que presenten anualmente al Consejo de la UIT un informe completo sobre la situación de los Planes regidos por los Apéndices </w:t>
      </w:r>
      <w:r w:rsidRPr="00E8117A">
        <w:rPr>
          <w:b/>
          <w:bCs/>
          <w:lang w:val="es-ES"/>
        </w:rPr>
        <w:t>30</w:t>
      </w:r>
      <w:r w:rsidRPr="00E8117A">
        <w:rPr>
          <w:lang w:val="es-ES"/>
        </w:rPr>
        <w:t xml:space="preserve">, </w:t>
      </w:r>
      <w:r w:rsidRPr="00E8117A">
        <w:rPr>
          <w:b/>
          <w:bCs/>
          <w:lang w:val="es-ES"/>
        </w:rPr>
        <w:t>30A</w:t>
      </w:r>
      <w:r w:rsidRPr="00E8117A">
        <w:rPr>
          <w:lang w:val="es-ES"/>
        </w:rPr>
        <w:t xml:space="preserve"> y </w:t>
      </w:r>
      <w:r w:rsidRPr="00E8117A">
        <w:rPr>
          <w:b/>
          <w:bCs/>
          <w:lang w:val="es-ES"/>
        </w:rPr>
        <w:t>30B</w:t>
      </w:r>
      <w:r w:rsidRPr="00E8117A">
        <w:rPr>
          <w:lang w:val="es-ES"/>
        </w:rPr>
        <w:t xml:space="preserve"> del Reglamento de Radiocomunicaciones, destacando la situación de los países en desarrollo y cualquier reto relacionado con la aplicación de dichos Planes, como la evolución de las situaciones de referencia de las distintas asignaciones de frecuencias y adjudicaciones, incluida cualquier dificultad y problema que la BR haya encontrado en la aplicación de estos Planes, así como los problemas comunicados por las administraciones a la BR" (véase el </w:t>
      </w:r>
      <w:r w:rsidRPr="00E8117A">
        <w:rPr>
          <w:i/>
          <w:iCs/>
          <w:lang w:val="es-ES"/>
        </w:rPr>
        <w:t>encarga</w:t>
      </w:r>
      <w:r w:rsidRPr="00E8117A">
        <w:rPr>
          <w:lang w:val="es-ES"/>
        </w:rPr>
        <w:t xml:space="preserve"> 2)</w:t>
      </w:r>
      <w:r w:rsidRPr="00E8117A">
        <w:rPr>
          <w:rFonts w:asciiTheme="minorHAnsi" w:hAnsiTheme="minorHAnsi" w:cstheme="minorHAnsi"/>
          <w:szCs w:val="24"/>
          <w:lang w:val="es-ES"/>
        </w:rPr>
        <w:t xml:space="preserve">. </w:t>
      </w:r>
    </w:p>
    <w:p w14:paraId="1F0307EF" w14:textId="77777777" w:rsidR="0059147E" w:rsidRPr="00E8117A" w:rsidRDefault="0059147E" w:rsidP="006719C2">
      <w:pPr>
        <w:rPr>
          <w:rFonts w:asciiTheme="minorHAnsi" w:hAnsiTheme="minorHAnsi" w:cstheme="minorHAnsi"/>
          <w:lang w:val="es-ES"/>
        </w:rPr>
      </w:pPr>
      <w:r w:rsidRPr="00E8117A">
        <w:rPr>
          <w:lang w:val="es-ES"/>
        </w:rPr>
        <w:t xml:space="preserve">En el presente informe se resume la situación de los Planes Espaciales a finales de </w:t>
      </w:r>
      <w:r>
        <w:rPr>
          <w:lang w:val="es-ES"/>
        </w:rPr>
        <w:t>febrero de 2024</w:t>
      </w:r>
      <w:r w:rsidRPr="00E8117A">
        <w:rPr>
          <w:lang w:val="es-ES"/>
        </w:rPr>
        <w:t xml:space="preserve"> y se ofrece información sobre otras cuestiones relacionadas. Se divide en dos partes: la Parte I presenta información sobre el servicio de radiodifusión por satélite y los Planes de enlaces de conexión asociados de los Apéndices </w:t>
      </w:r>
      <w:r w:rsidRPr="00E8117A">
        <w:rPr>
          <w:b/>
          <w:bCs/>
          <w:lang w:val="es-ES"/>
        </w:rPr>
        <w:t>30</w:t>
      </w:r>
      <w:r w:rsidRPr="00E8117A">
        <w:rPr>
          <w:lang w:val="es-ES"/>
        </w:rPr>
        <w:t xml:space="preserve"> y </w:t>
      </w:r>
      <w:r w:rsidRPr="00E8117A">
        <w:rPr>
          <w:b/>
          <w:bCs/>
          <w:lang w:val="es-ES"/>
        </w:rPr>
        <w:t>30A</w:t>
      </w:r>
      <w:r w:rsidRPr="00E8117A">
        <w:rPr>
          <w:lang w:val="es-ES"/>
        </w:rPr>
        <w:t xml:space="preserve">. La Parte II expone la situación del Plan del servicio fijo por satélite en el Apéndice </w:t>
      </w:r>
      <w:r w:rsidRPr="00E8117A">
        <w:rPr>
          <w:b/>
          <w:bCs/>
          <w:lang w:val="es-ES"/>
        </w:rPr>
        <w:t>30B</w:t>
      </w:r>
      <w:r w:rsidRPr="00E8117A">
        <w:rPr>
          <w:rFonts w:asciiTheme="minorHAnsi" w:hAnsiTheme="minorHAnsi" w:cstheme="minorHAnsi"/>
          <w:szCs w:val="24"/>
          <w:lang w:val="es-ES"/>
        </w:rPr>
        <w:t>.</w:t>
      </w:r>
    </w:p>
    <w:p w14:paraId="52540D6D" w14:textId="77777777" w:rsidR="0059147E" w:rsidRPr="00E8117A" w:rsidRDefault="0059147E" w:rsidP="00313A2A">
      <w:pPr>
        <w:pStyle w:val="Parttitle"/>
        <w:rPr>
          <w:lang w:val="es-ES"/>
        </w:rPr>
      </w:pPr>
      <w:r w:rsidRPr="00E8117A">
        <w:rPr>
          <w:lang w:val="es-ES"/>
        </w:rPr>
        <w:t xml:space="preserve">Parte I – Planes del servicio de radiodifusión por satélite y los enlaces de conexión </w:t>
      </w:r>
      <w:r>
        <w:rPr>
          <w:lang w:val="es-ES"/>
        </w:rPr>
        <w:t>asociados de los Apéndices</w:t>
      </w:r>
      <w:r w:rsidRPr="00E8117A">
        <w:rPr>
          <w:lang w:val="es-ES"/>
        </w:rPr>
        <w:t xml:space="preserve"> 30 </w:t>
      </w:r>
      <w:r>
        <w:rPr>
          <w:lang w:val="es-ES"/>
        </w:rPr>
        <w:t>y</w:t>
      </w:r>
      <w:r w:rsidRPr="00E8117A">
        <w:rPr>
          <w:lang w:val="es-ES"/>
        </w:rPr>
        <w:t xml:space="preserve"> 30A </w:t>
      </w:r>
      <w:r>
        <w:rPr>
          <w:lang w:val="es-ES"/>
        </w:rPr>
        <w:t>del Reglamento de Radiocomunicaciones</w:t>
      </w:r>
    </w:p>
    <w:p w14:paraId="7D93F1E0" w14:textId="7C313511" w:rsidR="0059147E" w:rsidRPr="00E8117A" w:rsidRDefault="0059147E" w:rsidP="00313A2A">
      <w:pPr>
        <w:pStyle w:val="Heading1"/>
        <w:rPr>
          <w:lang w:val="es-ES"/>
        </w:rPr>
      </w:pPr>
      <w:r w:rsidRPr="00E8117A">
        <w:rPr>
          <w:lang w:val="es-ES"/>
        </w:rPr>
        <w:t>1</w:t>
      </w:r>
      <w:r w:rsidRPr="00E8117A">
        <w:rPr>
          <w:lang w:val="es-ES"/>
        </w:rPr>
        <w:tab/>
        <w:t xml:space="preserve">Situación de los Planes regidos por los Apéndices 30 y 30A </w:t>
      </w:r>
      <w:r>
        <w:rPr>
          <w:lang w:val="es-ES"/>
        </w:rPr>
        <w:t>en las Regiones 1 y 3</w:t>
      </w:r>
    </w:p>
    <w:p w14:paraId="2FB31211" w14:textId="43B4FB89" w:rsidR="0059147E" w:rsidRPr="00C21B1B" w:rsidRDefault="00313A2A" w:rsidP="00313A2A">
      <w:pPr>
        <w:pStyle w:val="Heading2"/>
      </w:pPr>
      <w:r>
        <w:t>1.1</w:t>
      </w:r>
      <w:r>
        <w:tab/>
      </w:r>
      <w:r w:rsidR="0059147E">
        <w:t>Generalidades</w:t>
      </w:r>
      <w:r w:rsidR="0059147E" w:rsidRPr="00C21B1B">
        <w:t xml:space="preserve"> </w:t>
      </w:r>
    </w:p>
    <w:p w14:paraId="03C8DB0A" w14:textId="77777777" w:rsidR="0059147E" w:rsidRPr="00E8117A" w:rsidRDefault="0059147E" w:rsidP="006719C2">
      <w:pPr>
        <w:rPr>
          <w:rFonts w:asciiTheme="minorHAnsi" w:hAnsiTheme="minorHAnsi" w:cstheme="minorHAnsi"/>
          <w:szCs w:val="24"/>
          <w:lang w:val="es-ES"/>
        </w:rPr>
      </w:pPr>
      <w:r w:rsidRPr="00E8117A">
        <w:rPr>
          <w:lang w:val="es-ES"/>
        </w:rPr>
        <w:t xml:space="preserve">El Plan del Apéndice </w:t>
      </w:r>
      <w:r w:rsidRPr="00E8117A">
        <w:rPr>
          <w:b/>
          <w:bCs/>
          <w:lang w:val="es-ES"/>
        </w:rPr>
        <w:t>30</w:t>
      </w:r>
      <w:r w:rsidRPr="00E8117A">
        <w:rPr>
          <w:lang w:val="es-ES"/>
        </w:rPr>
        <w:t xml:space="preserve"> en las Regiones 1 y 3 es un Plan para el servicio de radiodifusión por satélite (SRS) en las bandas de frecuencias 11,7-12,2 GHz en la Región 3 y 11,7-12,5 GHz en la Región 1. El Plan del Apéndice </w:t>
      </w:r>
      <w:r w:rsidRPr="00E8117A">
        <w:rPr>
          <w:b/>
          <w:bCs/>
          <w:lang w:val="es-ES"/>
        </w:rPr>
        <w:t>30A</w:t>
      </w:r>
      <w:r w:rsidRPr="00E8117A">
        <w:rPr>
          <w:lang w:val="es-ES"/>
        </w:rPr>
        <w:t xml:space="preserve"> en las Regiones 1 y 3 es un Plan para los enlaces de conexión del SRS en las bandas de frecuencias 17,3-18,1 GHz en las Regiones 1 y 3 y 14,5</w:t>
      </w:r>
      <w:r w:rsidRPr="00E8117A">
        <w:rPr>
          <w:lang w:val="es-ES"/>
        </w:rPr>
        <w:noBreakHyphen/>
        <w:t>14,8 GHz para los países situados fuera de Europa</w:t>
      </w:r>
      <w:r w:rsidRPr="00E8117A">
        <w:rPr>
          <w:rFonts w:asciiTheme="minorHAnsi" w:hAnsiTheme="minorHAnsi" w:cstheme="minorHAnsi"/>
          <w:szCs w:val="24"/>
          <w:lang w:val="es-ES"/>
        </w:rPr>
        <w:t xml:space="preserve">. </w:t>
      </w:r>
    </w:p>
    <w:p w14:paraId="4B87BF56" w14:textId="0B841A99" w:rsidR="0059147E" w:rsidRPr="00E8117A" w:rsidRDefault="0059147E" w:rsidP="006719C2">
      <w:pPr>
        <w:rPr>
          <w:rFonts w:asciiTheme="minorHAnsi" w:hAnsiTheme="minorHAnsi" w:cstheme="minorHAnsi"/>
          <w:szCs w:val="24"/>
          <w:lang w:val="es-ES"/>
        </w:rPr>
      </w:pPr>
      <w:r w:rsidRPr="00E8117A">
        <w:rPr>
          <w:lang w:val="es-ES"/>
        </w:rPr>
        <w:t xml:space="preserve">La CMR-2000 realizó una replanificación satisfactoria de los Planes de los Apéndices </w:t>
      </w:r>
      <w:r w:rsidRPr="00E8117A">
        <w:rPr>
          <w:b/>
          <w:bCs/>
          <w:lang w:val="es-ES"/>
        </w:rPr>
        <w:t>30</w:t>
      </w:r>
      <w:r w:rsidRPr="00E8117A">
        <w:rPr>
          <w:lang w:val="es-ES"/>
        </w:rPr>
        <w:t xml:space="preserve"> y </w:t>
      </w:r>
      <w:r w:rsidRPr="00E8117A">
        <w:rPr>
          <w:b/>
          <w:bCs/>
          <w:lang w:val="es-ES"/>
        </w:rPr>
        <w:t>30A</w:t>
      </w:r>
      <w:r w:rsidRPr="00E8117A">
        <w:rPr>
          <w:lang w:val="es-ES"/>
        </w:rPr>
        <w:t xml:space="preserve"> en las Regiones 1 y 3. Desde entonces, se han ido incorporando a las Listas de estos Apéndices cada vez más asignaciones para usos adicionales recurriendo a una creciente aplicación del "acuerdo implícito". En consecuencia, las situaciones de referencia (margen de protección equivalente, MPE) de la mayoría de las asignaciones inscritas en los Planes de las Regiones 1</w:t>
      </w:r>
      <w:r w:rsidR="006719C2">
        <w:rPr>
          <w:lang w:val="es-ES"/>
        </w:rPr>
        <w:t> </w:t>
      </w:r>
      <w:r w:rsidRPr="00E8117A">
        <w:rPr>
          <w:lang w:val="es-ES"/>
        </w:rPr>
        <w:t>y</w:t>
      </w:r>
      <w:r w:rsidR="006719C2">
        <w:rPr>
          <w:lang w:val="es-ES"/>
        </w:rPr>
        <w:t> </w:t>
      </w:r>
      <w:r w:rsidRPr="00E8117A">
        <w:rPr>
          <w:lang w:val="es-ES"/>
        </w:rPr>
        <w:t>3 se han ido degradando con el tiempo</w:t>
      </w:r>
      <w:r w:rsidRPr="00E8117A">
        <w:rPr>
          <w:rFonts w:asciiTheme="minorHAnsi" w:hAnsiTheme="minorHAnsi" w:cstheme="minorHAnsi"/>
          <w:szCs w:val="24"/>
          <w:lang w:val="es-ES"/>
        </w:rPr>
        <w:t xml:space="preserve">. </w:t>
      </w:r>
    </w:p>
    <w:p w14:paraId="31C422A1" w14:textId="77777777" w:rsidR="0059147E" w:rsidRPr="00E8117A" w:rsidRDefault="0059147E" w:rsidP="006719C2">
      <w:pPr>
        <w:rPr>
          <w:rFonts w:asciiTheme="minorHAnsi" w:hAnsiTheme="minorHAnsi" w:cstheme="minorHAnsi"/>
          <w:szCs w:val="24"/>
          <w:lang w:val="es-ES"/>
        </w:rPr>
      </w:pPr>
      <w:r w:rsidRPr="00E8117A">
        <w:rPr>
          <w:lang w:val="es-ES"/>
        </w:rPr>
        <w:t xml:space="preserve">La CMR-19 adoptó la Resolución </w:t>
      </w:r>
      <w:r w:rsidRPr="00E8117A">
        <w:rPr>
          <w:b/>
          <w:bCs/>
          <w:lang w:val="es-ES"/>
        </w:rPr>
        <w:t>559 (CMR-19)</w:t>
      </w:r>
      <w:r w:rsidRPr="00E8117A">
        <w:rPr>
          <w:lang w:val="es-ES"/>
        </w:rPr>
        <w:t xml:space="preserve"> con el fin de brindar a algunas Administraciones de las Regiones 1 y 3 la posibilidad de presentar nuevas asignaciones de frecuencia para reemplazar sus asignaciones de frecuencias nacionales degradadas en los </w:t>
      </w:r>
      <w:r w:rsidRPr="00E8117A">
        <w:rPr>
          <w:lang w:val="es-ES"/>
        </w:rPr>
        <w:lastRenderedPageBreak/>
        <w:t xml:space="preserve">Planes de los Apéndices </w:t>
      </w:r>
      <w:r w:rsidRPr="00E8117A">
        <w:rPr>
          <w:b/>
          <w:bCs/>
          <w:lang w:val="es-ES"/>
        </w:rPr>
        <w:t>30</w:t>
      </w:r>
      <w:r w:rsidRPr="00E8117A">
        <w:rPr>
          <w:lang w:val="es-ES"/>
        </w:rPr>
        <w:t xml:space="preserve"> y </w:t>
      </w:r>
      <w:r w:rsidRPr="00E8117A">
        <w:rPr>
          <w:b/>
          <w:bCs/>
          <w:lang w:val="es-ES"/>
        </w:rPr>
        <w:t>30A</w:t>
      </w:r>
      <w:r w:rsidRPr="00E8117A">
        <w:rPr>
          <w:lang w:val="es-ES"/>
        </w:rPr>
        <w:t xml:space="preserve">. Un total de 45 Administraciones admisibles enviaron sus solicitudes con arreglo a la Resolución </w:t>
      </w:r>
      <w:r w:rsidRPr="00E8117A">
        <w:rPr>
          <w:b/>
          <w:bCs/>
          <w:lang w:val="es-ES"/>
        </w:rPr>
        <w:t>559 (CMR-19)</w:t>
      </w:r>
      <w:r>
        <w:rPr>
          <w:lang w:val="es-ES"/>
        </w:rPr>
        <w:t xml:space="preserve"> </w:t>
      </w:r>
      <w:r w:rsidRPr="00E8117A">
        <w:rPr>
          <w:lang w:val="es-ES"/>
        </w:rPr>
        <w:t xml:space="preserve">y 41 Administraciones </w:t>
      </w:r>
      <w:r>
        <w:rPr>
          <w:lang w:val="es-ES"/>
        </w:rPr>
        <w:t>inscribieron</w:t>
      </w:r>
      <w:r w:rsidRPr="00E8117A">
        <w:rPr>
          <w:lang w:val="es-ES"/>
        </w:rPr>
        <w:t xml:space="preserve"> exitosamente sus nuevas asignaciones en las Listas de los Apéndices </w:t>
      </w:r>
      <w:r w:rsidRPr="00E8117A">
        <w:rPr>
          <w:b/>
          <w:bCs/>
          <w:lang w:val="es-ES"/>
        </w:rPr>
        <w:t>30</w:t>
      </w:r>
      <w:r w:rsidRPr="00E8117A">
        <w:rPr>
          <w:lang w:val="es-ES"/>
        </w:rPr>
        <w:t xml:space="preserve"> y </w:t>
      </w:r>
      <w:r w:rsidRPr="00E8117A">
        <w:rPr>
          <w:b/>
          <w:bCs/>
          <w:lang w:val="es-ES"/>
        </w:rPr>
        <w:t>30</w:t>
      </w:r>
      <w:r>
        <w:rPr>
          <w:b/>
          <w:bCs/>
          <w:lang w:val="es-ES"/>
        </w:rPr>
        <w:t xml:space="preserve">A </w:t>
      </w:r>
      <w:r>
        <w:rPr>
          <w:lang w:val="es-ES"/>
        </w:rPr>
        <w:t>y posteriormente enviaron sus solicitudes de inclusión en los Planes a la CMR-23</w:t>
      </w:r>
      <w:r w:rsidRPr="00E8117A">
        <w:rPr>
          <w:rFonts w:asciiTheme="minorHAnsi" w:hAnsiTheme="minorHAnsi" w:cstheme="minorHAnsi"/>
          <w:szCs w:val="24"/>
          <w:lang w:val="es-ES"/>
        </w:rPr>
        <w:t>.</w:t>
      </w:r>
    </w:p>
    <w:p w14:paraId="4C7152E7" w14:textId="77777777" w:rsidR="0059147E" w:rsidRPr="00E8117A" w:rsidRDefault="0059147E" w:rsidP="006719C2">
      <w:pPr>
        <w:rPr>
          <w:rFonts w:asciiTheme="minorHAnsi" w:hAnsiTheme="minorHAnsi" w:cstheme="minorBidi"/>
          <w:lang w:val="es-ES"/>
        </w:rPr>
      </w:pPr>
      <w:r w:rsidRPr="00E8117A">
        <w:rPr>
          <w:rFonts w:asciiTheme="minorHAnsi" w:hAnsiTheme="minorHAnsi" w:cstheme="minorBidi"/>
          <w:lang w:val="es-ES"/>
        </w:rPr>
        <w:t>La CMR-23 accedió a las solicitudes de esas 41 administraciones. Como resultado, se sustituyeron las correspondientes 40 asignaciones de frecuencias naci</w:t>
      </w:r>
      <w:r>
        <w:rPr>
          <w:rFonts w:asciiTheme="minorHAnsi" w:hAnsiTheme="minorHAnsi" w:cstheme="minorBidi"/>
          <w:lang w:val="es-ES"/>
        </w:rPr>
        <w:t>onales degradadas de los Planes de los Apéndices</w:t>
      </w:r>
      <w:r w:rsidRPr="00E8117A">
        <w:rPr>
          <w:rFonts w:asciiTheme="minorHAnsi" w:hAnsiTheme="minorHAnsi" w:cstheme="minorBidi"/>
          <w:lang w:val="es-ES"/>
        </w:rPr>
        <w:t xml:space="preserve"> </w:t>
      </w:r>
      <w:r w:rsidRPr="00E8117A">
        <w:rPr>
          <w:rFonts w:asciiTheme="minorHAnsi" w:hAnsiTheme="minorHAnsi" w:cstheme="minorBidi"/>
          <w:b/>
          <w:bCs/>
          <w:lang w:val="es-ES"/>
        </w:rPr>
        <w:t>30</w:t>
      </w:r>
      <w:r w:rsidRPr="00E8117A">
        <w:rPr>
          <w:rFonts w:asciiTheme="minorHAnsi" w:hAnsiTheme="minorHAnsi" w:cstheme="minorBidi"/>
          <w:lang w:val="es-ES"/>
        </w:rPr>
        <w:t xml:space="preserve"> y </w:t>
      </w:r>
      <w:r w:rsidRPr="00E8117A">
        <w:rPr>
          <w:rFonts w:asciiTheme="minorHAnsi" w:hAnsiTheme="minorHAnsi" w:cstheme="minorBidi"/>
          <w:b/>
          <w:bCs/>
          <w:lang w:val="es-ES"/>
        </w:rPr>
        <w:t>30A</w:t>
      </w:r>
      <w:r w:rsidRPr="00E8117A">
        <w:rPr>
          <w:rFonts w:asciiTheme="minorHAnsi" w:hAnsiTheme="minorHAnsi" w:cstheme="minorBidi"/>
          <w:lang w:val="es-ES"/>
        </w:rPr>
        <w:t xml:space="preserve"> </w:t>
      </w:r>
      <w:r>
        <w:rPr>
          <w:rFonts w:asciiTheme="minorHAnsi" w:hAnsiTheme="minorHAnsi" w:cstheme="minorBidi"/>
          <w:lang w:val="es-ES"/>
        </w:rPr>
        <w:t xml:space="preserve">por </w:t>
      </w:r>
      <w:r w:rsidRPr="006719C2">
        <w:rPr>
          <w:lang w:val="es-ES"/>
        </w:rPr>
        <w:t>asignaciones</w:t>
      </w:r>
      <w:r>
        <w:rPr>
          <w:rFonts w:asciiTheme="minorHAnsi" w:hAnsiTheme="minorHAnsi" w:cstheme="minorBidi"/>
          <w:lang w:val="es-ES"/>
        </w:rPr>
        <w:t xml:space="preserve"> de frecuencias derivadas de la aplicación de la Resolución</w:t>
      </w:r>
      <w:r w:rsidRPr="00E8117A">
        <w:rPr>
          <w:rFonts w:asciiTheme="minorHAnsi" w:hAnsiTheme="minorHAnsi" w:cstheme="minorBidi"/>
          <w:lang w:val="es-ES"/>
        </w:rPr>
        <w:t xml:space="preserve"> </w:t>
      </w:r>
      <w:r w:rsidRPr="00E8117A">
        <w:rPr>
          <w:rFonts w:asciiTheme="minorHAnsi" w:hAnsiTheme="minorHAnsi" w:cstheme="minorBidi"/>
          <w:b/>
          <w:bCs/>
          <w:lang w:val="es-ES"/>
        </w:rPr>
        <w:t>559</w:t>
      </w:r>
      <w:r w:rsidRPr="00E8117A">
        <w:rPr>
          <w:rFonts w:asciiTheme="minorHAnsi" w:hAnsiTheme="minorHAnsi" w:cstheme="minorBidi"/>
          <w:lang w:val="es-ES"/>
        </w:rPr>
        <w:t xml:space="preserve"> </w:t>
      </w:r>
      <w:r>
        <w:rPr>
          <w:rFonts w:asciiTheme="minorHAnsi" w:hAnsiTheme="minorHAnsi" w:cstheme="minorBidi"/>
          <w:lang w:val="es-ES"/>
        </w:rPr>
        <w:t>con situaciones de referencia mejoradas. La Administración de Sudán del Sur obtuvo además su nueva entrada en los Planes de los Apéndices</w:t>
      </w:r>
      <w:r w:rsidRPr="00E8117A">
        <w:rPr>
          <w:rFonts w:asciiTheme="minorHAnsi" w:hAnsiTheme="minorHAnsi" w:cstheme="minorBidi"/>
          <w:lang w:val="es-ES"/>
        </w:rPr>
        <w:t xml:space="preserve"> </w:t>
      </w:r>
      <w:r w:rsidRPr="00E8117A">
        <w:rPr>
          <w:rFonts w:asciiTheme="minorHAnsi" w:hAnsiTheme="minorHAnsi" w:cstheme="minorBidi"/>
          <w:b/>
          <w:bCs/>
          <w:lang w:val="es-ES"/>
        </w:rPr>
        <w:t>30</w:t>
      </w:r>
      <w:r w:rsidRPr="00E8117A">
        <w:rPr>
          <w:rFonts w:asciiTheme="minorHAnsi" w:hAnsiTheme="minorHAnsi" w:cstheme="minorBidi"/>
          <w:lang w:val="es-ES"/>
        </w:rPr>
        <w:t xml:space="preserve"> y </w:t>
      </w:r>
      <w:r w:rsidRPr="00E8117A">
        <w:rPr>
          <w:rFonts w:asciiTheme="minorHAnsi" w:hAnsiTheme="minorHAnsi" w:cstheme="minorBidi"/>
          <w:b/>
          <w:bCs/>
          <w:lang w:val="es-ES"/>
        </w:rPr>
        <w:t>30A</w:t>
      </w:r>
      <w:r w:rsidRPr="00E8117A">
        <w:rPr>
          <w:rFonts w:asciiTheme="minorHAnsi" w:hAnsiTheme="minorHAnsi" w:cstheme="minorBidi"/>
          <w:lang w:val="es-ES"/>
        </w:rPr>
        <w:t>.</w:t>
      </w:r>
    </w:p>
    <w:p w14:paraId="32864EA5" w14:textId="77777777" w:rsidR="0059147E" w:rsidRPr="0072317E" w:rsidRDefault="0059147E" w:rsidP="006719C2">
      <w:pPr>
        <w:rPr>
          <w:rFonts w:asciiTheme="minorHAnsi" w:hAnsiTheme="minorHAnsi" w:cstheme="minorHAnsi"/>
          <w:szCs w:val="24"/>
          <w:lang w:val="es-ES"/>
        </w:rPr>
      </w:pPr>
      <w:r w:rsidRPr="0072317E">
        <w:rPr>
          <w:rFonts w:asciiTheme="minorHAnsi" w:hAnsiTheme="minorHAnsi" w:cstheme="minorHAnsi"/>
          <w:szCs w:val="24"/>
          <w:lang w:val="es-ES"/>
        </w:rPr>
        <w:t xml:space="preserve">Asimismo, la CMR-23 modificó las disposiciones de los Apéndices </w:t>
      </w:r>
      <w:r w:rsidRPr="0072317E">
        <w:rPr>
          <w:rFonts w:asciiTheme="minorHAnsi" w:hAnsiTheme="minorHAnsi" w:cstheme="minorHAnsi"/>
          <w:b/>
          <w:bCs/>
          <w:szCs w:val="24"/>
          <w:lang w:val="es-ES"/>
        </w:rPr>
        <w:t>30</w:t>
      </w:r>
      <w:r w:rsidRPr="0072317E">
        <w:rPr>
          <w:rFonts w:asciiTheme="minorHAnsi" w:hAnsiTheme="minorHAnsi" w:cstheme="minorHAnsi"/>
          <w:szCs w:val="24"/>
          <w:lang w:val="es-ES"/>
        </w:rPr>
        <w:t xml:space="preserve"> y </w:t>
      </w:r>
      <w:r w:rsidRPr="0072317E">
        <w:rPr>
          <w:rFonts w:asciiTheme="minorHAnsi" w:hAnsiTheme="minorHAnsi" w:cstheme="minorHAnsi"/>
          <w:b/>
          <w:bCs/>
          <w:szCs w:val="24"/>
          <w:lang w:val="es-ES"/>
        </w:rPr>
        <w:t>30A</w:t>
      </w:r>
      <w:r w:rsidRPr="0072317E">
        <w:rPr>
          <w:rFonts w:asciiTheme="minorHAnsi" w:hAnsiTheme="minorHAnsi" w:cstheme="minorHAnsi"/>
          <w:szCs w:val="24"/>
          <w:lang w:val="es-ES"/>
        </w:rPr>
        <w:t xml:space="preserve"> para las Regiones 1 y 3 a fin de que toda degradación de la situación de referencia de</w:t>
      </w:r>
      <w:r>
        <w:rPr>
          <w:rFonts w:asciiTheme="minorHAnsi" w:hAnsiTheme="minorHAnsi" w:cstheme="minorHAnsi"/>
          <w:szCs w:val="24"/>
          <w:lang w:val="es-ES"/>
        </w:rPr>
        <w:t xml:space="preserve"> las asignaciones del Plan para las Regiones</w:t>
      </w:r>
      <w:r w:rsidRPr="0072317E">
        <w:rPr>
          <w:rFonts w:asciiTheme="minorHAnsi" w:hAnsiTheme="minorHAnsi" w:cstheme="minorHAnsi"/>
          <w:szCs w:val="24"/>
          <w:lang w:val="es-ES"/>
        </w:rPr>
        <w:t xml:space="preserve"> 1 </w:t>
      </w:r>
      <w:r>
        <w:rPr>
          <w:rFonts w:asciiTheme="minorHAnsi" w:hAnsiTheme="minorHAnsi" w:cstheme="minorHAnsi"/>
          <w:szCs w:val="24"/>
          <w:lang w:val="es-ES"/>
        </w:rPr>
        <w:t>y</w:t>
      </w:r>
      <w:r w:rsidRPr="0072317E">
        <w:rPr>
          <w:rFonts w:asciiTheme="minorHAnsi" w:hAnsiTheme="minorHAnsi" w:cstheme="minorHAnsi"/>
          <w:szCs w:val="24"/>
          <w:lang w:val="es-ES"/>
        </w:rPr>
        <w:t xml:space="preserve"> 3</w:t>
      </w:r>
      <w:r>
        <w:rPr>
          <w:rFonts w:asciiTheme="minorHAnsi" w:hAnsiTheme="minorHAnsi" w:cstheme="minorHAnsi"/>
          <w:szCs w:val="24"/>
          <w:lang w:val="es-ES"/>
        </w:rPr>
        <w:t xml:space="preserve"> más allá de la </w:t>
      </w:r>
      <w:r w:rsidRPr="006719C2">
        <w:rPr>
          <w:lang w:val="es-ES"/>
        </w:rPr>
        <w:t>tolerancia</w:t>
      </w:r>
      <w:r>
        <w:rPr>
          <w:rFonts w:asciiTheme="minorHAnsi" w:hAnsiTheme="minorHAnsi" w:cstheme="minorHAnsi"/>
          <w:szCs w:val="24"/>
          <w:lang w:val="es-ES"/>
        </w:rPr>
        <w:t xml:space="preserve"> admisible deba estar sujeta al acuerdo explícito de las administraciones potencialmente afectadas</w:t>
      </w:r>
      <w:r w:rsidRPr="0072317E">
        <w:rPr>
          <w:rFonts w:asciiTheme="minorHAnsi" w:hAnsiTheme="minorHAnsi" w:cstheme="minorHAnsi"/>
          <w:szCs w:val="24"/>
          <w:lang w:val="es-ES"/>
        </w:rPr>
        <w:t>.</w:t>
      </w:r>
    </w:p>
    <w:p w14:paraId="6583EAE7" w14:textId="5EDD1B8A" w:rsidR="0059147E" w:rsidRPr="0072317E" w:rsidRDefault="0059147E" w:rsidP="005D1FAC">
      <w:pPr>
        <w:pStyle w:val="Heading2"/>
        <w:rPr>
          <w:b w:val="0"/>
          <w:lang w:val="es-ES"/>
        </w:rPr>
      </w:pPr>
      <w:r w:rsidRPr="0072317E">
        <w:rPr>
          <w:lang w:val="es-ES"/>
        </w:rPr>
        <w:t>1.2</w:t>
      </w:r>
      <w:r w:rsidRPr="0072317E">
        <w:rPr>
          <w:lang w:val="es-ES"/>
        </w:rPr>
        <w:tab/>
      </w:r>
      <w:r w:rsidRPr="005D1FAC">
        <w:t>Situación</w:t>
      </w:r>
      <w:r w:rsidRPr="0072317E">
        <w:rPr>
          <w:lang w:val="es-ES"/>
        </w:rPr>
        <w:t xml:space="preserve"> de </w:t>
      </w:r>
      <w:r w:rsidRPr="005D1FAC">
        <w:t>referencia</w:t>
      </w:r>
      <w:r w:rsidRPr="0072317E">
        <w:rPr>
          <w:lang w:val="es-ES"/>
        </w:rPr>
        <w:t xml:space="preserve"> de las asignaciones naci</w:t>
      </w:r>
      <w:r>
        <w:rPr>
          <w:lang w:val="es-ES"/>
        </w:rPr>
        <w:t xml:space="preserve">onales </w:t>
      </w:r>
      <w:r w:rsidRPr="0072317E">
        <w:rPr>
          <w:lang w:val="es-ES"/>
        </w:rPr>
        <w:t>planificadas</w:t>
      </w:r>
    </w:p>
    <w:p w14:paraId="10D78D64" w14:textId="77777777" w:rsidR="0059147E" w:rsidRPr="0072317E" w:rsidRDefault="0059147E" w:rsidP="006719C2">
      <w:pPr>
        <w:rPr>
          <w:rFonts w:asciiTheme="minorHAnsi" w:hAnsiTheme="minorHAnsi" w:cstheme="minorHAnsi"/>
          <w:szCs w:val="24"/>
          <w:lang w:val="es-ES"/>
        </w:rPr>
      </w:pPr>
      <w:r w:rsidRPr="0072317E">
        <w:rPr>
          <w:lang w:val="es-ES"/>
        </w:rPr>
        <w:t xml:space="preserve">En los Cuadros 1 y 2 que figuran a continuación se indican los cambios en la situación de referencia de las asignaciones inscritas en los Planes de las Regiones 1 y 3 según lo establecido por la CMR-2000 y en la fecha de la </w:t>
      </w:r>
      <w:r w:rsidRPr="0072317E">
        <w:rPr>
          <w:rFonts w:asciiTheme="minorHAnsi" w:hAnsiTheme="minorHAnsi" w:cstheme="minorHAnsi"/>
          <w:szCs w:val="24"/>
          <w:lang w:val="es-ES"/>
        </w:rPr>
        <w:t xml:space="preserve">BR IFIC 3015 </w:t>
      </w:r>
      <w:r>
        <w:rPr>
          <w:rFonts w:asciiTheme="minorHAnsi" w:hAnsiTheme="minorHAnsi" w:cstheme="minorHAnsi"/>
          <w:szCs w:val="24"/>
          <w:lang w:val="es-ES"/>
        </w:rPr>
        <w:t>de</w:t>
      </w:r>
      <w:r w:rsidRPr="0072317E">
        <w:rPr>
          <w:rFonts w:asciiTheme="minorHAnsi" w:hAnsiTheme="minorHAnsi" w:cstheme="minorHAnsi"/>
          <w:szCs w:val="24"/>
          <w:lang w:val="es-ES"/>
        </w:rPr>
        <w:t xml:space="preserve"> 20 </w:t>
      </w:r>
      <w:r>
        <w:rPr>
          <w:rFonts w:asciiTheme="minorHAnsi" w:hAnsiTheme="minorHAnsi" w:cstheme="minorHAnsi"/>
          <w:szCs w:val="24"/>
          <w:lang w:val="es-ES"/>
        </w:rPr>
        <w:t>de febrero de</w:t>
      </w:r>
      <w:r w:rsidRPr="0072317E">
        <w:rPr>
          <w:rFonts w:asciiTheme="minorHAnsi" w:hAnsiTheme="minorHAnsi" w:cstheme="minorHAnsi"/>
          <w:szCs w:val="24"/>
          <w:lang w:val="es-ES"/>
        </w:rPr>
        <w:t xml:space="preserve"> 2024. También se incluyen en estos Cuadros las 41 nueva</w:t>
      </w:r>
      <w:r>
        <w:rPr>
          <w:rFonts w:asciiTheme="minorHAnsi" w:hAnsiTheme="minorHAnsi" w:cstheme="minorHAnsi"/>
          <w:szCs w:val="24"/>
          <w:lang w:val="es-ES"/>
        </w:rPr>
        <w:t>s asignaciones del Plan para las Regiones</w:t>
      </w:r>
      <w:r w:rsidRPr="0072317E">
        <w:rPr>
          <w:rFonts w:asciiTheme="minorHAnsi" w:hAnsiTheme="minorHAnsi" w:cstheme="minorHAnsi"/>
          <w:szCs w:val="24"/>
          <w:lang w:val="es-ES"/>
        </w:rPr>
        <w:t xml:space="preserve"> 1 </w:t>
      </w:r>
      <w:r>
        <w:rPr>
          <w:rFonts w:asciiTheme="minorHAnsi" w:hAnsiTheme="minorHAnsi" w:cstheme="minorHAnsi"/>
          <w:szCs w:val="24"/>
          <w:lang w:val="es-ES"/>
        </w:rPr>
        <w:t>y</w:t>
      </w:r>
      <w:r w:rsidRPr="0072317E">
        <w:rPr>
          <w:rFonts w:asciiTheme="minorHAnsi" w:hAnsiTheme="minorHAnsi" w:cstheme="minorHAnsi"/>
          <w:szCs w:val="24"/>
          <w:lang w:val="es-ES"/>
        </w:rPr>
        <w:t xml:space="preserve"> 3 </w:t>
      </w:r>
      <w:r>
        <w:rPr>
          <w:rFonts w:asciiTheme="minorHAnsi" w:hAnsiTheme="minorHAnsi" w:cstheme="minorHAnsi"/>
          <w:szCs w:val="24"/>
          <w:lang w:val="es-ES"/>
        </w:rPr>
        <w:t xml:space="preserve">indicadas en la sección 1.1 anterior (véanse las Notas 1 y 2). </w:t>
      </w:r>
      <w:r w:rsidRPr="0072317E">
        <w:rPr>
          <w:rFonts w:asciiTheme="minorHAnsi" w:hAnsiTheme="minorHAnsi" w:cstheme="minorHAnsi"/>
          <w:szCs w:val="24"/>
          <w:lang w:val="es-ES"/>
        </w:rPr>
        <w:t>Los cambios se aprecian en el intervalo de los va</w:t>
      </w:r>
      <w:r>
        <w:rPr>
          <w:rFonts w:asciiTheme="minorHAnsi" w:hAnsiTheme="minorHAnsi" w:cstheme="minorHAnsi"/>
          <w:szCs w:val="24"/>
          <w:lang w:val="es-ES"/>
        </w:rPr>
        <w:t>lores mínimo y máximo de MPE por administración</w:t>
      </w:r>
      <w:r w:rsidRPr="0072317E">
        <w:rPr>
          <w:rFonts w:asciiTheme="minorHAnsi" w:hAnsiTheme="minorHAnsi" w:cstheme="minorHAnsi"/>
          <w:szCs w:val="24"/>
          <w:lang w:val="es-ES"/>
        </w:rPr>
        <w:t>.</w:t>
      </w:r>
    </w:p>
    <w:p w14:paraId="3857F744" w14:textId="77777777" w:rsidR="0059147E" w:rsidRPr="002D2E23" w:rsidRDefault="0059147E" w:rsidP="005D1FAC">
      <w:pPr>
        <w:pStyle w:val="TableNo"/>
        <w:rPr>
          <w:lang w:val="es-ES"/>
        </w:rPr>
      </w:pPr>
      <w:r w:rsidRPr="002D2E23">
        <w:rPr>
          <w:lang w:val="es-ES"/>
        </w:rPr>
        <w:t>Cuadro 1</w:t>
      </w:r>
    </w:p>
    <w:p w14:paraId="21B5BF8D" w14:textId="79F5182B" w:rsidR="0059147E" w:rsidRPr="00B36273" w:rsidRDefault="0059147E" w:rsidP="005D1FAC">
      <w:pPr>
        <w:pStyle w:val="Tabletitle"/>
        <w:rPr>
          <w:lang w:val="es-ES"/>
        </w:rPr>
      </w:pPr>
      <w:r w:rsidRPr="00B36273">
        <w:rPr>
          <w:lang w:val="es-ES"/>
        </w:rPr>
        <w:t>Variación de los valores de MPE para las asignaciones del Plan del SRS para las Regiones</w:t>
      </w:r>
      <w:r w:rsidR="005D1FAC" w:rsidRPr="00B36273">
        <w:rPr>
          <w:lang w:val="es-ES"/>
        </w:rPr>
        <w:t> </w:t>
      </w:r>
      <w:r w:rsidRPr="00B36273">
        <w:rPr>
          <w:lang w:val="es-ES"/>
        </w:rPr>
        <w:t>1</w:t>
      </w:r>
      <w:r w:rsidR="005D1FAC" w:rsidRPr="00B36273">
        <w:rPr>
          <w:lang w:val="es-ES"/>
        </w:rPr>
        <w:t> </w:t>
      </w:r>
      <w:r w:rsidRPr="00B36273">
        <w:rPr>
          <w:lang w:val="es-ES"/>
        </w:rPr>
        <w:t>y 3 (enlace descendente)</w:t>
      </w:r>
    </w:p>
    <w:p w14:paraId="54824183" w14:textId="77777777" w:rsidR="0059147E" w:rsidRPr="002D2E23" w:rsidRDefault="00D9171F" w:rsidP="0059147E">
      <w:pPr>
        <w:pStyle w:val="msonormal0"/>
        <w:spacing w:before="120" w:beforeAutospacing="0" w:after="240" w:afterAutospacing="0"/>
        <w:jc w:val="center"/>
        <w:rPr>
          <w:rFonts w:asciiTheme="minorHAnsi" w:hAnsiTheme="minorHAnsi" w:cstheme="minorHAnsi"/>
          <w:b/>
          <w:bCs/>
          <w:lang w:val="es-ES"/>
        </w:rPr>
      </w:pPr>
      <w:hyperlink r:id="rId16" w:history="1">
        <w:r w:rsidR="0059147E" w:rsidRPr="002D2E23">
          <w:rPr>
            <w:rStyle w:val="Hyperlink"/>
            <w:rFonts w:asciiTheme="minorHAnsi" w:eastAsiaTheme="minorEastAsia" w:hAnsiTheme="minorHAnsi" w:cstheme="minorHAnsi"/>
            <w:b/>
            <w:bCs/>
            <w:lang w:val="es-ES" w:eastAsia="en-US"/>
            <w14:ligatures w14:val="standardContextual"/>
          </w:rPr>
          <w:t>Véase el Cuadro 1 aquí</w:t>
        </w:r>
      </w:hyperlink>
    </w:p>
    <w:p w14:paraId="24182EC2" w14:textId="70A65A87" w:rsidR="0059147E" w:rsidRDefault="0059147E" w:rsidP="00DA306D">
      <w:pPr>
        <w:pStyle w:val="Tablelegend"/>
        <w:rPr>
          <w:rFonts w:eastAsiaTheme="minorEastAsia"/>
          <w:lang w:val="es-ES"/>
        </w:rPr>
      </w:pPr>
      <w:bookmarkStart w:id="5" w:name="_Hlk163661773"/>
      <w:r>
        <w:rPr>
          <w:rFonts w:eastAsiaTheme="minorEastAsia"/>
          <w:lang w:val="es-ES"/>
        </w:rPr>
        <w:t>LA LEYENDA DEL CUADRO ES LA SIGUIENTE:</w:t>
      </w:r>
    </w:p>
    <w:p w14:paraId="4EC69F18" w14:textId="77777777" w:rsidR="0059147E" w:rsidRDefault="0059147E" w:rsidP="00DA306D">
      <w:pPr>
        <w:pStyle w:val="Tablelegend"/>
        <w:rPr>
          <w:rFonts w:eastAsiaTheme="minorEastAsia"/>
          <w:lang w:val="es-ES"/>
        </w:rPr>
      </w:pPr>
      <w:r w:rsidRPr="0072317E">
        <w:rPr>
          <w:rFonts w:eastAsiaTheme="minorEastAsia"/>
          <w:lang w:val="es-ES"/>
        </w:rPr>
        <w:t>CMR-2000 / Al 20 de febrero d</w:t>
      </w:r>
      <w:r>
        <w:rPr>
          <w:rFonts w:eastAsiaTheme="minorEastAsia"/>
          <w:lang w:val="es-ES"/>
        </w:rPr>
        <w:t>e 2024</w:t>
      </w:r>
    </w:p>
    <w:p w14:paraId="34D234A9" w14:textId="77777777" w:rsidR="0059147E" w:rsidRPr="0072317E" w:rsidRDefault="0059147E" w:rsidP="00DA306D">
      <w:pPr>
        <w:pStyle w:val="Tablelegend"/>
        <w:rPr>
          <w:rFonts w:eastAsiaTheme="minorEastAsia"/>
          <w:lang w:val="es-ES"/>
        </w:rPr>
      </w:pPr>
      <w:r>
        <w:rPr>
          <w:rFonts w:eastAsiaTheme="minorEastAsia"/>
          <w:lang w:val="es-ES"/>
        </w:rPr>
        <w:t>Administración / posición orbital actual / MPE mínimo / MPE máximo / MPE mínimo / MPE máximo / Nota</w:t>
      </w:r>
    </w:p>
    <w:p w14:paraId="7F3B022B" w14:textId="77777777" w:rsidR="0059147E" w:rsidRPr="00DA306D" w:rsidRDefault="0059147E" w:rsidP="00DA306D">
      <w:pPr>
        <w:pStyle w:val="Tablelegend"/>
        <w:rPr>
          <w:rFonts w:eastAsiaTheme="minorEastAsia"/>
          <w:lang w:val="es-ES"/>
        </w:rPr>
      </w:pPr>
      <w:r w:rsidRPr="00DA306D">
        <w:rPr>
          <w:rFonts w:eastAsiaTheme="minorEastAsia"/>
          <w:lang w:val="es-ES"/>
        </w:rPr>
        <w:t>Nota 1: Las asignaciones del Plan de la CMR-2000 se han sustituido por asignaciones derivadas de la aplicación de la Resolución 559 (CMR-19), de conformidad con lo decidido por la CMR-23.</w:t>
      </w:r>
    </w:p>
    <w:p w14:paraId="15CF3677" w14:textId="77777777" w:rsidR="0059147E" w:rsidRPr="00385A16" w:rsidRDefault="0059147E" w:rsidP="00DA306D">
      <w:pPr>
        <w:pStyle w:val="Tablelegend"/>
        <w:rPr>
          <w:rFonts w:cstheme="minorHAnsi"/>
          <w:szCs w:val="24"/>
          <w:lang w:val="es-ES"/>
        </w:rPr>
      </w:pPr>
      <w:r w:rsidRPr="00DA306D">
        <w:rPr>
          <w:rFonts w:eastAsiaTheme="minorEastAsia"/>
          <w:lang w:val="es-ES"/>
        </w:rPr>
        <w:t>Nota 2: La Administración de Sudán del Sur, en tanto que nuevo Estado Miembro de la UIT, obtuvo sus asignaciones de los Planes de los Apéndices 30 y 30A en el marco de la Resolución 559 (CMR-19).</w:t>
      </w:r>
      <w:bookmarkEnd w:id="5"/>
    </w:p>
    <w:p w14:paraId="49693D09" w14:textId="77777777" w:rsidR="0059147E" w:rsidRPr="002D2E23" w:rsidRDefault="0059147E" w:rsidP="00DA306D">
      <w:pPr>
        <w:pStyle w:val="TableNo"/>
        <w:keepLines/>
        <w:rPr>
          <w:rFonts w:asciiTheme="minorHAnsi" w:hAnsiTheme="minorHAnsi" w:cstheme="minorHAnsi"/>
          <w:szCs w:val="24"/>
          <w:lang w:val="es-ES"/>
        </w:rPr>
      </w:pPr>
      <w:r w:rsidRPr="00540F3E">
        <w:rPr>
          <w:lang w:val="es-ES"/>
        </w:rPr>
        <w:lastRenderedPageBreak/>
        <w:t>Cuadro</w:t>
      </w:r>
      <w:r w:rsidRPr="002D2E23">
        <w:rPr>
          <w:rFonts w:asciiTheme="minorHAnsi" w:hAnsiTheme="minorHAnsi" w:cstheme="minorHAnsi"/>
          <w:szCs w:val="24"/>
          <w:lang w:val="es-ES"/>
        </w:rPr>
        <w:t xml:space="preserve"> 2</w:t>
      </w:r>
    </w:p>
    <w:p w14:paraId="655758E2" w14:textId="77777777" w:rsidR="0059147E" w:rsidRPr="00B36273" w:rsidRDefault="0059147E" w:rsidP="00DA306D">
      <w:pPr>
        <w:pStyle w:val="Tabletitle"/>
        <w:keepLines/>
        <w:rPr>
          <w:rFonts w:ascii="Times New Roman" w:hAnsi="Times New Roman"/>
          <w:szCs w:val="24"/>
          <w:lang w:val="es-ES"/>
        </w:rPr>
      </w:pPr>
      <w:r w:rsidRPr="00B36273">
        <w:rPr>
          <w:rFonts w:asciiTheme="minorHAnsi" w:hAnsiTheme="minorHAnsi" w:cstheme="minorHAnsi"/>
          <w:szCs w:val="24"/>
          <w:lang w:val="es-ES"/>
        </w:rPr>
        <w:t>Variación de los valores del MPE para las asignaciones inscritas en el Plan de enlaces de conexión del SRS en las Regiones 1 y 3</w:t>
      </w:r>
    </w:p>
    <w:bookmarkStart w:id="6" w:name="_Hlk163661867"/>
    <w:p w14:paraId="62F9D567" w14:textId="77777777" w:rsidR="0059147E" w:rsidRPr="002D2E23" w:rsidRDefault="0059147E" w:rsidP="00DA306D">
      <w:pPr>
        <w:pStyle w:val="msonormal0"/>
        <w:keepNext/>
        <w:keepLines/>
        <w:spacing w:before="120" w:beforeAutospacing="0" w:after="240" w:afterAutospacing="0"/>
        <w:jc w:val="center"/>
        <w:rPr>
          <w:rFonts w:asciiTheme="minorHAnsi" w:eastAsiaTheme="minorEastAsia" w:hAnsiTheme="minorHAnsi" w:cstheme="minorHAnsi"/>
          <w:b/>
          <w:bCs/>
          <w:lang w:val="es-ES" w:eastAsia="en-US"/>
          <w14:ligatures w14:val="standardContextual"/>
        </w:rPr>
      </w:pPr>
      <w:r>
        <w:rPr>
          <w:rFonts w:asciiTheme="minorHAnsi" w:eastAsiaTheme="minorEastAsia" w:hAnsiTheme="minorHAnsi" w:cstheme="minorHAnsi"/>
          <w:b/>
          <w:bCs/>
          <w:lang w:val="en-US" w:eastAsia="en-US"/>
          <w14:ligatures w14:val="standardContextual"/>
        </w:rPr>
        <w:fldChar w:fldCharType="begin"/>
      </w:r>
      <w:r w:rsidRPr="002D2E23">
        <w:rPr>
          <w:rFonts w:asciiTheme="minorHAnsi" w:eastAsiaTheme="minorEastAsia" w:hAnsiTheme="minorHAnsi" w:cstheme="minorHAnsi"/>
          <w:b/>
          <w:bCs/>
          <w:lang w:val="es-ES" w:eastAsia="en-US"/>
          <w14:ligatures w14:val="standardContextual"/>
        </w:rPr>
        <w:instrText>HYPERLINK "https://www.itu.int/en/council/Documents/2024/036e-Table2.pdf"</w:instrText>
      </w:r>
      <w:r>
        <w:rPr>
          <w:rFonts w:asciiTheme="minorHAnsi" w:eastAsiaTheme="minorEastAsia" w:hAnsiTheme="minorHAnsi" w:cstheme="minorHAnsi"/>
          <w:b/>
          <w:bCs/>
          <w:lang w:val="en-US" w:eastAsia="en-US"/>
          <w14:ligatures w14:val="standardContextual"/>
        </w:rPr>
        <w:fldChar w:fldCharType="separate"/>
      </w:r>
      <w:r w:rsidRPr="002D2E23">
        <w:rPr>
          <w:rStyle w:val="Hyperlink"/>
          <w:rFonts w:asciiTheme="minorHAnsi" w:eastAsiaTheme="minorEastAsia" w:hAnsiTheme="minorHAnsi" w:cstheme="minorHAnsi"/>
          <w:b/>
          <w:bCs/>
          <w:lang w:val="es-ES" w:eastAsia="en-US"/>
          <w14:ligatures w14:val="standardContextual"/>
        </w:rPr>
        <w:t>Véase el Cuadro 2 aquí</w:t>
      </w:r>
      <w:r>
        <w:rPr>
          <w:rFonts w:asciiTheme="minorHAnsi" w:eastAsiaTheme="minorEastAsia" w:hAnsiTheme="minorHAnsi" w:cstheme="minorHAnsi"/>
          <w:b/>
          <w:bCs/>
          <w:lang w:val="en-US" w:eastAsia="en-US"/>
          <w14:ligatures w14:val="standardContextual"/>
        </w:rPr>
        <w:fldChar w:fldCharType="end"/>
      </w:r>
    </w:p>
    <w:p w14:paraId="6AEC1A0F" w14:textId="77777777" w:rsidR="00DA306D" w:rsidRDefault="00DA306D" w:rsidP="00DA306D">
      <w:pPr>
        <w:pStyle w:val="Tablelegend"/>
        <w:keepNext/>
        <w:keepLines/>
        <w:rPr>
          <w:rFonts w:eastAsiaTheme="minorEastAsia"/>
          <w:lang w:val="es-ES"/>
        </w:rPr>
      </w:pPr>
      <w:r>
        <w:rPr>
          <w:rFonts w:eastAsiaTheme="minorEastAsia"/>
          <w:lang w:val="es-ES"/>
        </w:rPr>
        <w:t>LA LEYENDA DEL CUADRO ES LA SIGUIENTE:</w:t>
      </w:r>
    </w:p>
    <w:p w14:paraId="7EB0A5A9" w14:textId="77777777" w:rsidR="00DA306D" w:rsidRDefault="00DA306D" w:rsidP="00DA306D">
      <w:pPr>
        <w:pStyle w:val="Tablelegend"/>
        <w:rPr>
          <w:rFonts w:eastAsiaTheme="minorEastAsia"/>
          <w:lang w:val="es-ES"/>
        </w:rPr>
      </w:pPr>
      <w:r w:rsidRPr="0072317E">
        <w:rPr>
          <w:rFonts w:eastAsiaTheme="minorEastAsia"/>
          <w:lang w:val="es-ES"/>
        </w:rPr>
        <w:t>CMR-2000 / Al 20 de febrero d</w:t>
      </w:r>
      <w:r>
        <w:rPr>
          <w:rFonts w:eastAsiaTheme="minorEastAsia"/>
          <w:lang w:val="es-ES"/>
        </w:rPr>
        <w:t>e 2024</w:t>
      </w:r>
    </w:p>
    <w:p w14:paraId="3E1A6F6E" w14:textId="59D03A1B" w:rsidR="0059147E" w:rsidRPr="00385A16" w:rsidRDefault="00DA306D" w:rsidP="00DA306D">
      <w:pPr>
        <w:pStyle w:val="Tablelegend"/>
        <w:rPr>
          <w:rFonts w:asciiTheme="minorHAnsi" w:eastAsiaTheme="minorEastAsia" w:hAnsiTheme="minorHAnsi" w:cstheme="minorHAnsi"/>
          <w:b/>
          <w:bCs/>
          <w:sz w:val="23"/>
          <w:szCs w:val="23"/>
          <w:lang w:val="es-ES"/>
          <w14:ligatures w14:val="standardContextual"/>
        </w:rPr>
      </w:pPr>
      <w:r>
        <w:rPr>
          <w:rFonts w:eastAsiaTheme="minorEastAsia"/>
          <w:lang w:val="es-ES"/>
        </w:rPr>
        <w:t>Administración / posición orbital actual / MPE mínimo / MPE máximo / MPE mínimo / MPE máximo / Nota</w:t>
      </w:r>
    </w:p>
    <w:bookmarkEnd w:id="6"/>
    <w:p w14:paraId="173198B1" w14:textId="77777777" w:rsidR="0059147E" w:rsidRPr="00385A16" w:rsidRDefault="0059147E" w:rsidP="0059147E">
      <w:pPr>
        <w:pStyle w:val="msonormal0"/>
        <w:spacing w:before="120" w:beforeAutospacing="0" w:after="0" w:afterAutospacing="0"/>
        <w:contextualSpacing/>
        <w:rPr>
          <w:rFonts w:asciiTheme="minorHAnsi" w:eastAsiaTheme="minorEastAsia" w:hAnsiTheme="minorHAnsi" w:cstheme="minorBidi"/>
          <w:sz w:val="23"/>
          <w:szCs w:val="23"/>
          <w:lang w:val="es-ES" w:eastAsia="en-US"/>
          <w14:ligatures w14:val="standardContextual"/>
        </w:rPr>
      </w:pPr>
      <w:r w:rsidRPr="00385A16">
        <w:rPr>
          <w:rFonts w:asciiTheme="minorHAnsi" w:eastAsiaTheme="minorEastAsia" w:hAnsiTheme="minorHAnsi" w:cstheme="minorBidi"/>
          <w:sz w:val="23"/>
          <w:szCs w:val="23"/>
          <w:lang w:val="es-ES" w:eastAsia="en-US"/>
          <w14:ligatures w14:val="standardContextual"/>
        </w:rPr>
        <w:t>Nota 1: Las asignaciones del Plan de la CMR</w:t>
      </w:r>
      <w:r w:rsidRPr="00385A16">
        <w:rPr>
          <w:rFonts w:asciiTheme="minorHAnsi" w:hAnsiTheme="minorHAnsi" w:cstheme="minorBidi"/>
          <w:sz w:val="23"/>
          <w:szCs w:val="23"/>
          <w:lang w:val="es-ES"/>
        </w:rPr>
        <w:t>-2000 se han sustituido por asignaciones derivadas de la aplicación</w:t>
      </w:r>
      <w:r>
        <w:rPr>
          <w:rFonts w:asciiTheme="minorHAnsi" w:hAnsiTheme="minorHAnsi" w:cstheme="minorBidi"/>
          <w:sz w:val="23"/>
          <w:szCs w:val="23"/>
          <w:lang w:val="es-ES"/>
        </w:rPr>
        <w:t xml:space="preserve"> de la Resolución</w:t>
      </w:r>
      <w:r w:rsidRPr="00385A16">
        <w:rPr>
          <w:rFonts w:asciiTheme="minorHAnsi" w:hAnsiTheme="minorHAnsi" w:cstheme="minorBidi"/>
          <w:sz w:val="23"/>
          <w:szCs w:val="23"/>
          <w:lang w:val="es-ES"/>
        </w:rPr>
        <w:t xml:space="preserve"> </w:t>
      </w:r>
      <w:r w:rsidRPr="00385A16">
        <w:rPr>
          <w:rFonts w:asciiTheme="minorHAnsi" w:hAnsiTheme="minorHAnsi" w:cstheme="minorBidi"/>
          <w:b/>
          <w:bCs/>
          <w:sz w:val="23"/>
          <w:szCs w:val="23"/>
          <w:lang w:val="es-ES"/>
        </w:rPr>
        <w:t>559 (</w:t>
      </w:r>
      <w:r>
        <w:rPr>
          <w:rFonts w:asciiTheme="minorHAnsi" w:hAnsiTheme="minorHAnsi" w:cstheme="minorBidi"/>
          <w:b/>
          <w:bCs/>
          <w:sz w:val="23"/>
          <w:szCs w:val="23"/>
          <w:lang w:val="es-ES"/>
        </w:rPr>
        <w:t>CMR</w:t>
      </w:r>
      <w:r w:rsidRPr="00385A16">
        <w:rPr>
          <w:rFonts w:asciiTheme="minorHAnsi" w:hAnsiTheme="minorHAnsi" w:cstheme="minorBidi"/>
          <w:b/>
          <w:bCs/>
          <w:sz w:val="23"/>
          <w:szCs w:val="23"/>
          <w:lang w:val="es-ES"/>
        </w:rPr>
        <w:t>-19)</w:t>
      </w:r>
      <w:r>
        <w:rPr>
          <w:rFonts w:asciiTheme="minorHAnsi" w:hAnsiTheme="minorHAnsi" w:cstheme="minorBidi"/>
          <w:sz w:val="23"/>
          <w:szCs w:val="23"/>
          <w:lang w:val="es-ES"/>
        </w:rPr>
        <w:t>, de conformidad con lo decidido por la CMR</w:t>
      </w:r>
      <w:r w:rsidRPr="00385A16">
        <w:rPr>
          <w:rFonts w:asciiTheme="minorHAnsi" w:hAnsiTheme="minorHAnsi" w:cstheme="minorBidi"/>
          <w:sz w:val="23"/>
          <w:szCs w:val="23"/>
          <w:lang w:val="es-ES"/>
        </w:rPr>
        <w:t>-23.</w:t>
      </w:r>
    </w:p>
    <w:p w14:paraId="64BB8DF3" w14:textId="77777777" w:rsidR="0059147E" w:rsidRPr="00385A16" w:rsidRDefault="0059147E" w:rsidP="0059147E">
      <w:pPr>
        <w:contextualSpacing/>
        <w:rPr>
          <w:rFonts w:asciiTheme="minorHAnsi" w:hAnsiTheme="minorHAnsi" w:cstheme="minorHAnsi"/>
          <w:szCs w:val="24"/>
          <w:lang w:val="es-ES"/>
        </w:rPr>
      </w:pPr>
      <w:r w:rsidRPr="00385A16">
        <w:rPr>
          <w:rFonts w:asciiTheme="minorHAnsi" w:hAnsiTheme="minorHAnsi" w:cstheme="minorHAnsi"/>
          <w:sz w:val="23"/>
          <w:szCs w:val="23"/>
          <w:lang w:val="es-ES"/>
        </w:rPr>
        <w:t xml:space="preserve">Nota 2: La Administración de Sudán del Sur, en tanto que nuevo Estado Miembro de la UIT, obtuvo sus asignaciones de </w:t>
      </w:r>
      <w:r>
        <w:rPr>
          <w:rFonts w:asciiTheme="minorHAnsi" w:hAnsiTheme="minorHAnsi" w:cstheme="minorHAnsi"/>
          <w:sz w:val="23"/>
          <w:szCs w:val="23"/>
          <w:lang w:val="es-ES"/>
        </w:rPr>
        <w:t>los Planes de los Apéndices</w:t>
      </w:r>
      <w:r w:rsidRPr="00385A16">
        <w:rPr>
          <w:rFonts w:asciiTheme="minorHAnsi" w:hAnsiTheme="minorHAnsi" w:cstheme="minorHAnsi"/>
          <w:sz w:val="23"/>
          <w:szCs w:val="23"/>
          <w:lang w:val="es-ES"/>
        </w:rPr>
        <w:t xml:space="preserve"> </w:t>
      </w:r>
      <w:r w:rsidRPr="00385A16">
        <w:rPr>
          <w:rFonts w:asciiTheme="minorHAnsi" w:hAnsiTheme="minorHAnsi" w:cstheme="minorHAnsi"/>
          <w:b/>
          <w:bCs/>
          <w:sz w:val="23"/>
          <w:szCs w:val="23"/>
          <w:lang w:val="es-ES"/>
        </w:rPr>
        <w:t xml:space="preserve">30 </w:t>
      </w:r>
      <w:r w:rsidRPr="00385A16">
        <w:rPr>
          <w:rFonts w:asciiTheme="minorHAnsi" w:hAnsiTheme="minorHAnsi" w:cstheme="minorHAnsi"/>
          <w:sz w:val="23"/>
          <w:szCs w:val="23"/>
          <w:lang w:val="es-ES"/>
        </w:rPr>
        <w:t xml:space="preserve">y </w:t>
      </w:r>
      <w:r w:rsidRPr="00385A16">
        <w:rPr>
          <w:rFonts w:asciiTheme="minorHAnsi" w:hAnsiTheme="minorHAnsi" w:cstheme="minorHAnsi"/>
          <w:b/>
          <w:bCs/>
          <w:sz w:val="23"/>
          <w:szCs w:val="23"/>
          <w:lang w:val="es-ES"/>
        </w:rPr>
        <w:t>30A</w:t>
      </w:r>
      <w:r w:rsidRPr="00385A16">
        <w:rPr>
          <w:rFonts w:asciiTheme="minorHAnsi" w:hAnsiTheme="minorHAnsi" w:cstheme="minorHAnsi"/>
          <w:sz w:val="23"/>
          <w:szCs w:val="23"/>
          <w:lang w:val="es-ES"/>
        </w:rPr>
        <w:t xml:space="preserve"> </w:t>
      </w:r>
      <w:r>
        <w:rPr>
          <w:rFonts w:asciiTheme="minorHAnsi" w:hAnsiTheme="minorHAnsi" w:cstheme="minorHAnsi"/>
          <w:sz w:val="23"/>
          <w:szCs w:val="23"/>
          <w:lang w:val="es-ES"/>
        </w:rPr>
        <w:t>en el marco de la Resolución</w:t>
      </w:r>
      <w:r w:rsidRPr="00385A16">
        <w:rPr>
          <w:rFonts w:asciiTheme="minorHAnsi" w:hAnsiTheme="minorHAnsi" w:cstheme="minorHAnsi"/>
          <w:sz w:val="23"/>
          <w:szCs w:val="23"/>
          <w:lang w:val="es-ES"/>
        </w:rPr>
        <w:t xml:space="preserve"> </w:t>
      </w:r>
      <w:r w:rsidRPr="00385A16">
        <w:rPr>
          <w:rFonts w:asciiTheme="minorHAnsi" w:hAnsiTheme="minorHAnsi" w:cstheme="minorHAnsi"/>
          <w:b/>
          <w:bCs/>
          <w:sz w:val="23"/>
          <w:szCs w:val="23"/>
          <w:lang w:val="es-ES"/>
        </w:rPr>
        <w:t>559 (</w:t>
      </w:r>
      <w:r>
        <w:rPr>
          <w:rFonts w:asciiTheme="minorHAnsi" w:hAnsiTheme="minorHAnsi" w:cstheme="minorHAnsi"/>
          <w:b/>
          <w:bCs/>
          <w:sz w:val="23"/>
          <w:szCs w:val="23"/>
          <w:lang w:val="es-ES"/>
        </w:rPr>
        <w:t>CMR</w:t>
      </w:r>
      <w:r w:rsidRPr="00385A16">
        <w:rPr>
          <w:rFonts w:asciiTheme="minorHAnsi" w:hAnsiTheme="minorHAnsi" w:cstheme="minorHAnsi"/>
          <w:b/>
          <w:bCs/>
          <w:sz w:val="23"/>
          <w:szCs w:val="23"/>
          <w:lang w:val="es-ES"/>
        </w:rPr>
        <w:t>-19)</w:t>
      </w:r>
      <w:r w:rsidRPr="00385A16">
        <w:rPr>
          <w:rFonts w:asciiTheme="minorHAnsi" w:hAnsiTheme="minorHAnsi" w:cstheme="minorHAnsi"/>
          <w:sz w:val="23"/>
          <w:szCs w:val="23"/>
          <w:lang w:val="es-ES"/>
        </w:rPr>
        <w:t>.</w:t>
      </w:r>
    </w:p>
    <w:p w14:paraId="0A418058" w14:textId="77777777" w:rsidR="0059147E" w:rsidRPr="00385A16" w:rsidRDefault="0059147E" w:rsidP="0059147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HAnsi"/>
          <w:szCs w:val="24"/>
          <w:lang w:val="es-ES" w:eastAsia="en-GB"/>
        </w:rPr>
      </w:pPr>
      <w:r w:rsidRPr="00385A16">
        <w:rPr>
          <w:rFonts w:asciiTheme="minorHAnsi" w:hAnsiTheme="minorHAnsi" w:cstheme="minorHAnsi"/>
          <w:lang w:val="es-ES"/>
        </w:rPr>
        <w:br w:type="page"/>
      </w:r>
    </w:p>
    <w:p w14:paraId="31D4B8BA" w14:textId="64F7A79C" w:rsidR="0059147E" w:rsidRPr="00385A16" w:rsidRDefault="0059147E" w:rsidP="00B36273">
      <w:pPr>
        <w:pStyle w:val="Heading2"/>
        <w:rPr>
          <w:b w:val="0"/>
          <w:lang w:val="es-ES"/>
        </w:rPr>
      </w:pPr>
      <w:r w:rsidRPr="00385A16">
        <w:rPr>
          <w:lang w:val="es-ES"/>
        </w:rPr>
        <w:lastRenderedPageBreak/>
        <w:t>1.3</w:t>
      </w:r>
      <w:r w:rsidRPr="00385A16">
        <w:rPr>
          <w:lang w:val="es-ES"/>
        </w:rPr>
        <w:tab/>
      </w:r>
      <w:r w:rsidRPr="007A7FF4">
        <w:t>Aplicación</w:t>
      </w:r>
      <w:r w:rsidRPr="00385A16">
        <w:rPr>
          <w:lang w:val="es-ES"/>
        </w:rPr>
        <w:t xml:space="preserve"> de la </w:t>
      </w:r>
      <w:r w:rsidRPr="00B36273">
        <w:t>Resolución</w:t>
      </w:r>
      <w:r w:rsidRPr="00385A16">
        <w:rPr>
          <w:lang w:val="es-ES"/>
        </w:rPr>
        <w:t xml:space="preserve"> 559 (</w:t>
      </w:r>
      <w:r>
        <w:rPr>
          <w:lang w:val="es-ES"/>
        </w:rPr>
        <w:t>CMR</w:t>
      </w:r>
      <w:r w:rsidRPr="00385A16">
        <w:rPr>
          <w:lang w:val="es-ES"/>
        </w:rPr>
        <w:t>-19)</w:t>
      </w:r>
    </w:p>
    <w:p w14:paraId="48BF95E8" w14:textId="77777777" w:rsidR="0059147E" w:rsidRPr="00385A16" w:rsidRDefault="0059147E" w:rsidP="00540F3E">
      <w:pPr>
        <w:rPr>
          <w:lang w:val="es-ES"/>
        </w:rPr>
      </w:pPr>
      <w:r w:rsidRPr="00385A16">
        <w:rPr>
          <w:lang w:val="es-ES"/>
        </w:rPr>
        <w:t>Como se indica en la sección 1.1 anterior, de las 45 administraciones que cumplían los requisitos, 41 aplicaron satisfactoriament</w:t>
      </w:r>
      <w:r>
        <w:rPr>
          <w:lang w:val="es-ES"/>
        </w:rPr>
        <w:t>e la Resolución</w:t>
      </w:r>
      <w:r w:rsidRPr="00385A16">
        <w:rPr>
          <w:lang w:val="es-ES"/>
        </w:rPr>
        <w:t xml:space="preserve"> </w:t>
      </w:r>
      <w:r w:rsidRPr="00385A16">
        <w:rPr>
          <w:b/>
          <w:bCs/>
          <w:lang w:val="es-ES"/>
        </w:rPr>
        <w:t>559 (</w:t>
      </w:r>
      <w:r>
        <w:rPr>
          <w:b/>
          <w:bCs/>
          <w:lang w:val="es-ES"/>
        </w:rPr>
        <w:t>CMR</w:t>
      </w:r>
      <w:r w:rsidRPr="00385A16">
        <w:rPr>
          <w:b/>
          <w:bCs/>
          <w:lang w:val="es-ES"/>
        </w:rPr>
        <w:t>-19)</w:t>
      </w:r>
      <w:r w:rsidRPr="00385A16">
        <w:rPr>
          <w:lang w:val="es-ES"/>
        </w:rPr>
        <w:t xml:space="preserve"> </w:t>
      </w:r>
      <w:r>
        <w:rPr>
          <w:lang w:val="es-ES"/>
        </w:rPr>
        <w:t xml:space="preserve">y obtuvieron nuevas asignaciones en el Plan para las Regiones 1 y 3 en la CMR-23. </w:t>
      </w:r>
      <w:r w:rsidRPr="00385A16">
        <w:rPr>
          <w:lang w:val="es-ES"/>
        </w:rPr>
        <w:t>En el Cuadro 3 siguiente se muestran los valore</w:t>
      </w:r>
      <w:r>
        <w:rPr>
          <w:lang w:val="es-ES"/>
        </w:rPr>
        <w:t>s de MPE mínimos y máximos de las 4 solicitudes en virtud de la Resolución</w:t>
      </w:r>
      <w:r w:rsidRPr="00385A16">
        <w:rPr>
          <w:lang w:val="es-ES"/>
        </w:rPr>
        <w:t xml:space="preserve"> </w:t>
      </w:r>
      <w:r w:rsidRPr="00385A16">
        <w:rPr>
          <w:b/>
          <w:bCs/>
          <w:lang w:val="es-ES"/>
        </w:rPr>
        <w:t>559 (C</w:t>
      </w:r>
      <w:r>
        <w:rPr>
          <w:b/>
          <w:bCs/>
          <w:lang w:val="es-ES"/>
        </w:rPr>
        <w:t>MR</w:t>
      </w:r>
      <w:r w:rsidRPr="00385A16">
        <w:rPr>
          <w:b/>
          <w:bCs/>
          <w:lang w:val="es-ES"/>
        </w:rPr>
        <w:t>-19)</w:t>
      </w:r>
      <w:r>
        <w:rPr>
          <w:b/>
          <w:bCs/>
          <w:lang w:val="es-ES"/>
        </w:rPr>
        <w:t xml:space="preserve"> </w:t>
      </w:r>
      <w:r>
        <w:rPr>
          <w:lang w:val="es-ES"/>
        </w:rPr>
        <w:t>restantes</w:t>
      </w:r>
      <w:r w:rsidRPr="00385A16">
        <w:rPr>
          <w:lang w:val="es-ES"/>
        </w:rPr>
        <w:t>. La Oficina de Radiocomunicaciones sigue prestando asistencia a esas administraciones a fin de qu</w:t>
      </w:r>
      <w:r>
        <w:rPr>
          <w:lang w:val="es-ES"/>
        </w:rPr>
        <w:t>e puedan obtener nuevas asignaciones en el Plan para las Regiones 1 y 3 en la CMR</w:t>
      </w:r>
      <w:r w:rsidRPr="00385A16">
        <w:rPr>
          <w:lang w:val="es-ES"/>
        </w:rPr>
        <w:t>-27.</w:t>
      </w:r>
    </w:p>
    <w:p w14:paraId="78E6B30E" w14:textId="77777777" w:rsidR="0059147E" w:rsidRPr="002D2E23" w:rsidRDefault="0059147E" w:rsidP="00540F3E">
      <w:pPr>
        <w:pStyle w:val="TableNo"/>
        <w:rPr>
          <w:rFonts w:asciiTheme="minorHAnsi" w:hAnsiTheme="minorHAnsi" w:cstheme="minorHAnsi"/>
          <w:szCs w:val="24"/>
          <w:lang w:val="es-ES"/>
        </w:rPr>
      </w:pPr>
      <w:r w:rsidRPr="00540F3E">
        <w:rPr>
          <w:lang w:val="es-ES"/>
        </w:rPr>
        <w:t>Cuadro</w:t>
      </w:r>
      <w:r w:rsidRPr="002D2E23">
        <w:rPr>
          <w:rFonts w:asciiTheme="minorHAnsi" w:hAnsiTheme="minorHAnsi" w:cstheme="minorHAnsi"/>
          <w:szCs w:val="24"/>
          <w:lang w:val="es-ES"/>
        </w:rPr>
        <w:t xml:space="preserve"> 3</w:t>
      </w:r>
    </w:p>
    <w:p w14:paraId="45700EC1" w14:textId="77777777" w:rsidR="0059147E" w:rsidRPr="00B36273" w:rsidRDefault="0059147E" w:rsidP="00540F3E">
      <w:pPr>
        <w:pStyle w:val="Tabletitle"/>
        <w:rPr>
          <w:rFonts w:asciiTheme="minorHAnsi" w:hAnsiTheme="minorHAnsi" w:cstheme="minorHAnsi"/>
          <w:szCs w:val="24"/>
          <w:lang w:val="es-ES"/>
        </w:rPr>
      </w:pPr>
      <w:r w:rsidRPr="00B36273">
        <w:rPr>
          <w:rFonts w:asciiTheme="minorHAnsi" w:hAnsiTheme="minorHAnsi" w:cstheme="minorHAnsi"/>
          <w:szCs w:val="24"/>
          <w:lang w:val="es-ES"/>
        </w:rPr>
        <w:t xml:space="preserve">Gama de valores de MPE de las 4 </w:t>
      </w:r>
      <w:r w:rsidRPr="00B36273">
        <w:rPr>
          <w:lang w:val="es-ES"/>
        </w:rPr>
        <w:t>solicitudes</w:t>
      </w:r>
      <w:r w:rsidRPr="00B36273">
        <w:rPr>
          <w:rFonts w:asciiTheme="minorHAnsi" w:hAnsiTheme="minorHAnsi" w:cstheme="minorHAnsi"/>
          <w:szCs w:val="24"/>
          <w:lang w:val="es-ES"/>
        </w:rPr>
        <w:t xml:space="preserve"> en virtud de la Resolución 559 (CMR-19) restantes</w:t>
      </w:r>
    </w:p>
    <w:tbl>
      <w:tblPr>
        <w:tblW w:w="7725" w:type="dxa"/>
        <w:jc w:val="center"/>
        <w:tblLook w:val="04A0" w:firstRow="1" w:lastRow="0" w:firstColumn="1" w:lastColumn="0" w:noHBand="0" w:noVBand="1"/>
      </w:tblPr>
      <w:tblGrid>
        <w:gridCol w:w="1715"/>
        <w:gridCol w:w="1160"/>
        <w:gridCol w:w="1192"/>
        <w:gridCol w:w="1233"/>
        <w:gridCol w:w="1192"/>
        <w:gridCol w:w="1233"/>
      </w:tblGrid>
      <w:tr w:rsidR="0059147E" w:rsidRPr="00F76C2B" w14:paraId="13E2EE3D" w14:textId="77777777" w:rsidTr="009A34C2">
        <w:trPr>
          <w:trHeight w:val="300"/>
          <w:tblHeader/>
          <w:jc w:val="center"/>
        </w:trPr>
        <w:tc>
          <w:tcPr>
            <w:tcW w:w="1715" w:type="dxa"/>
            <w:vMerge w:val="restart"/>
            <w:tcBorders>
              <w:top w:val="single" w:sz="4" w:space="0" w:color="auto"/>
              <w:left w:val="single" w:sz="4" w:space="0" w:color="auto"/>
              <w:right w:val="single" w:sz="4" w:space="0" w:color="auto"/>
            </w:tcBorders>
            <w:shd w:val="clear" w:color="auto" w:fill="auto"/>
            <w:noWrap/>
            <w:vAlign w:val="bottom"/>
          </w:tcPr>
          <w:p w14:paraId="76F2E6E4" w14:textId="77777777" w:rsidR="0059147E" w:rsidRPr="00F76C2B" w:rsidRDefault="0059147E" w:rsidP="00540F3E">
            <w:pPr>
              <w:pStyle w:val="Tablehead"/>
              <w:rPr>
                <w:lang w:eastAsia="zh-CN"/>
              </w:rPr>
            </w:pPr>
            <w:r w:rsidRPr="00F76C2B">
              <w:rPr>
                <w:lang w:eastAsia="zh-CN"/>
              </w:rPr>
              <w:t>Administra</w:t>
            </w:r>
            <w:r>
              <w:rPr>
                <w:lang w:eastAsia="zh-CN"/>
              </w:rPr>
              <w:t>ción</w:t>
            </w:r>
          </w:p>
          <w:p w14:paraId="5F909E6E" w14:textId="77777777" w:rsidR="0059147E" w:rsidRPr="00F76C2B" w:rsidRDefault="0059147E" w:rsidP="00540F3E">
            <w:pPr>
              <w:pStyle w:val="Tablehead"/>
              <w:rPr>
                <w:lang w:eastAsia="zh-CN"/>
              </w:rPr>
            </w:pPr>
          </w:p>
        </w:tc>
        <w:tc>
          <w:tcPr>
            <w:tcW w:w="1160" w:type="dxa"/>
            <w:vMerge w:val="restart"/>
            <w:tcBorders>
              <w:top w:val="single" w:sz="4" w:space="0" w:color="auto"/>
              <w:left w:val="single" w:sz="4" w:space="0" w:color="auto"/>
              <w:right w:val="single" w:sz="4" w:space="0" w:color="auto"/>
            </w:tcBorders>
            <w:shd w:val="clear" w:color="auto" w:fill="auto"/>
            <w:noWrap/>
            <w:vAlign w:val="bottom"/>
          </w:tcPr>
          <w:p w14:paraId="4A1AC77D" w14:textId="77777777" w:rsidR="0059147E" w:rsidRPr="00F76C2B" w:rsidRDefault="0059147E" w:rsidP="00540F3E">
            <w:pPr>
              <w:pStyle w:val="Tablehead"/>
              <w:rPr>
                <w:lang w:eastAsia="zh-CN"/>
              </w:rPr>
            </w:pPr>
            <w:r>
              <w:rPr>
                <w:lang w:eastAsia="zh-CN"/>
              </w:rPr>
              <w:t>Posición orbital</w:t>
            </w:r>
            <w:r w:rsidRPr="00F76C2B">
              <w:rPr>
                <w:lang w:eastAsia="zh-CN"/>
              </w:rPr>
              <w:t xml:space="preserve"> (⁰E)</w:t>
            </w:r>
          </w:p>
        </w:tc>
        <w:tc>
          <w:tcPr>
            <w:tcW w:w="2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63E4F9" w14:textId="75B2DC42" w:rsidR="0059147E" w:rsidRPr="00F76C2B" w:rsidRDefault="00540F3E" w:rsidP="00540F3E">
            <w:pPr>
              <w:pStyle w:val="Tablehead"/>
              <w:rPr>
                <w:lang w:eastAsia="zh-CN"/>
              </w:rPr>
            </w:pPr>
            <w:r>
              <w:rPr>
                <w:lang w:eastAsia="zh-CN"/>
              </w:rPr>
              <w:t>E</w:t>
            </w:r>
            <w:r w:rsidR="0059147E">
              <w:rPr>
                <w:lang w:eastAsia="zh-CN"/>
              </w:rPr>
              <w:t>nlace descendente</w:t>
            </w:r>
          </w:p>
        </w:tc>
        <w:tc>
          <w:tcPr>
            <w:tcW w:w="2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53E0C7" w14:textId="711A51D6" w:rsidR="0059147E" w:rsidRPr="00F76C2B" w:rsidRDefault="00540F3E" w:rsidP="00540F3E">
            <w:pPr>
              <w:pStyle w:val="Tablehead"/>
              <w:rPr>
                <w:lang w:eastAsia="zh-CN"/>
              </w:rPr>
            </w:pPr>
            <w:r>
              <w:rPr>
                <w:lang w:eastAsia="zh-CN"/>
              </w:rPr>
              <w:t>E</w:t>
            </w:r>
            <w:r w:rsidR="0059147E">
              <w:rPr>
                <w:lang w:eastAsia="zh-CN"/>
              </w:rPr>
              <w:t>nlace de conexión</w:t>
            </w:r>
          </w:p>
        </w:tc>
      </w:tr>
      <w:tr w:rsidR="0059147E" w:rsidRPr="00F76C2B" w14:paraId="6704D8A5" w14:textId="77777777" w:rsidTr="009A34C2">
        <w:trPr>
          <w:trHeight w:val="300"/>
          <w:tblHeader/>
          <w:jc w:val="center"/>
        </w:trPr>
        <w:tc>
          <w:tcPr>
            <w:tcW w:w="1715" w:type="dxa"/>
            <w:vMerge/>
            <w:tcBorders>
              <w:left w:val="single" w:sz="4" w:space="0" w:color="auto"/>
              <w:bottom w:val="single" w:sz="4" w:space="0" w:color="auto"/>
              <w:right w:val="single" w:sz="4" w:space="0" w:color="auto"/>
            </w:tcBorders>
            <w:shd w:val="clear" w:color="auto" w:fill="auto"/>
            <w:noWrap/>
            <w:vAlign w:val="bottom"/>
            <w:hideMark/>
          </w:tcPr>
          <w:p w14:paraId="03DA67FF" w14:textId="77777777" w:rsidR="0059147E" w:rsidRPr="00F76C2B" w:rsidRDefault="0059147E" w:rsidP="00540F3E">
            <w:pPr>
              <w:pStyle w:val="Tablehead"/>
              <w:rPr>
                <w:lang w:eastAsia="zh-CN"/>
              </w:rPr>
            </w:pPr>
          </w:p>
        </w:tc>
        <w:tc>
          <w:tcPr>
            <w:tcW w:w="1160" w:type="dxa"/>
            <w:vMerge/>
            <w:tcBorders>
              <w:left w:val="single" w:sz="4" w:space="0" w:color="auto"/>
              <w:bottom w:val="single" w:sz="4" w:space="0" w:color="auto"/>
              <w:right w:val="single" w:sz="4" w:space="0" w:color="auto"/>
            </w:tcBorders>
            <w:shd w:val="clear" w:color="auto" w:fill="auto"/>
            <w:noWrap/>
            <w:vAlign w:val="bottom"/>
            <w:hideMark/>
          </w:tcPr>
          <w:p w14:paraId="6CD45265" w14:textId="77777777" w:rsidR="0059147E" w:rsidRPr="00F76C2B" w:rsidRDefault="0059147E" w:rsidP="00540F3E">
            <w:pPr>
              <w:pStyle w:val="Tablehead"/>
              <w:rPr>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9D7E6" w14:textId="77777777" w:rsidR="0059147E" w:rsidRPr="00F76C2B" w:rsidRDefault="0059147E" w:rsidP="00540F3E">
            <w:pPr>
              <w:pStyle w:val="Tablehead"/>
              <w:rPr>
                <w:lang w:eastAsia="zh-CN"/>
              </w:rPr>
            </w:pPr>
            <w:r w:rsidRPr="00F76C2B">
              <w:rPr>
                <w:lang w:eastAsia="zh-CN"/>
              </w:rPr>
              <w:t>M</w:t>
            </w:r>
            <w:r>
              <w:rPr>
                <w:lang w:eastAsia="zh-CN"/>
              </w:rPr>
              <w:t>PE mínimo</w:t>
            </w:r>
          </w:p>
          <w:p w14:paraId="7F8C4B1F" w14:textId="77777777" w:rsidR="0059147E" w:rsidRPr="00F76C2B" w:rsidRDefault="0059147E" w:rsidP="00540F3E">
            <w:pPr>
              <w:pStyle w:val="Tablehead"/>
              <w:rPr>
                <w:lang w:eastAsia="zh-CN"/>
              </w:rPr>
            </w:pPr>
            <w:r w:rsidRPr="00F76C2B">
              <w:rPr>
                <w:lang w:eastAsia="zh-CN"/>
              </w:rPr>
              <w:t xml:space="preserve"> (dB)</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AE9C9" w14:textId="77777777" w:rsidR="0059147E" w:rsidRPr="00F76C2B" w:rsidRDefault="0059147E" w:rsidP="00540F3E">
            <w:pPr>
              <w:pStyle w:val="Tablehead"/>
              <w:rPr>
                <w:lang w:eastAsia="zh-CN"/>
              </w:rPr>
            </w:pPr>
            <w:r w:rsidRPr="00F76C2B">
              <w:rPr>
                <w:lang w:eastAsia="zh-CN"/>
              </w:rPr>
              <w:t>M</w:t>
            </w:r>
            <w:r>
              <w:rPr>
                <w:lang w:eastAsia="zh-CN"/>
              </w:rPr>
              <w:t>PE máximo</w:t>
            </w:r>
            <w:r w:rsidRPr="00F76C2B">
              <w:rPr>
                <w:lang w:eastAsia="zh-CN"/>
              </w:rPr>
              <w:t xml:space="preserve"> </w:t>
            </w:r>
          </w:p>
          <w:p w14:paraId="3D5791DF" w14:textId="77777777" w:rsidR="0059147E" w:rsidRPr="00F76C2B" w:rsidRDefault="0059147E" w:rsidP="00540F3E">
            <w:pPr>
              <w:pStyle w:val="Tablehead"/>
              <w:rPr>
                <w:lang w:eastAsia="zh-CN"/>
              </w:rPr>
            </w:pPr>
            <w:r w:rsidRPr="00F76C2B">
              <w:rPr>
                <w:lang w:eastAsia="zh-CN"/>
              </w:rPr>
              <w:t>(dB)</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3E749" w14:textId="77777777" w:rsidR="0059147E" w:rsidRPr="00F76C2B" w:rsidRDefault="0059147E" w:rsidP="00540F3E">
            <w:pPr>
              <w:pStyle w:val="Tablehead"/>
              <w:rPr>
                <w:lang w:eastAsia="zh-CN"/>
              </w:rPr>
            </w:pPr>
            <w:r w:rsidRPr="00F76C2B">
              <w:rPr>
                <w:lang w:eastAsia="zh-CN"/>
              </w:rPr>
              <w:t>M</w:t>
            </w:r>
            <w:r>
              <w:rPr>
                <w:lang w:eastAsia="zh-CN"/>
              </w:rPr>
              <w:t>PE mínimo</w:t>
            </w:r>
          </w:p>
          <w:p w14:paraId="564CBC1A" w14:textId="77777777" w:rsidR="0059147E" w:rsidRPr="00F76C2B" w:rsidRDefault="0059147E" w:rsidP="00540F3E">
            <w:pPr>
              <w:pStyle w:val="Tablehead"/>
              <w:rPr>
                <w:lang w:eastAsia="zh-CN"/>
              </w:rPr>
            </w:pPr>
            <w:r w:rsidRPr="00F76C2B">
              <w:rPr>
                <w:lang w:eastAsia="zh-CN"/>
              </w:rPr>
              <w:t xml:space="preserve"> (dB)</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91074" w14:textId="77777777" w:rsidR="0059147E" w:rsidRPr="00F76C2B" w:rsidRDefault="0059147E" w:rsidP="00540F3E">
            <w:pPr>
              <w:pStyle w:val="Tablehead"/>
              <w:rPr>
                <w:lang w:eastAsia="zh-CN"/>
              </w:rPr>
            </w:pPr>
            <w:r w:rsidRPr="00F76C2B">
              <w:rPr>
                <w:lang w:eastAsia="zh-CN"/>
              </w:rPr>
              <w:t>M</w:t>
            </w:r>
            <w:r>
              <w:rPr>
                <w:lang w:eastAsia="zh-CN"/>
              </w:rPr>
              <w:t>PE máximo</w:t>
            </w:r>
            <w:r w:rsidRPr="00F76C2B">
              <w:rPr>
                <w:lang w:eastAsia="zh-CN"/>
              </w:rPr>
              <w:t xml:space="preserve"> </w:t>
            </w:r>
          </w:p>
          <w:p w14:paraId="1A591845" w14:textId="77777777" w:rsidR="0059147E" w:rsidRPr="00F76C2B" w:rsidRDefault="0059147E" w:rsidP="00540F3E">
            <w:pPr>
              <w:pStyle w:val="Tablehead"/>
              <w:rPr>
                <w:lang w:eastAsia="zh-CN"/>
              </w:rPr>
            </w:pPr>
            <w:r w:rsidRPr="00F76C2B">
              <w:rPr>
                <w:lang w:eastAsia="zh-CN"/>
              </w:rPr>
              <w:t>(dB)</w:t>
            </w:r>
          </w:p>
        </w:tc>
      </w:tr>
      <w:tr w:rsidR="0059147E" w:rsidRPr="00F76C2B" w14:paraId="4CED4C20" w14:textId="77777777" w:rsidTr="009A34C2">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81A04" w14:textId="77777777" w:rsidR="0059147E" w:rsidRPr="00F76C2B" w:rsidRDefault="0059147E" w:rsidP="00540F3E">
            <w:pPr>
              <w:pStyle w:val="Tabletext"/>
              <w:jc w:val="center"/>
              <w:rPr>
                <w:lang w:eastAsia="zh-CN"/>
              </w:rPr>
            </w:pPr>
            <w:r w:rsidRPr="00F76C2B">
              <w:rPr>
                <w:lang w:eastAsia="zh-CN"/>
              </w:rPr>
              <w:t>AFG</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AF0C2" w14:textId="77777777" w:rsidR="0059147E" w:rsidRPr="00F76C2B" w:rsidRDefault="0059147E" w:rsidP="00540F3E">
            <w:pPr>
              <w:pStyle w:val="Tabletext"/>
              <w:jc w:val="center"/>
              <w:rPr>
                <w:lang w:eastAsia="zh-CN"/>
              </w:rPr>
            </w:pPr>
            <w:r w:rsidRPr="00F76C2B">
              <w:rPr>
                <w:lang w:eastAsia="zh-CN"/>
              </w:rPr>
              <w:t>10</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30C22" w14:textId="6F964986" w:rsidR="0059147E" w:rsidRPr="00F76C2B" w:rsidRDefault="0059147E" w:rsidP="00540F3E">
            <w:pPr>
              <w:pStyle w:val="Tabletext"/>
              <w:jc w:val="center"/>
              <w:rPr>
                <w:lang w:eastAsia="zh-CN"/>
              </w:rPr>
            </w:pPr>
            <w:r w:rsidRPr="00F76C2B">
              <w:rPr>
                <w:lang w:eastAsia="zh-CN"/>
              </w:rPr>
              <w:t>3</w:t>
            </w:r>
            <w:r w:rsidR="007A7FF4">
              <w:rPr>
                <w:lang w:eastAsia="zh-CN"/>
              </w:rPr>
              <w:t>,</w:t>
            </w:r>
            <w:r w:rsidRPr="00F76C2B">
              <w:rPr>
                <w:lang w:eastAsia="zh-CN"/>
              </w:rPr>
              <w:t>706</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53D08" w14:textId="0BAF8E02" w:rsidR="0059147E" w:rsidRPr="00F76C2B" w:rsidRDefault="0059147E" w:rsidP="00540F3E">
            <w:pPr>
              <w:pStyle w:val="Tabletext"/>
              <w:jc w:val="center"/>
              <w:rPr>
                <w:lang w:eastAsia="zh-CN"/>
              </w:rPr>
            </w:pPr>
            <w:r w:rsidRPr="00F76C2B">
              <w:rPr>
                <w:lang w:eastAsia="zh-CN"/>
              </w:rPr>
              <w:t>7</w:t>
            </w:r>
            <w:r w:rsidR="007A7FF4">
              <w:rPr>
                <w:lang w:eastAsia="zh-CN"/>
              </w:rPr>
              <w:t>,</w:t>
            </w:r>
            <w:r w:rsidRPr="00F76C2B">
              <w:rPr>
                <w:lang w:eastAsia="zh-CN"/>
              </w:rPr>
              <w:t>389</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3D17" w14:textId="424EED77" w:rsidR="0059147E" w:rsidRPr="00F76C2B" w:rsidRDefault="0059147E" w:rsidP="00540F3E">
            <w:pPr>
              <w:pStyle w:val="Tabletext"/>
              <w:jc w:val="center"/>
              <w:rPr>
                <w:lang w:eastAsia="zh-CN"/>
              </w:rPr>
            </w:pPr>
            <w:r w:rsidRPr="00F76C2B">
              <w:rPr>
                <w:lang w:eastAsia="zh-CN"/>
              </w:rPr>
              <w:t>0</w:t>
            </w:r>
            <w:r w:rsidR="00540F3E">
              <w:rPr>
                <w:lang w:eastAsia="zh-CN"/>
              </w:rPr>
              <w:t>,</w:t>
            </w:r>
            <w:r w:rsidRPr="00F76C2B">
              <w:rPr>
                <w:lang w:eastAsia="zh-CN"/>
              </w:rPr>
              <w:t>094</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B6562" w14:textId="794A43A6" w:rsidR="0059147E" w:rsidRPr="00F76C2B" w:rsidRDefault="0059147E" w:rsidP="00540F3E">
            <w:pPr>
              <w:pStyle w:val="Tabletext"/>
              <w:jc w:val="center"/>
              <w:rPr>
                <w:lang w:eastAsia="zh-CN"/>
              </w:rPr>
            </w:pPr>
            <w:r w:rsidRPr="00F76C2B">
              <w:rPr>
                <w:lang w:eastAsia="zh-CN"/>
              </w:rPr>
              <w:t>5</w:t>
            </w:r>
            <w:r w:rsidR="00540F3E">
              <w:rPr>
                <w:lang w:eastAsia="zh-CN"/>
              </w:rPr>
              <w:t>,</w:t>
            </w:r>
            <w:r w:rsidRPr="00F76C2B">
              <w:rPr>
                <w:lang w:eastAsia="zh-CN"/>
              </w:rPr>
              <w:t>01</w:t>
            </w:r>
          </w:p>
        </w:tc>
      </w:tr>
      <w:tr w:rsidR="0059147E" w:rsidRPr="00F76C2B" w14:paraId="6262419A" w14:textId="77777777" w:rsidTr="009A34C2">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8E3434" w14:textId="77777777" w:rsidR="0059147E" w:rsidRPr="00F76C2B" w:rsidRDefault="0059147E" w:rsidP="00540F3E">
            <w:pPr>
              <w:pStyle w:val="Tabletext"/>
              <w:jc w:val="center"/>
              <w:rPr>
                <w:lang w:eastAsia="zh-CN"/>
              </w:rPr>
            </w:pPr>
            <w:r w:rsidRPr="00F76C2B">
              <w:rPr>
                <w:lang w:eastAsia="zh-CN"/>
              </w:rPr>
              <w:t>GNE</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757ACB" w14:textId="77777777" w:rsidR="0059147E" w:rsidRPr="00F76C2B" w:rsidRDefault="0059147E" w:rsidP="00540F3E">
            <w:pPr>
              <w:pStyle w:val="Tabletext"/>
              <w:jc w:val="center"/>
              <w:rPr>
                <w:lang w:eastAsia="zh-CN"/>
              </w:rPr>
            </w:pPr>
            <w:r w:rsidRPr="00F76C2B">
              <w:rPr>
                <w:lang w:eastAsia="zh-CN"/>
              </w:rPr>
              <w:t>-42</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F497A9" w14:textId="670F44D9" w:rsidR="0059147E" w:rsidRPr="00F76C2B" w:rsidRDefault="0059147E" w:rsidP="00540F3E">
            <w:pPr>
              <w:pStyle w:val="Tabletext"/>
              <w:jc w:val="center"/>
              <w:rPr>
                <w:lang w:eastAsia="zh-CN"/>
              </w:rPr>
            </w:pPr>
            <w:r w:rsidRPr="00F76C2B">
              <w:rPr>
                <w:lang w:eastAsia="zh-CN"/>
              </w:rPr>
              <w:t>1</w:t>
            </w:r>
            <w:r w:rsidR="007A7FF4">
              <w:rPr>
                <w:lang w:eastAsia="zh-CN"/>
              </w:rPr>
              <w:t>,</w:t>
            </w:r>
            <w:r w:rsidRPr="00F76C2B">
              <w:rPr>
                <w:lang w:eastAsia="zh-CN"/>
              </w:rPr>
              <w:t>188</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6B070A" w14:textId="1A42FA7E" w:rsidR="0059147E" w:rsidRPr="00F76C2B" w:rsidRDefault="0059147E" w:rsidP="00540F3E">
            <w:pPr>
              <w:pStyle w:val="Tabletext"/>
              <w:jc w:val="center"/>
              <w:rPr>
                <w:lang w:eastAsia="zh-CN"/>
              </w:rPr>
            </w:pPr>
            <w:r w:rsidRPr="00F76C2B">
              <w:rPr>
                <w:lang w:eastAsia="zh-CN"/>
              </w:rPr>
              <w:t>6</w:t>
            </w:r>
            <w:r w:rsidR="007A7FF4">
              <w:rPr>
                <w:lang w:eastAsia="zh-CN"/>
              </w:rPr>
              <w:t>,</w:t>
            </w:r>
            <w:r w:rsidRPr="00F76C2B">
              <w:rPr>
                <w:lang w:eastAsia="zh-CN"/>
              </w:rPr>
              <w:t>783</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F9B989" w14:textId="2A6DF43B" w:rsidR="0059147E" w:rsidRPr="00F76C2B" w:rsidRDefault="0059147E" w:rsidP="00540F3E">
            <w:pPr>
              <w:pStyle w:val="Tabletext"/>
              <w:jc w:val="center"/>
              <w:rPr>
                <w:lang w:eastAsia="zh-CN"/>
              </w:rPr>
            </w:pPr>
            <w:r w:rsidRPr="00F76C2B">
              <w:rPr>
                <w:lang w:eastAsia="zh-CN"/>
              </w:rPr>
              <w:t>13</w:t>
            </w:r>
            <w:r w:rsidR="00540F3E">
              <w:rPr>
                <w:lang w:eastAsia="zh-CN"/>
              </w:rPr>
              <w:t>,</w:t>
            </w:r>
            <w:r w:rsidRPr="00F76C2B">
              <w:rPr>
                <w:lang w:eastAsia="zh-CN"/>
              </w:rPr>
              <w:t>794</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4FB1BB" w14:textId="1F6D3011" w:rsidR="0059147E" w:rsidRPr="00F76C2B" w:rsidRDefault="0059147E" w:rsidP="00540F3E">
            <w:pPr>
              <w:pStyle w:val="Tabletext"/>
              <w:jc w:val="center"/>
              <w:rPr>
                <w:lang w:eastAsia="zh-CN"/>
              </w:rPr>
            </w:pPr>
            <w:r w:rsidRPr="00F76C2B">
              <w:rPr>
                <w:lang w:eastAsia="zh-CN"/>
              </w:rPr>
              <w:t>18</w:t>
            </w:r>
            <w:r w:rsidR="00540F3E">
              <w:rPr>
                <w:lang w:eastAsia="zh-CN"/>
              </w:rPr>
              <w:t>,</w:t>
            </w:r>
            <w:r w:rsidRPr="00F76C2B">
              <w:rPr>
                <w:lang w:eastAsia="zh-CN"/>
              </w:rPr>
              <w:t>476</w:t>
            </w:r>
          </w:p>
        </w:tc>
      </w:tr>
      <w:tr w:rsidR="0059147E" w:rsidRPr="00F76C2B" w14:paraId="5A7593A3" w14:textId="77777777" w:rsidTr="009A34C2">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B95A5" w14:textId="77777777" w:rsidR="0059147E" w:rsidRPr="00F76C2B" w:rsidRDefault="0059147E" w:rsidP="00540F3E">
            <w:pPr>
              <w:pStyle w:val="Tabletext"/>
              <w:jc w:val="center"/>
              <w:rPr>
                <w:lang w:eastAsia="zh-CN"/>
              </w:rPr>
            </w:pPr>
            <w:r w:rsidRPr="00F76C2B">
              <w:rPr>
                <w:lang w:eastAsia="zh-CN"/>
              </w:rPr>
              <w:t>MLT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8DFF1" w14:textId="6056C618" w:rsidR="0059147E" w:rsidRPr="00F76C2B" w:rsidRDefault="0059147E" w:rsidP="00540F3E">
            <w:pPr>
              <w:pStyle w:val="Tabletext"/>
              <w:jc w:val="center"/>
              <w:rPr>
                <w:lang w:eastAsia="zh-CN"/>
              </w:rPr>
            </w:pPr>
            <w:r w:rsidRPr="00F76C2B">
              <w:rPr>
                <w:lang w:eastAsia="zh-CN"/>
              </w:rPr>
              <w:t>-37</w:t>
            </w:r>
            <w:r w:rsidR="007A7FF4">
              <w:rPr>
                <w:lang w:eastAsia="zh-CN"/>
              </w:rPr>
              <w:t>,</w:t>
            </w:r>
            <w:r w:rsidRPr="00F76C2B">
              <w:rPr>
                <w:lang w:eastAsia="zh-CN"/>
              </w:rPr>
              <w:t>5</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E3E9" w14:textId="23C316C7" w:rsidR="0059147E" w:rsidRPr="00F76C2B" w:rsidRDefault="0059147E" w:rsidP="00540F3E">
            <w:pPr>
              <w:pStyle w:val="Tabletext"/>
              <w:jc w:val="center"/>
              <w:rPr>
                <w:lang w:eastAsia="zh-CN"/>
              </w:rPr>
            </w:pPr>
            <w:r w:rsidRPr="00F76C2B">
              <w:rPr>
                <w:lang w:eastAsia="zh-CN"/>
              </w:rPr>
              <w:t>2</w:t>
            </w:r>
            <w:r w:rsidR="007A7FF4">
              <w:rPr>
                <w:lang w:eastAsia="zh-CN"/>
              </w:rPr>
              <w:t>,</w:t>
            </w:r>
            <w:r w:rsidRPr="00F76C2B">
              <w:rPr>
                <w:lang w:eastAsia="zh-CN"/>
              </w:rPr>
              <w:t>798</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B46CD" w14:textId="3ED57CE7" w:rsidR="0059147E" w:rsidRPr="00F76C2B" w:rsidRDefault="0059147E" w:rsidP="00540F3E">
            <w:pPr>
              <w:pStyle w:val="Tabletext"/>
              <w:jc w:val="center"/>
              <w:rPr>
                <w:lang w:eastAsia="zh-CN"/>
              </w:rPr>
            </w:pPr>
            <w:r w:rsidRPr="00F76C2B">
              <w:rPr>
                <w:lang w:eastAsia="zh-CN"/>
              </w:rPr>
              <w:t>4</w:t>
            </w:r>
            <w:r w:rsidR="007A7FF4">
              <w:rPr>
                <w:lang w:eastAsia="zh-CN"/>
              </w:rPr>
              <w:t>,</w:t>
            </w:r>
            <w:r w:rsidRPr="00F76C2B">
              <w:rPr>
                <w:lang w:eastAsia="zh-CN"/>
              </w:rPr>
              <w:t>39</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7E231" w14:textId="31B1C762" w:rsidR="0059147E" w:rsidRPr="00F76C2B" w:rsidRDefault="0059147E" w:rsidP="00540F3E">
            <w:pPr>
              <w:pStyle w:val="Tabletext"/>
              <w:jc w:val="center"/>
              <w:rPr>
                <w:lang w:eastAsia="zh-CN"/>
              </w:rPr>
            </w:pPr>
            <w:r w:rsidRPr="00F76C2B">
              <w:rPr>
                <w:lang w:eastAsia="zh-CN"/>
              </w:rPr>
              <w:t>5</w:t>
            </w:r>
            <w:r w:rsidR="00540F3E">
              <w:rPr>
                <w:lang w:eastAsia="zh-CN"/>
              </w:rPr>
              <w:t>,</w:t>
            </w:r>
            <w:r w:rsidRPr="00F76C2B">
              <w:rPr>
                <w:lang w:eastAsia="zh-CN"/>
              </w:rPr>
              <w:t>221</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D42B9" w14:textId="4EE92C2C" w:rsidR="0059147E" w:rsidRPr="00F76C2B" w:rsidRDefault="0059147E" w:rsidP="00540F3E">
            <w:pPr>
              <w:pStyle w:val="Tabletext"/>
              <w:jc w:val="center"/>
              <w:rPr>
                <w:lang w:eastAsia="zh-CN"/>
              </w:rPr>
            </w:pPr>
            <w:r w:rsidRPr="00F76C2B">
              <w:rPr>
                <w:lang w:eastAsia="zh-CN"/>
              </w:rPr>
              <w:t>5</w:t>
            </w:r>
            <w:r w:rsidR="00540F3E">
              <w:rPr>
                <w:lang w:eastAsia="zh-CN"/>
              </w:rPr>
              <w:t>,</w:t>
            </w:r>
            <w:r w:rsidRPr="00F76C2B">
              <w:rPr>
                <w:lang w:eastAsia="zh-CN"/>
              </w:rPr>
              <w:t>583</w:t>
            </w:r>
          </w:p>
        </w:tc>
      </w:tr>
      <w:tr w:rsidR="0059147E" w:rsidRPr="00F76C2B" w14:paraId="521FBBFE" w14:textId="77777777" w:rsidTr="009A34C2">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ADCBA6" w14:textId="77777777" w:rsidR="0059147E" w:rsidRPr="00F76C2B" w:rsidRDefault="0059147E" w:rsidP="00540F3E">
            <w:pPr>
              <w:pStyle w:val="Tabletext"/>
              <w:jc w:val="center"/>
              <w:rPr>
                <w:lang w:eastAsia="zh-CN"/>
              </w:rPr>
            </w:pPr>
            <w:r w:rsidRPr="00F76C2B">
              <w:rPr>
                <w:lang w:eastAsia="zh-CN"/>
              </w:rPr>
              <w:t>SEY</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6A8DAE" w14:textId="53F1AA99" w:rsidR="0059147E" w:rsidRPr="00F76C2B" w:rsidRDefault="0059147E" w:rsidP="00540F3E">
            <w:pPr>
              <w:pStyle w:val="Tabletext"/>
              <w:jc w:val="center"/>
              <w:rPr>
                <w:lang w:eastAsia="zh-CN"/>
              </w:rPr>
            </w:pPr>
            <w:r w:rsidRPr="00F76C2B">
              <w:rPr>
                <w:lang w:eastAsia="zh-CN"/>
              </w:rPr>
              <w:t>45</w:t>
            </w:r>
            <w:r w:rsidR="007A7FF4">
              <w:rPr>
                <w:lang w:eastAsia="zh-CN"/>
              </w:rPr>
              <w:t>,</w:t>
            </w:r>
            <w:r w:rsidRPr="00F76C2B">
              <w:rPr>
                <w:lang w:eastAsia="zh-CN"/>
              </w:rPr>
              <w:t>2</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C9EEC0" w14:textId="51D88ACD" w:rsidR="0059147E" w:rsidRPr="00F76C2B" w:rsidRDefault="0059147E" w:rsidP="00540F3E">
            <w:pPr>
              <w:pStyle w:val="Tabletext"/>
              <w:jc w:val="center"/>
              <w:rPr>
                <w:lang w:eastAsia="zh-CN"/>
              </w:rPr>
            </w:pPr>
            <w:r w:rsidRPr="00F76C2B">
              <w:rPr>
                <w:lang w:eastAsia="zh-CN"/>
              </w:rPr>
              <w:t>-6</w:t>
            </w:r>
            <w:r w:rsidR="007A7FF4">
              <w:rPr>
                <w:lang w:eastAsia="zh-CN"/>
              </w:rPr>
              <w:t>,</w:t>
            </w:r>
            <w:r w:rsidRPr="00F76C2B">
              <w:rPr>
                <w:lang w:eastAsia="zh-CN"/>
              </w:rPr>
              <w:t>055</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D931D6" w14:textId="7C7903F0" w:rsidR="0059147E" w:rsidRPr="00F76C2B" w:rsidRDefault="0059147E" w:rsidP="00540F3E">
            <w:pPr>
              <w:pStyle w:val="Tabletext"/>
              <w:jc w:val="center"/>
              <w:rPr>
                <w:lang w:eastAsia="zh-CN"/>
              </w:rPr>
            </w:pPr>
            <w:r w:rsidRPr="00F76C2B">
              <w:rPr>
                <w:lang w:eastAsia="zh-CN"/>
              </w:rPr>
              <w:t>0</w:t>
            </w:r>
            <w:r w:rsidR="007A7FF4">
              <w:rPr>
                <w:lang w:eastAsia="zh-CN"/>
              </w:rPr>
              <w:t>,</w:t>
            </w:r>
            <w:r w:rsidRPr="00F76C2B">
              <w:rPr>
                <w:lang w:eastAsia="zh-CN"/>
              </w:rPr>
              <w:t>639</w:t>
            </w:r>
          </w:p>
        </w:tc>
        <w:tc>
          <w:tcPr>
            <w:tcW w:w="11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59C2C6" w14:textId="44123178" w:rsidR="0059147E" w:rsidRPr="00F76C2B" w:rsidRDefault="0059147E" w:rsidP="00540F3E">
            <w:pPr>
              <w:pStyle w:val="Tabletext"/>
              <w:jc w:val="center"/>
              <w:rPr>
                <w:lang w:eastAsia="zh-CN"/>
              </w:rPr>
            </w:pPr>
            <w:r w:rsidRPr="00F76C2B">
              <w:rPr>
                <w:lang w:eastAsia="zh-CN"/>
              </w:rPr>
              <w:t>20</w:t>
            </w:r>
            <w:r w:rsidR="00540F3E">
              <w:rPr>
                <w:lang w:eastAsia="zh-CN"/>
              </w:rPr>
              <w:t>,</w:t>
            </w:r>
            <w:r w:rsidRPr="00F76C2B">
              <w:rPr>
                <w:lang w:eastAsia="zh-CN"/>
              </w:rPr>
              <w:t>717</w:t>
            </w:r>
          </w:p>
        </w:tc>
        <w:tc>
          <w:tcPr>
            <w:tcW w:w="123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91EC37" w14:textId="4324A2BB" w:rsidR="0059147E" w:rsidRPr="00F76C2B" w:rsidRDefault="0059147E" w:rsidP="00540F3E">
            <w:pPr>
              <w:pStyle w:val="Tabletext"/>
              <w:jc w:val="center"/>
              <w:rPr>
                <w:lang w:eastAsia="zh-CN"/>
              </w:rPr>
            </w:pPr>
            <w:r w:rsidRPr="00F76C2B">
              <w:rPr>
                <w:lang w:eastAsia="zh-CN"/>
              </w:rPr>
              <w:t>22</w:t>
            </w:r>
            <w:r w:rsidR="00540F3E">
              <w:rPr>
                <w:lang w:eastAsia="zh-CN"/>
              </w:rPr>
              <w:t>,</w:t>
            </w:r>
            <w:r w:rsidRPr="00F76C2B">
              <w:rPr>
                <w:lang w:eastAsia="zh-CN"/>
              </w:rPr>
              <w:t>543</w:t>
            </w:r>
          </w:p>
        </w:tc>
      </w:tr>
    </w:tbl>
    <w:p w14:paraId="786A5D86" w14:textId="02B7EC7A" w:rsidR="0059147E" w:rsidRPr="00385A16" w:rsidRDefault="0059147E" w:rsidP="00926EF0">
      <w:pPr>
        <w:pStyle w:val="Heading2"/>
        <w:rPr>
          <w:b w:val="0"/>
          <w:lang w:val="es-ES"/>
        </w:rPr>
      </w:pPr>
      <w:r w:rsidRPr="00385A16">
        <w:rPr>
          <w:lang w:val="es-ES"/>
        </w:rPr>
        <w:t>1.4</w:t>
      </w:r>
      <w:r w:rsidRPr="00385A16">
        <w:rPr>
          <w:lang w:val="es-ES"/>
        </w:rPr>
        <w:tab/>
        <w:t xml:space="preserve">Resumen de la situación de la Lista de </w:t>
      </w:r>
      <w:r w:rsidRPr="00926EF0">
        <w:t>usos</w:t>
      </w:r>
      <w:r w:rsidRPr="00385A16">
        <w:rPr>
          <w:lang w:val="es-ES"/>
        </w:rPr>
        <w:t xml:space="preserve"> adicionales en las Regiones 1 y </w:t>
      </w:r>
      <w:r>
        <w:rPr>
          <w:lang w:val="es-ES"/>
        </w:rPr>
        <w:t>3</w:t>
      </w:r>
      <w:r w:rsidRPr="00385A16">
        <w:rPr>
          <w:lang w:val="es-ES"/>
        </w:rPr>
        <w:t xml:space="preserve"> </w:t>
      </w:r>
    </w:p>
    <w:p w14:paraId="2392CE39" w14:textId="77777777" w:rsidR="0059147E" w:rsidRPr="00106F86" w:rsidRDefault="0059147E" w:rsidP="0059147E">
      <w:pPr>
        <w:rPr>
          <w:lang w:val="es-ES"/>
        </w:rPr>
      </w:pPr>
      <w:r w:rsidRPr="00106F86">
        <w:rPr>
          <w:lang w:val="es-ES"/>
        </w:rPr>
        <w:t xml:space="preserve">Los usos adicionales en las Regiones 1 y 3 contenidos en los Apéndices </w:t>
      </w:r>
      <w:r w:rsidRPr="00106F86">
        <w:rPr>
          <w:b/>
          <w:bCs/>
          <w:lang w:val="es-ES"/>
        </w:rPr>
        <w:t>30</w:t>
      </w:r>
      <w:r w:rsidRPr="00106F86">
        <w:rPr>
          <w:lang w:val="es-ES"/>
        </w:rPr>
        <w:t xml:space="preserve"> y </w:t>
      </w:r>
      <w:r w:rsidRPr="00106F86">
        <w:rPr>
          <w:b/>
          <w:bCs/>
          <w:lang w:val="es-ES"/>
        </w:rPr>
        <w:t>30A</w:t>
      </w:r>
      <w:r w:rsidRPr="00106F86">
        <w:rPr>
          <w:lang w:val="es-ES"/>
        </w:rPr>
        <w:t xml:space="preserve"> son los siguientes:</w:t>
      </w:r>
    </w:p>
    <w:p w14:paraId="51FE33F4" w14:textId="77777777" w:rsidR="0059147E" w:rsidRPr="00106F86" w:rsidRDefault="0059147E" w:rsidP="0059147E">
      <w:pPr>
        <w:pStyle w:val="enumlev1"/>
        <w:rPr>
          <w:lang w:val="es-ES"/>
        </w:rPr>
      </w:pPr>
      <w:r w:rsidRPr="00106F86">
        <w:rPr>
          <w:lang w:val="es-ES"/>
        </w:rPr>
        <w:t>•</w:t>
      </w:r>
      <w:r w:rsidRPr="00106F86">
        <w:rPr>
          <w:lang w:val="es-ES"/>
        </w:rPr>
        <w:tab/>
        <w:t xml:space="preserve">uso de asignaciones con características distintas de las que figuran en los Planes y que pueden ocasionar más interferencias que las inscritas en ese Plan; </w:t>
      </w:r>
    </w:p>
    <w:p w14:paraId="201BE9EA" w14:textId="77777777" w:rsidR="0059147E" w:rsidRPr="00106F86" w:rsidRDefault="0059147E" w:rsidP="0059147E">
      <w:pPr>
        <w:pStyle w:val="enumlev1"/>
        <w:rPr>
          <w:lang w:val="es-ES"/>
        </w:rPr>
      </w:pPr>
      <w:r w:rsidRPr="00106F86">
        <w:rPr>
          <w:lang w:val="es-ES"/>
        </w:rPr>
        <w:t>•</w:t>
      </w:r>
      <w:r w:rsidRPr="00106F86">
        <w:rPr>
          <w:lang w:val="es-ES"/>
        </w:rPr>
        <w:tab/>
        <w:t>uso de asignaciones adicionales a las que se consignan en el Plan.</w:t>
      </w:r>
    </w:p>
    <w:p w14:paraId="69E97A6A" w14:textId="77777777" w:rsidR="0059147E" w:rsidRPr="00106F86" w:rsidRDefault="0059147E" w:rsidP="0059147E">
      <w:pPr>
        <w:jc w:val="both"/>
        <w:rPr>
          <w:rFonts w:asciiTheme="minorHAnsi" w:hAnsiTheme="minorHAnsi" w:cstheme="minorHAnsi"/>
          <w:szCs w:val="24"/>
          <w:lang w:val="es-ES"/>
        </w:rPr>
      </w:pPr>
      <w:r w:rsidRPr="00106F86">
        <w:rPr>
          <w:lang w:val="es-ES"/>
        </w:rPr>
        <w:t xml:space="preserve">Diversas Administraciones han aplicado los procedimientos del Artículo 4 de los Apéndices </w:t>
      </w:r>
      <w:r w:rsidRPr="00106F86">
        <w:rPr>
          <w:b/>
          <w:bCs/>
          <w:lang w:val="es-ES"/>
        </w:rPr>
        <w:t>30</w:t>
      </w:r>
      <w:r w:rsidRPr="00106F86">
        <w:rPr>
          <w:lang w:val="es-ES"/>
        </w:rPr>
        <w:t xml:space="preserve"> y </w:t>
      </w:r>
      <w:r w:rsidRPr="00106F86">
        <w:rPr>
          <w:b/>
          <w:bCs/>
          <w:lang w:val="es-ES"/>
        </w:rPr>
        <w:t>30A</w:t>
      </w:r>
      <w:r w:rsidRPr="00106F86">
        <w:rPr>
          <w:lang w:val="es-ES"/>
        </w:rPr>
        <w:t xml:space="preserve"> para usos adicionales en las Regiones 1 y 3. En los Cuadros 4 y 5 que figuran a continuación se resume el número de redes para usos adicionales que figuran en las Listas de los Apéndices </w:t>
      </w:r>
      <w:r w:rsidRPr="00106F86">
        <w:rPr>
          <w:b/>
          <w:bCs/>
          <w:lang w:val="es-ES"/>
        </w:rPr>
        <w:t>30</w:t>
      </w:r>
      <w:r w:rsidRPr="00106F86">
        <w:rPr>
          <w:lang w:val="es-ES"/>
        </w:rPr>
        <w:t xml:space="preserve"> y </w:t>
      </w:r>
      <w:r w:rsidRPr="00106F86">
        <w:rPr>
          <w:b/>
          <w:bCs/>
          <w:lang w:val="es-ES"/>
        </w:rPr>
        <w:t>30A</w:t>
      </w:r>
      <w:r w:rsidRPr="00106F86">
        <w:rPr>
          <w:rFonts w:asciiTheme="minorHAnsi" w:hAnsiTheme="minorHAnsi" w:cstheme="minorHAnsi"/>
          <w:szCs w:val="24"/>
          <w:lang w:val="es-ES"/>
        </w:rPr>
        <w:t xml:space="preserve"> 20 de</w:t>
      </w:r>
      <w:r>
        <w:rPr>
          <w:rFonts w:asciiTheme="minorHAnsi" w:hAnsiTheme="minorHAnsi" w:cstheme="minorHAnsi"/>
          <w:szCs w:val="24"/>
          <w:lang w:val="es-ES"/>
        </w:rPr>
        <w:t xml:space="preserve"> febrero de</w:t>
      </w:r>
      <w:r w:rsidRPr="00106F86">
        <w:rPr>
          <w:rFonts w:asciiTheme="minorHAnsi" w:hAnsiTheme="minorHAnsi" w:cstheme="minorHAnsi"/>
          <w:szCs w:val="24"/>
          <w:lang w:val="es-ES"/>
        </w:rPr>
        <w:t xml:space="preserve"> 2024 (BR IFIC 3015).</w:t>
      </w:r>
    </w:p>
    <w:p w14:paraId="3D0A2E7E" w14:textId="77777777" w:rsidR="0059147E" w:rsidRPr="002D2E23" w:rsidRDefault="0059147E" w:rsidP="00926EF0">
      <w:pPr>
        <w:pStyle w:val="TableNo"/>
        <w:keepLines/>
        <w:rPr>
          <w:rFonts w:asciiTheme="minorHAnsi" w:hAnsiTheme="minorHAnsi" w:cstheme="minorHAnsi"/>
          <w:szCs w:val="24"/>
          <w:lang w:val="es-ES"/>
        </w:rPr>
      </w:pPr>
      <w:r w:rsidRPr="00540F3E">
        <w:rPr>
          <w:lang w:val="es-ES"/>
        </w:rPr>
        <w:lastRenderedPageBreak/>
        <w:t>Cuadro</w:t>
      </w:r>
      <w:r w:rsidRPr="002D2E23">
        <w:rPr>
          <w:rFonts w:asciiTheme="minorHAnsi" w:hAnsiTheme="minorHAnsi" w:cstheme="minorHAnsi"/>
          <w:szCs w:val="24"/>
          <w:lang w:val="es-ES"/>
        </w:rPr>
        <w:t xml:space="preserve"> 4</w:t>
      </w:r>
    </w:p>
    <w:p w14:paraId="4AA66686" w14:textId="77777777" w:rsidR="0059147E" w:rsidRPr="00B36273" w:rsidRDefault="0059147E" w:rsidP="00926EF0">
      <w:pPr>
        <w:pStyle w:val="Tabletitle"/>
        <w:keepLines/>
        <w:rPr>
          <w:rFonts w:asciiTheme="minorHAnsi" w:hAnsiTheme="minorHAnsi" w:cstheme="minorHAnsi"/>
          <w:szCs w:val="24"/>
          <w:lang w:val="es-ES"/>
        </w:rPr>
      </w:pPr>
      <w:r w:rsidRPr="00B36273">
        <w:rPr>
          <w:rFonts w:asciiTheme="minorHAnsi" w:hAnsiTheme="minorHAnsi" w:cstheme="minorHAnsi"/>
          <w:szCs w:val="24"/>
          <w:lang w:val="es-ES"/>
        </w:rPr>
        <w:t xml:space="preserve">Número de redes de usos </w:t>
      </w:r>
      <w:r w:rsidRPr="00B36273">
        <w:rPr>
          <w:lang w:val="es-ES"/>
        </w:rPr>
        <w:t>adicionales</w:t>
      </w:r>
      <w:r w:rsidRPr="00B36273">
        <w:rPr>
          <w:rFonts w:asciiTheme="minorHAnsi" w:hAnsiTheme="minorHAnsi" w:cstheme="minorHAnsi"/>
          <w:szCs w:val="24"/>
          <w:lang w:val="es-ES"/>
        </w:rPr>
        <w:t xml:space="preserve"> incluidas en la Lista del Apéndice 30</w:t>
      </w:r>
    </w:p>
    <w:tbl>
      <w:tblPr>
        <w:tblW w:w="6995" w:type="dxa"/>
        <w:jc w:val="center"/>
        <w:tblLook w:val="04A0" w:firstRow="1" w:lastRow="0" w:firstColumn="1" w:lastColumn="0" w:noHBand="0" w:noVBand="1"/>
      </w:tblPr>
      <w:tblGrid>
        <w:gridCol w:w="1715"/>
        <w:gridCol w:w="1735"/>
        <w:gridCol w:w="1715"/>
        <w:gridCol w:w="1830"/>
      </w:tblGrid>
      <w:tr w:rsidR="0059147E" w:rsidRPr="00F76C2B" w14:paraId="6BBAB0E7" w14:textId="77777777" w:rsidTr="00540F3E">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7F8D8" w14:textId="77777777" w:rsidR="0059147E" w:rsidRPr="00F76C2B" w:rsidRDefault="0059147E" w:rsidP="00926EF0">
            <w:pPr>
              <w:pStyle w:val="Tablehead"/>
              <w:keepNext/>
              <w:keepLines/>
              <w:rPr>
                <w:lang w:eastAsia="zh-CN"/>
              </w:rPr>
            </w:pPr>
            <w:r w:rsidRPr="00F76C2B">
              <w:rPr>
                <w:lang w:eastAsia="zh-CN"/>
              </w:rPr>
              <w:t>Administra</w:t>
            </w:r>
            <w:r>
              <w:rPr>
                <w:lang w:eastAsia="zh-CN"/>
              </w:rPr>
              <w:t>ción</w:t>
            </w:r>
          </w:p>
          <w:p w14:paraId="68D27253" w14:textId="77777777" w:rsidR="0059147E" w:rsidRPr="00F76C2B" w:rsidRDefault="0059147E" w:rsidP="00926EF0">
            <w:pPr>
              <w:pStyle w:val="Tablehead"/>
              <w:keepNext/>
              <w:keepLines/>
              <w:rPr>
                <w:lang w:eastAsia="zh-CN"/>
              </w:rPr>
            </w:pPr>
            <w:r w:rsidRPr="00F76C2B">
              <w:rPr>
                <w:lang w:eastAsia="zh-CN"/>
              </w:rPr>
              <w:t>(Organiza</w:t>
            </w:r>
            <w:r>
              <w:rPr>
                <w:lang w:eastAsia="zh-CN"/>
              </w:rPr>
              <w:t>ción</w:t>
            </w:r>
            <w:r w:rsidRPr="00F76C2B">
              <w:rPr>
                <w:lang w:eastAsia="zh-CN"/>
              </w:rPr>
              <w:t>)</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C78BDBB" w14:textId="77777777" w:rsidR="0059147E" w:rsidRPr="00F76C2B" w:rsidRDefault="0059147E" w:rsidP="00926EF0">
            <w:pPr>
              <w:pStyle w:val="Tablehead"/>
              <w:keepNext/>
              <w:keepLines/>
              <w:rPr>
                <w:lang w:eastAsia="zh-CN"/>
              </w:rPr>
            </w:pPr>
            <w:r>
              <w:rPr>
                <w:lang w:eastAsia="zh-CN"/>
              </w:rPr>
              <w:t>Número de redes</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6F139821" w14:textId="77777777" w:rsidR="0059147E" w:rsidRPr="00F76C2B" w:rsidRDefault="0059147E" w:rsidP="00926EF0">
            <w:pPr>
              <w:pStyle w:val="Tablehead"/>
              <w:keepNext/>
              <w:keepLines/>
              <w:rPr>
                <w:lang w:eastAsia="zh-CN"/>
              </w:rPr>
            </w:pPr>
            <w:r w:rsidRPr="00F76C2B">
              <w:rPr>
                <w:lang w:eastAsia="zh-CN"/>
              </w:rPr>
              <w:t>Administra</w:t>
            </w:r>
            <w:r>
              <w:rPr>
                <w:lang w:eastAsia="zh-CN"/>
              </w:rPr>
              <w:t>ción</w:t>
            </w:r>
          </w:p>
          <w:p w14:paraId="5DC02B17" w14:textId="77777777" w:rsidR="0059147E" w:rsidRPr="00F76C2B" w:rsidRDefault="0059147E" w:rsidP="00926EF0">
            <w:pPr>
              <w:pStyle w:val="Tablehead"/>
              <w:keepNext/>
              <w:keepLines/>
              <w:rPr>
                <w:lang w:eastAsia="zh-CN"/>
              </w:rPr>
            </w:pPr>
            <w:r w:rsidRPr="00F76C2B">
              <w:rPr>
                <w:lang w:eastAsia="zh-CN"/>
              </w:rPr>
              <w:t>(Organiza</w:t>
            </w:r>
            <w:r>
              <w:rPr>
                <w:lang w:eastAsia="zh-CN"/>
              </w:rPr>
              <w:t>ción</w:t>
            </w:r>
            <w:r w:rsidRPr="00F76C2B">
              <w:rPr>
                <w:lang w:eastAsia="zh-CN"/>
              </w:rPr>
              <w:t>)</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3041E9FF" w14:textId="77777777" w:rsidR="0059147E" w:rsidRPr="00F76C2B" w:rsidRDefault="0059147E" w:rsidP="00926EF0">
            <w:pPr>
              <w:pStyle w:val="Tablehead"/>
              <w:keepNext/>
              <w:keepLines/>
              <w:jc w:val="right"/>
              <w:rPr>
                <w:lang w:eastAsia="zh-CN"/>
              </w:rPr>
            </w:pPr>
            <w:r>
              <w:rPr>
                <w:lang w:eastAsia="zh-CN"/>
              </w:rPr>
              <w:t>Número de redes</w:t>
            </w:r>
          </w:p>
        </w:tc>
      </w:tr>
      <w:tr w:rsidR="0059147E" w:rsidRPr="00F76C2B" w14:paraId="3A9C57C0"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42182E1" w14:textId="77777777" w:rsidR="0059147E" w:rsidRPr="00F76C2B" w:rsidRDefault="0059147E" w:rsidP="00926EF0">
            <w:pPr>
              <w:pStyle w:val="Tabletext"/>
              <w:keepNext/>
              <w:keepLines/>
              <w:jc w:val="center"/>
              <w:rPr>
                <w:lang w:eastAsia="zh-CN"/>
              </w:rPr>
            </w:pPr>
            <w:r w:rsidRPr="00F76C2B">
              <w:rPr>
                <w:lang w:eastAsia="zh-CN"/>
              </w:rPr>
              <w:t>ALG</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4A6E068" w14:textId="77777777" w:rsidR="0059147E" w:rsidRPr="00F76C2B" w:rsidRDefault="0059147E" w:rsidP="00926EF0">
            <w:pPr>
              <w:pStyle w:val="Tabletext"/>
              <w:keepNext/>
              <w:keepLines/>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0FBDA8F" w14:textId="77777777" w:rsidR="0059147E" w:rsidRPr="00F76C2B" w:rsidRDefault="0059147E" w:rsidP="00926EF0">
            <w:pPr>
              <w:pStyle w:val="Tabletext"/>
              <w:keepNext/>
              <w:keepLines/>
              <w:jc w:val="center"/>
              <w:rPr>
                <w:lang w:eastAsia="zh-CN"/>
              </w:rPr>
            </w:pPr>
            <w:r w:rsidRPr="00F76C2B">
              <w:rPr>
                <w:lang w:eastAsia="zh-CN"/>
              </w:rPr>
              <w:t>ISR</w:t>
            </w:r>
          </w:p>
        </w:tc>
        <w:tc>
          <w:tcPr>
            <w:tcW w:w="1830" w:type="dxa"/>
            <w:tcBorders>
              <w:top w:val="nil"/>
              <w:left w:val="nil"/>
              <w:bottom w:val="single" w:sz="4" w:space="0" w:color="auto"/>
              <w:right w:val="single" w:sz="4" w:space="0" w:color="auto"/>
            </w:tcBorders>
            <w:shd w:val="clear" w:color="auto" w:fill="auto"/>
            <w:noWrap/>
            <w:vAlign w:val="bottom"/>
          </w:tcPr>
          <w:p w14:paraId="68FC858D" w14:textId="77777777" w:rsidR="0059147E" w:rsidRPr="00F76C2B" w:rsidRDefault="0059147E" w:rsidP="00926EF0">
            <w:pPr>
              <w:pStyle w:val="Tabletext"/>
              <w:keepNext/>
              <w:keepLines/>
              <w:jc w:val="center"/>
              <w:rPr>
                <w:lang w:eastAsia="zh-CN"/>
              </w:rPr>
            </w:pPr>
            <w:r w:rsidRPr="00F76C2B">
              <w:rPr>
                <w:lang w:eastAsia="zh-CN"/>
              </w:rPr>
              <w:t>1</w:t>
            </w:r>
          </w:p>
        </w:tc>
      </w:tr>
      <w:tr w:rsidR="0059147E" w:rsidRPr="00F76C2B" w14:paraId="491AF0B9"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ADF3F50" w14:textId="77777777" w:rsidR="0059147E" w:rsidRPr="00F76C2B" w:rsidRDefault="0059147E" w:rsidP="00926EF0">
            <w:pPr>
              <w:pStyle w:val="Tabletext"/>
              <w:keepNext/>
              <w:keepLines/>
              <w:jc w:val="center"/>
              <w:rPr>
                <w:lang w:eastAsia="zh-CN"/>
              </w:rPr>
            </w:pPr>
            <w:r w:rsidRPr="00F76C2B">
              <w:rPr>
                <w:lang w:eastAsia="zh-CN"/>
              </w:rPr>
              <w:t>ARS/ARB</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018C9C62" w14:textId="77777777" w:rsidR="0059147E" w:rsidRPr="00F76C2B" w:rsidRDefault="0059147E" w:rsidP="00926EF0">
            <w:pPr>
              <w:pStyle w:val="Tabletext"/>
              <w:keepNext/>
              <w:keepLines/>
              <w:jc w:val="center"/>
              <w:rPr>
                <w:lang w:eastAsia="zh-CN"/>
              </w:rPr>
            </w:pPr>
            <w:r w:rsidRPr="00F76C2B">
              <w:rPr>
                <w:lang w:eastAsia="zh-CN"/>
              </w:rPr>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A58178C" w14:textId="77777777" w:rsidR="0059147E" w:rsidRPr="00F76C2B" w:rsidRDefault="0059147E" w:rsidP="00926EF0">
            <w:pPr>
              <w:pStyle w:val="Tabletext"/>
              <w:keepNext/>
              <w:keepLines/>
              <w:jc w:val="center"/>
              <w:rPr>
                <w:lang w:eastAsia="zh-CN"/>
              </w:rPr>
            </w:pPr>
            <w:r w:rsidRPr="00F76C2B">
              <w:rPr>
                <w:lang w:eastAsia="zh-CN"/>
              </w:rPr>
              <w:t>J</w:t>
            </w:r>
          </w:p>
        </w:tc>
        <w:tc>
          <w:tcPr>
            <w:tcW w:w="1830" w:type="dxa"/>
            <w:tcBorders>
              <w:top w:val="nil"/>
              <w:left w:val="nil"/>
              <w:bottom w:val="single" w:sz="4" w:space="0" w:color="auto"/>
              <w:right w:val="single" w:sz="4" w:space="0" w:color="auto"/>
            </w:tcBorders>
            <w:shd w:val="clear" w:color="auto" w:fill="auto"/>
            <w:noWrap/>
            <w:vAlign w:val="bottom"/>
          </w:tcPr>
          <w:p w14:paraId="708C1552" w14:textId="77777777" w:rsidR="0059147E" w:rsidRPr="00F76C2B" w:rsidRDefault="0059147E" w:rsidP="00926EF0">
            <w:pPr>
              <w:pStyle w:val="Tabletext"/>
              <w:keepNext/>
              <w:keepLines/>
              <w:jc w:val="center"/>
              <w:rPr>
                <w:lang w:eastAsia="zh-CN"/>
              </w:rPr>
            </w:pPr>
            <w:r w:rsidRPr="00F76C2B">
              <w:rPr>
                <w:lang w:eastAsia="zh-CN"/>
              </w:rPr>
              <w:t>9</w:t>
            </w:r>
          </w:p>
        </w:tc>
      </w:tr>
      <w:tr w:rsidR="0059147E" w:rsidRPr="00F76C2B" w14:paraId="2C5D742F"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991CA17" w14:textId="77777777" w:rsidR="0059147E" w:rsidRPr="00F76C2B" w:rsidRDefault="0059147E" w:rsidP="00926EF0">
            <w:pPr>
              <w:pStyle w:val="Tabletext"/>
              <w:keepNext/>
              <w:keepLines/>
              <w:jc w:val="center"/>
              <w:rPr>
                <w:lang w:eastAsia="zh-CN"/>
              </w:rPr>
            </w:pPr>
            <w:r w:rsidRPr="00F76C2B">
              <w:rPr>
                <w:lang w:eastAsia="zh-CN"/>
              </w:rPr>
              <w:t>AUS</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5902A8E0" w14:textId="77777777" w:rsidR="0059147E" w:rsidRPr="00F76C2B" w:rsidRDefault="0059147E" w:rsidP="00926EF0">
            <w:pPr>
              <w:pStyle w:val="Tabletext"/>
              <w:keepNext/>
              <w:keepLines/>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6156F04" w14:textId="77777777" w:rsidR="0059147E" w:rsidRPr="00F76C2B" w:rsidRDefault="0059147E" w:rsidP="00926EF0">
            <w:pPr>
              <w:pStyle w:val="Tabletext"/>
              <w:keepNext/>
              <w:keepLines/>
              <w:jc w:val="center"/>
              <w:rPr>
                <w:lang w:eastAsia="zh-CN"/>
              </w:rPr>
            </w:pPr>
            <w:r w:rsidRPr="00F76C2B">
              <w:rPr>
                <w:lang w:eastAsia="zh-CN"/>
              </w:rPr>
              <w:t>KOR</w:t>
            </w:r>
          </w:p>
        </w:tc>
        <w:tc>
          <w:tcPr>
            <w:tcW w:w="1830" w:type="dxa"/>
            <w:tcBorders>
              <w:top w:val="nil"/>
              <w:left w:val="nil"/>
              <w:bottom w:val="single" w:sz="4" w:space="0" w:color="auto"/>
              <w:right w:val="single" w:sz="4" w:space="0" w:color="auto"/>
            </w:tcBorders>
            <w:shd w:val="clear" w:color="auto" w:fill="auto"/>
            <w:noWrap/>
            <w:vAlign w:val="bottom"/>
          </w:tcPr>
          <w:p w14:paraId="0F50DDE6" w14:textId="77777777" w:rsidR="0059147E" w:rsidRPr="00F76C2B" w:rsidRDefault="0059147E" w:rsidP="00926EF0">
            <w:pPr>
              <w:pStyle w:val="Tabletext"/>
              <w:keepNext/>
              <w:keepLines/>
              <w:jc w:val="center"/>
              <w:rPr>
                <w:lang w:eastAsia="zh-CN"/>
              </w:rPr>
            </w:pPr>
            <w:r w:rsidRPr="00F76C2B">
              <w:rPr>
                <w:lang w:eastAsia="zh-CN"/>
              </w:rPr>
              <w:t>2</w:t>
            </w:r>
          </w:p>
        </w:tc>
      </w:tr>
      <w:tr w:rsidR="0059147E" w:rsidRPr="00451442" w14:paraId="0752C63A"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83EE852" w14:textId="77777777" w:rsidR="0059147E" w:rsidRPr="00F76C2B" w:rsidRDefault="0059147E" w:rsidP="00926EF0">
            <w:pPr>
              <w:pStyle w:val="Tabletext"/>
              <w:keepNext/>
              <w:keepLines/>
              <w:jc w:val="center"/>
              <w:rPr>
                <w:lang w:eastAsia="zh-CN"/>
              </w:rPr>
            </w:pPr>
            <w:r w:rsidRPr="00F76C2B">
              <w:rPr>
                <w:lang w:eastAsia="zh-CN"/>
              </w:rPr>
              <w:t>BUL</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06362F0" w14:textId="77777777" w:rsidR="0059147E" w:rsidRPr="00F76C2B" w:rsidRDefault="0059147E" w:rsidP="00926EF0">
            <w:pPr>
              <w:pStyle w:val="Tabletext"/>
              <w:keepNext/>
              <w:keepLines/>
              <w:jc w:val="center"/>
              <w:rPr>
                <w:lang w:eastAsia="zh-CN"/>
              </w:rPr>
            </w:pPr>
            <w:r w:rsidRPr="00F76C2B">
              <w:rPr>
                <w:lang w:eastAsia="zh-CN"/>
              </w:rPr>
              <w:t>2</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FD7602A" w14:textId="77777777" w:rsidR="0059147E" w:rsidRPr="00F76C2B" w:rsidRDefault="0059147E" w:rsidP="00926EF0">
            <w:pPr>
              <w:pStyle w:val="Tabletext"/>
              <w:keepNext/>
              <w:keepLines/>
              <w:jc w:val="center"/>
              <w:rPr>
                <w:lang w:eastAsia="zh-CN"/>
              </w:rPr>
            </w:pPr>
            <w:r w:rsidRPr="00F76C2B">
              <w:rPr>
                <w:lang w:eastAsia="zh-CN"/>
              </w:rPr>
              <w:t>LUX</w:t>
            </w:r>
          </w:p>
        </w:tc>
        <w:tc>
          <w:tcPr>
            <w:tcW w:w="1830" w:type="dxa"/>
            <w:tcBorders>
              <w:top w:val="nil"/>
              <w:left w:val="nil"/>
              <w:bottom w:val="single" w:sz="4" w:space="0" w:color="auto"/>
              <w:right w:val="single" w:sz="4" w:space="0" w:color="auto"/>
            </w:tcBorders>
            <w:shd w:val="clear" w:color="auto" w:fill="auto"/>
            <w:noWrap/>
            <w:vAlign w:val="bottom"/>
          </w:tcPr>
          <w:p w14:paraId="4490EFF8" w14:textId="77777777" w:rsidR="0059147E" w:rsidRPr="00F76C2B" w:rsidRDefault="0059147E" w:rsidP="00926EF0">
            <w:pPr>
              <w:pStyle w:val="Tabletext"/>
              <w:keepNext/>
              <w:keepLines/>
              <w:jc w:val="center"/>
              <w:rPr>
                <w:lang w:eastAsia="zh-CN"/>
              </w:rPr>
            </w:pPr>
            <w:r w:rsidRPr="00F76C2B">
              <w:rPr>
                <w:lang w:eastAsia="zh-CN"/>
              </w:rPr>
              <w:t>14</w:t>
            </w:r>
          </w:p>
        </w:tc>
      </w:tr>
      <w:tr w:rsidR="0059147E" w:rsidRPr="00F76C2B" w14:paraId="2F422C22"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0D8B5D57" w14:textId="77777777" w:rsidR="0059147E" w:rsidRPr="00F76C2B" w:rsidRDefault="0059147E" w:rsidP="00926EF0">
            <w:pPr>
              <w:pStyle w:val="Tabletext"/>
              <w:keepNext/>
              <w:keepLines/>
              <w:jc w:val="center"/>
              <w:rPr>
                <w:lang w:eastAsia="zh-CN"/>
              </w:rPr>
            </w:pPr>
            <w:r w:rsidRPr="00F76C2B">
              <w:rPr>
                <w:lang w:eastAsia="zh-CN"/>
              </w:rPr>
              <w:t>CHN</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68883E9" w14:textId="77777777" w:rsidR="0059147E" w:rsidRPr="00F76C2B" w:rsidRDefault="0059147E" w:rsidP="00926EF0">
            <w:pPr>
              <w:pStyle w:val="Tabletext"/>
              <w:keepNext/>
              <w:keepLines/>
              <w:jc w:val="center"/>
              <w:rPr>
                <w:lang w:eastAsia="zh-CN"/>
              </w:rPr>
            </w:pPr>
            <w:r w:rsidRPr="00F76C2B">
              <w:rPr>
                <w:lang w:eastAsia="zh-CN"/>
              </w:rPr>
              <w:t>6</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E39490D" w14:textId="77777777" w:rsidR="0059147E" w:rsidRPr="00F76C2B" w:rsidRDefault="0059147E" w:rsidP="00926EF0">
            <w:pPr>
              <w:pStyle w:val="Tabletext"/>
              <w:keepNext/>
              <w:keepLines/>
              <w:jc w:val="center"/>
              <w:rPr>
                <w:lang w:eastAsia="zh-CN"/>
              </w:rPr>
            </w:pPr>
            <w:r w:rsidRPr="00F76C2B">
              <w:rPr>
                <w:lang w:eastAsia="zh-CN"/>
              </w:rPr>
              <w:t>MCO</w:t>
            </w:r>
          </w:p>
        </w:tc>
        <w:tc>
          <w:tcPr>
            <w:tcW w:w="1830" w:type="dxa"/>
            <w:tcBorders>
              <w:top w:val="nil"/>
              <w:left w:val="nil"/>
              <w:bottom w:val="single" w:sz="4" w:space="0" w:color="auto"/>
              <w:right w:val="single" w:sz="4" w:space="0" w:color="auto"/>
            </w:tcBorders>
            <w:shd w:val="clear" w:color="auto" w:fill="auto"/>
            <w:noWrap/>
            <w:vAlign w:val="bottom"/>
          </w:tcPr>
          <w:p w14:paraId="66B45588" w14:textId="77777777" w:rsidR="0059147E" w:rsidRPr="00F76C2B" w:rsidRDefault="0059147E" w:rsidP="00926EF0">
            <w:pPr>
              <w:pStyle w:val="Tabletext"/>
              <w:keepNext/>
              <w:keepLines/>
              <w:jc w:val="center"/>
              <w:rPr>
                <w:lang w:eastAsia="zh-CN"/>
              </w:rPr>
            </w:pPr>
            <w:r w:rsidRPr="00F76C2B">
              <w:rPr>
                <w:lang w:eastAsia="zh-CN"/>
              </w:rPr>
              <w:t>3</w:t>
            </w:r>
          </w:p>
        </w:tc>
      </w:tr>
      <w:tr w:rsidR="0059147E" w:rsidRPr="00F76C2B" w14:paraId="50CFC77E"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8A3D325" w14:textId="77777777" w:rsidR="0059147E" w:rsidRPr="00F76C2B" w:rsidRDefault="0059147E" w:rsidP="00926EF0">
            <w:pPr>
              <w:pStyle w:val="Tabletext"/>
              <w:keepNext/>
              <w:keepLines/>
              <w:jc w:val="center"/>
              <w:rPr>
                <w:lang w:eastAsia="zh-CN"/>
              </w:rPr>
            </w:pPr>
            <w:r w:rsidRPr="00F76C2B">
              <w:rPr>
                <w:lang w:eastAsia="zh-CN"/>
              </w:rPr>
              <w:t>CYP</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5FE7EE28" w14:textId="77777777" w:rsidR="0059147E" w:rsidRPr="00F76C2B" w:rsidRDefault="0059147E" w:rsidP="00926EF0">
            <w:pPr>
              <w:pStyle w:val="Tabletext"/>
              <w:keepNext/>
              <w:keepLines/>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FA86BD1" w14:textId="77777777" w:rsidR="0059147E" w:rsidRPr="00F76C2B" w:rsidRDefault="0059147E" w:rsidP="00926EF0">
            <w:pPr>
              <w:pStyle w:val="Tabletext"/>
              <w:keepNext/>
              <w:keepLines/>
              <w:jc w:val="center"/>
              <w:rPr>
                <w:lang w:eastAsia="zh-CN"/>
              </w:rPr>
            </w:pPr>
            <w:r w:rsidRPr="00F76C2B">
              <w:rPr>
                <w:lang w:eastAsia="zh-CN"/>
              </w:rPr>
              <w:t>MLA</w:t>
            </w:r>
          </w:p>
        </w:tc>
        <w:tc>
          <w:tcPr>
            <w:tcW w:w="1830" w:type="dxa"/>
            <w:tcBorders>
              <w:top w:val="nil"/>
              <w:left w:val="nil"/>
              <w:bottom w:val="single" w:sz="4" w:space="0" w:color="auto"/>
              <w:right w:val="single" w:sz="4" w:space="0" w:color="auto"/>
            </w:tcBorders>
            <w:shd w:val="clear" w:color="auto" w:fill="auto"/>
            <w:noWrap/>
            <w:vAlign w:val="bottom"/>
          </w:tcPr>
          <w:p w14:paraId="5B3D115B" w14:textId="77777777" w:rsidR="0059147E" w:rsidRPr="00F76C2B" w:rsidRDefault="0059147E" w:rsidP="00926EF0">
            <w:pPr>
              <w:pStyle w:val="Tabletext"/>
              <w:keepNext/>
              <w:keepLines/>
              <w:jc w:val="center"/>
              <w:rPr>
                <w:lang w:eastAsia="zh-CN"/>
              </w:rPr>
            </w:pPr>
            <w:r w:rsidRPr="00F76C2B">
              <w:rPr>
                <w:lang w:eastAsia="zh-CN"/>
              </w:rPr>
              <w:t>1</w:t>
            </w:r>
          </w:p>
        </w:tc>
      </w:tr>
      <w:tr w:rsidR="0059147E" w:rsidRPr="00F76C2B" w14:paraId="447E6E7B"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4E251B24" w14:textId="77777777" w:rsidR="0059147E" w:rsidRPr="00F76C2B" w:rsidRDefault="0059147E" w:rsidP="00926EF0">
            <w:pPr>
              <w:pStyle w:val="Tabletext"/>
              <w:keepNext/>
              <w:keepLines/>
              <w:jc w:val="center"/>
              <w:rPr>
                <w:lang w:eastAsia="zh-CN"/>
              </w:rPr>
            </w:pPr>
            <w:r w:rsidRPr="00F76C2B">
              <w:rPr>
                <w:lang w:eastAsia="zh-CN"/>
              </w:rPr>
              <w:t>D</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008F2347" w14:textId="77777777" w:rsidR="0059147E" w:rsidRPr="00F76C2B" w:rsidRDefault="0059147E" w:rsidP="00926EF0">
            <w:pPr>
              <w:pStyle w:val="Tabletext"/>
              <w:keepNext/>
              <w:keepLines/>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E48FD30" w14:textId="77777777" w:rsidR="0059147E" w:rsidRPr="00F76C2B" w:rsidRDefault="0059147E" w:rsidP="00926EF0">
            <w:pPr>
              <w:pStyle w:val="Tabletext"/>
              <w:keepNext/>
              <w:keepLines/>
              <w:jc w:val="center"/>
              <w:rPr>
                <w:lang w:eastAsia="zh-CN"/>
              </w:rPr>
            </w:pPr>
            <w:r w:rsidRPr="00F76C2B">
              <w:rPr>
                <w:lang w:eastAsia="zh-CN"/>
              </w:rPr>
              <w:t>NOR</w:t>
            </w:r>
          </w:p>
        </w:tc>
        <w:tc>
          <w:tcPr>
            <w:tcW w:w="1830" w:type="dxa"/>
            <w:tcBorders>
              <w:top w:val="nil"/>
              <w:left w:val="nil"/>
              <w:bottom w:val="single" w:sz="4" w:space="0" w:color="auto"/>
              <w:right w:val="single" w:sz="4" w:space="0" w:color="auto"/>
            </w:tcBorders>
            <w:shd w:val="clear" w:color="auto" w:fill="auto"/>
            <w:noWrap/>
            <w:vAlign w:val="bottom"/>
          </w:tcPr>
          <w:p w14:paraId="2125DC3A" w14:textId="77777777" w:rsidR="0059147E" w:rsidRPr="00F76C2B" w:rsidRDefault="0059147E" w:rsidP="00926EF0">
            <w:pPr>
              <w:pStyle w:val="Tabletext"/>
              <w:keepNext/>
              <w:keepLines/>
              <w:jc w:val="center"/>
              <w:rPr>
                <w:lang w:eastAsia="zh-CN"/>
              </w:rPr>
            </w:pPr>
            <w:r w:rsidRPr="00F76C2B">
              <w:rPr>
                <w:lang w:eastAsia="zh-CN"/>
              </w:rPr>
              <w:t>4</w:t>
            </w:r>
          </w:p>
        </w:tc>
      </w:tr>
      <w:tr w:rsidR="0059147E" w:rsidRPr="00F76C2B" w14:paraId="0E8A97A4"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416138DE" w14:textId="77777777" w:rsidR="0059147E" w:rsidRPr="00F76C2B" w:rsidRDefault="0059147E" w:rsidP="00926EF0">
            <w:pPr>
              <w:pStyle w:val="Tabletext"/>
              <w:keepNext/>
              <w:keepLines/>
              <w:jc w:val="center"/>
              <w:rPr>
                <w:lang w:eastAsia="zh-CN"/>
              </w:rPr>
            </w:pPr>
            <w:r w:rsidRPr="00F76C2B">
              <w:rPr>
                <w:lang w:eastAsia="zh-CN"/>
              </w:rPr>
              <w:t>E</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9CF6614" w14:textId="77777777" w:rsidR="0059147E" w:rsidRPr="00F76C2B" w:rsidRDefault="0059147E" w:rsidP="00926EF0">
            <w:pPr>
              <w:pStyle w:val="Tabletext"/>
              <w:keepNext/>
              <w:keepLines/>
              <w:jc w:val="center"/>
              <w:rPr>
                <w:lang w:eastAsia="zh-CN"/>
              </w:rPr>
            </w:pPr>
            <w:r>
              <w:rPr>
                <w:lang w:eastAsia="zh-CN"/>
              </w:rPr>
              <w:t>4</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48BE768" w14:textId="77777777" w:rsidR="0059147E" w:rsidRPr="00F76C2B" w:rsidRDefault="0059147E" w:rsidP="00926EF0">
            <w:pPr>
              <w:pStyle w:val="Tabletext"/>
              <w:keepNext/>
              <w:keepLines/>
              <w:jc w:val="center"/>
              <w:rPr>
                <w:lang w:eastAsia="zh-CN"/>
              </w:rPr>
            </w:pPr>
            <w:r w:rsidRPr="00F76C2B">
              <w:rPr>
                <w:lang w:eastAsia="zh-CN"/>
              </w:rPr>
              <w:t>PAK</w:t>
            </w:r>
          </w:p>
        </w:tc>
        <w:tc>
          <w:tcPr>
            <w:tcW w:w="1830" w:type="dxa"/>
            <w:tcBorders>
              <w:top w:val="nil"/>
              <w:left w:val="nil"/>
              <w:bottom w:val="single" w:sz="4" w:space="0" w:color="auto"/>
              <w:right w:val="single" w:sz="4" w:space="0" w:color="auto"/>
            </w:tcBorders>
            <w:shd w:val="clear" w:color="auto" w:fill="auto"/>
            <w:noWrap/>
            <w:vAlign w:val="bottom"/>
          </w:tcPr>
          <w:p w14:paraId="763947F6" w14:textId="77777777" w:rsidR="0059147E" w:rsidRPr="00F76C2B" w:rsidRDefault="0059147E" w:rsidP="00926EF0">
            <w:pPr>
              <w:pStyle w:val="Tabletext"/>
              <w:keepNext/>
              <w:keepLines/>
              <w:jc w:val="center"/>
              <w:rPr>
                <w:lang w:eastAsia="zh-CN"/>
              </w:rPr>
            </w:pPr>
            <w:r w:rsidRPr="00F76C2B">
              <w:rPr>
                <w:lang w:eastAsia="zh-CN"/>
              </w:rPr>
              <w:t>1</w:t>
            </w:r>
          </w:p>
        </w:tc>
      </w:tr>
      <w:tr w:rsidR="0059147E" w:rsidRPr="00F76C2B" w14:paraId="691B02AE"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5E81803" w14:textId="77777777" w:rsidR="0059147E" w:rsidRPr="00F76C2B" w:rsidRDefault="0059147E" w:rsidP="00926EF0">
            <w:pPr>
              <w:pStyle w:val="Tabletext"/>
              <w:keepNext/>
              <w:keepLines/>
              <w:jc w:val="center"/>
              <w:rPr>
                <w:lang w:eastAsia="zh-CN"/>
              </w:rPr>
            </w:pPr>
            <w:r w:rsidRPr="00F76C2B">
              <w:rPr>
                <w:lang w:eastAsia="zh-CN"/>
              </w:rPr>
              <w:t>EGY</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3EE1616" w14:textId="77777777" w:rsidR="0059147E" w:rsidRPr="00F76C2B" w:rsidRDefault="0059147E" w:rsidP="00926EF0">
            <w:pPr>
              <w:pStyle w:val="Tabletext"/>
              <w:keepNext/>
              <w:keepLines/>
              <w:jc w:val="center"/>
              <w:rPr>
                <w:lang w:eastAsia="zh-CN"/>
              </w:rPr>
            </w:pPr>
            <w:r w:rsidRPr="00F76C2B">
              <w:rPr>
                <w:lang w:eastAsia="zh-CN"/>
              </w:rPr>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FD23284" w14:textId="77777777" w:rsidR="0059147E" w:rsidRPr="00F76C2B" w:rsidRDefault="0059147E" w:rsidP="00926EF0">
            <w:pPr>
              <w:pStyle w:val="Tabletext"/>
              <w:keepNext/>
              <w:keepLines/>
              <w:jc w:val="center"/>
              <w:rPr>
                <w:lang w:eastAsia="zh-CN"/>
              </w:rPr>
            </w:pPr>
            <w:r w:rsidRPr="00F76C2B">
              <w:rPr>
                <w:lang w:eastAsia="zh-CN"/>
              </w:rPr>
              <w:t>PNG</w:t>
            </w:r>
          </w:p>
        </w:tc>
        <w:tc>
          <w:tcPr>
            <w:tcW w:w="1830" w:type="dxa"/>
            <w:tcBorders>
              <w:top w:val="nil"/>
              <w:left w:val="nil"/>
              <w:bottom w:val="single" w:sz="4" w:space="0" w:color="auto"/>
              <w:right w:val="single" w:sz="4" w:space="0" w:color="auto"/>
            </w:tcBorders>
            <w:shd w:val="clear" w:color="auto" w:fill="auto"/>
            <w:noWrap/>
            <w:vAlign w:val="bottom"/>
          </w:tcPr>
          <w:p w14:paraId="7DE8DAB3" w14:textId="77777777" w:rsidR="0059147E" w:rsidRPr="00F76C2B" w:rsidRDefault="0059147E" w:rsidP="00926EF0">
            <w:pPr>
              <w:pStyle w:val="Tabletext"/>
              <w:keepNext/>
              <w:keepLines/>
              <w:jc w:val="center"/>
              <w:rPr>
                <w:lang w:eastAsia="zh-CN"/>
              </w:rPr>
            </w:pPr>
            <w:r w:rsidRPr="00F76C2B">
              <w:rPr>
                <w:lang w:eastAsia="zh-CN"/>
              </w:rPr>
              <w:t>9</w:t>
            </w:r>
          </w:p>
        </w:tc>
      </w:tr>
      <w:tr w:rsidR="0059147E" w:rsidRPr="00F76C2B" w14:paraId="755D152C"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4C42BE94" w14:textId="77777777" w:rsidR="0059147E" w:rsidRPr="00F76C2B" w:rsidRDefault="0059147E" w:rsidP="00926EF0">
            <w:pPr>
              <w:pStyle w:val="Tabletext"/>
              <w:keepNext/>
              <w:keepLines/>
              <w:jc w:val="center"/>
              <w:rPr>
                <w:lang w:eastAsia="zh-CN"/>
              </w:rPr>
            </w:pPr>
            <w:r w:rsidRPr="00F76C2B">
              <w:rPr>
                <w:lang w:eastAsia="zh-CN"/>
              </w:rPr>
              <w:t>F</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79606C9" w14:textId="77777777" w:rsidR="0059147E" w:rsidRPr="00F76C2B" w:rsidRDefault="0059147E" w:rsidP="00926EF0">
            <w:pPr>
              <w:pStyle w:val="Tabletext"/>
              <w:keepNext/>
              <w:keepLines/>
              <w:jc w:val="center"/>
              <w:rPr>
                <w:lang w:eastAsia="zh-CN"/>
              </w:rPr>
            </w:pPr>
            <w:r w:rsidRPr="00F76C2B">
              <w:rPr>
                <w:lang w:eastAsia="zh-CN"/>
              </w:rPr>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18F30C1" w14:textId="77777777" w:rsidR="0059147E" w:rsidRPr="00F76C2B" w:rsidRDefault="0059147E" w:rsidP="00926EF0">
            <w:pPr>
              <w:pStyle w:val="Tabletext"/>
              <w:keepNext/>
              <w:keepLines/>
              <w:jc w:val="center"/>
              <w:rPr>
                <w:lang w:eastAsia="zh-CN"/>
              </w:rPr>
            </w:pPr>
            <w:r w:rsidRPr="00F76C2B">
              <w:rPr>
                <w:lang w:eastAsia="zh-CN"/>
              </w:rPr>
              <w:t>RUS</w:t>
            </w:r>
          </w:p>
        </w:tc>
        <w:tc>
          <w:tcPr>
            <w:tcW w:w="1830" w:type="dxa"/>
            <w:tcBorders>
              <w:top w:val="nil"/>
              <w:left w:val="nil"/>
              <w:bottom w:val="single" w:sz="4" w:space="0" w:color="auto"/>
              <w:right w:val="single" w:sz="4" w:space="0" w:color="auto"/>
            </w:tcBorders>
            <w:shd w:val="clear" w:color="auto" w:fill="auto"/>
            <w:noWrap/>
            <w:vAlign w:val="bottom"/>
          </w:tcPr>
          <w:p w14:paraId="3D4E0686" w14:textId="77777777" w:rsidR="0059147E" w:rsidRPr="00F76C2B" w:rsidRDefault="0059147E" w:rsidP="00926EF0">
            <w:pPr>
              <w:pStyle w:val="Tabletext"/>
              <w:keepNext/>
              <w:keepLines/>
              <w:jc w:val="center"/>
              <w:rPr>
                <w:lang w:eastAsia="zh-CN"/>
              </w:rPr>
            </w:pPr>
            <w:r w:rsidRPr="00F76C2B">
              <w:rPr>
                <w:lang w:eastAsia="zh-CN"/>
              </w:rPr>
              <w:t>5</w:t>
            </w:r>
          </w:p>
        </w:tc>
      </w:tr>
      <w:tr w:rsidR="0059147E" w:rsidRPr="00F76C2B" w14:paraId="55C16B4D"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0F0238AA" w14:textId="77777777" w:rsidR="0059147E" w:rsidRPr="00F76C2B" w:rsidRDefault="0059147E" w:rsidP="00926EF0">
            <w:pPr>
              <w:pStyle w:val="Tabletext"/>
              <w:keepNext/>
              <w:keepLines/>
              <w:jc w:val="center"/>
              <w:rPr>
                <w:lang w:eastAsia="zh-CN"/>
              </w:rPr>
            </w:pPr>
            <w:r w:rsidRPr="00F76C2B">
              <w:rPr>
                <w:lang w:eastAsia="zh-CN"/>
              </w:rPr>
              <w:t>F/EUT</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3449903" w14:textId="77777777" w:rsidR="0059147E" w:rsidRPr="00F76C2B" w:rsidRDefault="0059147E" w:rsidP="00926EF0">
            <w:pPr>
              <w:pStyle w:val="Tabletext"/>
              <w:keepNext/>
              <w:keepLines/>
              <w:jc w:val="center"/>
              <w:rPr>
                <w:lang w:eastAsia="zh-CN"/>
              </w:rPr>
            </w:pPr>
            <w:r w:rsidRPr="00F76C2B">
              <w:rPr>
                <w:lang w:eastAsia="zh-CN"/>
              </w:rPr>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9AEFE53" w14:textId="77777777" w:rsidR="0059147E" w:rsidRPr="00F76C2B" w:rsidRDefault="0059147E" w:rsidP="00926EF0">
            <w:pPr>
              <w:pStyle w:val="Tabletext"/>
              <w:keepNext/>
              <w:keepLines/>
              <w:jc w:val="center"/>
              <w:rPr>
                <w:lang w:eastAsia="zh-CN"/>
              </w:rPr>
            </w:pPr>
            <w:r w:rsidRPr="00F76C2B">
              <w:rPr>
                <w:lang w:eastAsia="zh-CN"/>
              </w:rPr>
              <w:t>RUS/IK</w:t>
            </w:r>
          </w:p>
        </w:tc>
        <w:tc>
          <w:tcPr>
            <w:tcW w:w="1830" w:type="dxa"/>
            <w:tcBorders>
              <w:top w:val="nil"/>
              <w:left w:val="nil"/>
              <w:bottom w:val="single" w:sz="4" w:space="0" w:color="auto"/>
              <w:right w:val="single" w:sz="4" w:space="0" w:color="auto"/>
            </w:tcBorders>
            <w:shd w:val="clear" w:color="auto" w:fill="auto"/>
            <w:noWrap/>
            <w:vAlign w:val="bottom"/>
          </w:tcPr>
          <w:p w14:paraId="295FA81F" w14:textId="77777777" w:rsidR="0059147E" w:rsidRPr="00F76C2B" w:rsidRDefault="0059147E" w:rsidP="00926EF0">
            <w:pPr>
              <w:pStyle w:val="Tabletext"/>
              <w:keepNext/>
              <w:keepLines/>
              <w:jc w:val="center"/>
              <w:rPr>
                <w:lang w:eastAsia="zh-CN"/>
              </w:rPr>
            </w:pPr>
            <w:r w:rsidRPr="00F76C2B">
              <w:rPr>
                <w:lang w:eastAsia="zh-CN"/>
              </w:rPr>
              <w:t>4</w:t>
            </w:r>
          </w:p>
        </w:tc>
      </w:tr>
      <w:tr w:rsidR="0059147E" w:rsidRPr="00F76C2B" w14:paraId="3EC2FDB8"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83E5218" w14:textId="77777777" w:rsidR="0059147E" w:rsidRPr="00F76C2B" w:rsidRDefault="0059147E" w:rsidP="00926EF0">
            <w:pPr>
              <w:pStyle w:val="Tabletext"/>
              <w:keepNext/>
              <w:keepLines/>
              <w:jc w:val="center"/>
              <w:rPr>
                <w:lang w:eastAsia="zh-CN"/>
              </w:rPr>
            </w:pPr>
            <w:r w:rsidRPr="00F76C2B">
              <w:rPr>
                <w:lang w:eastAsia="zh-CN"/>
              </w:rPr>
              <w:t>G</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09E05CDB" w14:textId="77777777" w:rsidR="0059147E" w:rsidRPr="00F76C2B" w:rsidRDefault="0059147E" w:rsidP="00926EF0">
            <w:pPr>
              <w:pStyle w:val="Tabletext"/>
              <w:keepNext/>
              <w:keepLines/>
              <w:jc w:val="center"/>
              <w:rPr>
                <w:lang w:eastAsia="zh-CN"/>
              </w:rPr>
            </w:pPr>
            <w:r w:rsidRPr="00F76C2B">
              <w:rPr>
                <w:lang w:eastAsia="zh-CN"/>
              </w:rPr>
              <w:t>6</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F56F407" w14:textId="77777777" w:rsidR="0059147E" w:rsidRPr="00F76C2B" w:rsidRDefault="0059147E" w:rsidP="00926EF0">
            <w:pPr>
              <w:pStyle w:val="Tabletext"/>
              <w:keepNext/>
              <w:keepLines/>
              <w:jc w:val="center"/>
              <w:rPr>
                <w:lang w:eastAsia="zh-CN"/>
              </w:rPr>
            </w:pPr>
            <w:r w:rsidRPr="00F76C2B">
              <w:rPr>
                <w:lang w:eastAsia="zh-CN"/>
              </w:rPr>
              <w:t>S</w:t>
            </w:r>
          </w:p>
        </w:tc>
        <w:tc>
          <w:tcPr>
            <w:tcW w:w="1830" w:type="dxa"/>
            <w:tcBorders>
              <w:top w:val="nil"/>
              <w:left w:val="nil"/>
              <w:bottom w:val="single" w:sz="4" w:space="0" w:color="auto"/>
              <w:right w:val="single" w:sz="4" w:space="0" w:color="auto"/>
            </w:tcBorders>
            <w:shd w:val="clear" w:color="auto" w:fill="auto"/>
            <w:noWrap/>
            <w:vAlign w:val="bottom"/>
          </w:tcPr>
          <w:p w14:paraId="45DCB2C5" w14:textId="77777777" w:rsidR="0059147E" w:rsidRPr="00F76C2B" w:rsidRDefault="0059147E" w:rsidP="00926EF0">
            <w:pPr>
              <w:pStyle w:val="Tabletext"/>
              <w:keepNext/>
              <w:keepLines/>
              <w:jc w:val="center"/>
              <w:rPr>
                <w:lang w:eastAsia="zh-CN"/>
              </w:rPr>
            </w:pPr>
            <w:r w:rsidRPr="00F76C2B">
              <w:rPr>
                <w:lang w:eastAsia="zh-CN"/>
              </w:rPr>
              <w:t>6</w:t>
            </w:r>
          </w:p>
        </w:tc>
      </w:tr>
      <w:tr w:rsidR="0059147E" w:rsidRPr="00F76C2B" w14:paraId="613344E1"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598C40A0" w14:textId="77777777" w:rsidR="0059147E" w:rsidRPr="00F76C2B" w:rsidRDefault="0059147E" w:rsidP="00926EF0">
            <w:pPr>
              <w:pStyle w:val="Tabletext"/>
              <w:keepNext/>
              <w:keepLines/>
              <w:jc w:val="center"/>
              <w:rPr>
                <w:lang w:eastAsia="zh-CN"/>
              </w:rPr>
            </w:pPr>
            <w:r w:rsidRPr="00F76C2B">
              <w:rPr>
                <w:lang w:eastAsia="zh-CN"/>
              </w:rPr>
              <w:t>GRC</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74983095" w14:textId="77777777" w:rsidR="0059147E" w:rsidRPr="00F76C2B" w:rsidRDefault="0059147E" w:rsidP="00926EF0">
            <w:pPr>
              <w:pStyle w:val="Tabletext"/>
              <w:keepNext/>
              <w:keepLines/>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D8CCB01" w14:textId="77777777" w:rsidR="0059147E" w:rsidRPr="00F76C2B" w:rsidRDefault="0059147E" w:rsidP="00926EF0">
            <w:pPr>
              <w:pStyle w:val="Tabletext"/>
              <w:keepNext/>
              <w:keepLines/>
              <w:jc w:val="center"/>
              <w:rPr>
                <w:lang w:eastAsia="zh-CN"/>
              </w:rPr>
            </w:pPr>
            <w:r w:rsidRPr="00F76C2B">
              <w:rPr>
                <w:lang w:eastAsia="zh-CN"/>
              </w:rPr>
              <w:t>TUR</w:t>
            </w:r>
          </w:p>
        </w:tc>
        <w:tc>
          <w:tcPr>
            <w:tcW w:w="1830" w:type="dxa"/>
            <w:tcBorders>
              <w:top w:val="nil"/>
              <w:left w:val="nil"/>
              <w:bottom w:val="single" w:sz="4" w:space="0" w:color="auto"/>
              <w:right w:val="single" w:sz="4" w:space="0" w:color="auto"/>
            </w:tcBorders>
            <w:shd w:val="clear" w:color="auto" w:fill="auto"/>
            <w:noWrap/>
            <w:vAlign w:val="bottom"/>
          </w:tcPr>
          <w:p w14:paraId="6D54970A" w14:textId="77777777" w:rsidR="0059147E" w:rsidRPr="00F76C2B" w:rsidRDefault="0059147E" w:rsidP="00926EF0">
            <w:pPr>
              <w:pStyle w:val="Tabletext"/>
              <w:keepNext/>
              <w:keepLines/>
              <w:jc w:val="center"/>
              <w:rPr>
                <w:lang w:eastAsia="zh-CN"/>
              </w:rPr>
            </w:pPr>
            <w:r w:rsidRPr="00F76C2B">
              <w:rPr>
                <w:lang w:eastAsia="zh-CN"/>
              </w:rPr>
              <w:t>2</w:t>
            </w:r>
          </w:p>
        </w:tc>
      </w:tr>
      <w:tr w:rsidR="0059147E" w:rsidRPr="00F76C2B" w14:paraId="54475046"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06E65B76" w14:textId="77777777" w:rsidR="0059147E" w:rsidRPr="00F76C2B" w:rsidRDefault="0059147E" w:rsidP="00926EF0">
            <w:pPr>
              <w:pStyle w:val="Tabletext"/>
              <w:keepNext/>
              <w:keepLines/>
              <w:jc w:val="center"/>
              <w:rPr>
                <w:lang w:eastAsia="zh-CN"/>
              </w:rPr>
            </w:pPr>
            <w:r w:rsidRPr="00F76C2B">
              <w:rPr>
                <w:lang w:eastAsia="zh-CN"/>
              </w:rPr>
              <w:t>HOL</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E4F6AAC" w14:textId="77777777" w:rsidR="0059147E" w:rsidRPr="00F76C2B" w:rsidRDefault="0059147E" w:rsidP="00926EF0">
            <w:pPr>
              <w:pStyle w:val="Tabletext"/>
              <w:keepNext/>
              <w:keepLines/>
              <w:jc w:val="center"/>
              <w:rPr>
                <w:lang w:eastAsia="zh-CN"/>
              </w:rPr>
            </w:pPr>
            <w:r w:rsidRPr="00F76C2B">
              <w:rPr>
                <w:lang w:eastAsia="zh-CN"/>
              </w:rPr>
              <w:t>9</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7BC3A26" w14:textId="77777777" w:rsidR="0059147E" w:rsidRPr="00F76C2B" w:rsidRDefault="0059147E" w:rsidP="00926EF0">
            <w:pPr>
              <w:pStyle w:val="Tabletext"/>
              <w:keepNext/>
              <w:keepLines/>
              <w:jc w:val="center"/>
              <w:rPr>
                <w:lang w:eastAsia="zh-CN"/>
              </w:rPr>
            </w:pPr>
            <w:r>
              <w:rPr>
                <w:lang w:eastAsia="zh-CN"/>
              </w:rPr>
              <w:t>UAE</w:t>
            </w:r>
          </w:p>
        </w:tc>
        <w:tc>
          <w:tcPr>
            <w:tcW w:w="1830" w:type="dxa"/>
            <w:tcBorders>
              <w:top w:val="nil"/>
              <w:left w:val="nil"/>
              <w:bottom w:val="single" w:sz="4" w:space="0" w:color="auto"/>
              <w:right w:val="single" w:sz="4" w:space="0" w:color="auto"/>
            </w:tcBorders>
            <w:shd w:val="clear" w:color="auto" w:fill="auto"/>
            <w:noWrap/>
            <w:vAlign w:val="bottom"/>
          </w:tcPr>
          <w:p w14:paraId="6B0FB2B2" w14:textId="77777777" w:rsidR="0059147E" w:rsidRPr="00F76C2B" w:rsidRDefault="0059147E" w:rsidP="00926EF0">
            <w:pPr>
              <w:pStyle w:val="Tabletext"/>
              <w:keepNext/>
              <w:keepLines/>
              <w:jc w:val="center"/>
              <w:rPr>
                <w:lang w:eastAsia="zh-CN"/>
              </w:rPr>
            </w:pPr>
            <w:r>
              <w:rPr>
                <w:lang w:eastAsia="zh-CN"/>
              </w:rPr>
              <w:t>5</w:t>
            </w:r>
          </w:p>
        </w:tc>
      </w:tr>
      <w:tr w:rsidR="0059147E" w:rsidRPr="00F76C2B" w14:paraId="53904021" w14:textId="77777777" w:rsidTr="009A34C2">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F5FC6" w14:textId="77777777" w:rsidR="0059147E" w:rsidRPr="00F76C2B" w:rsidRDefault="0059147E" w:rsidP="00926EF0">
            <w:pPr>
              <w:pStyle w:val="Tabletext"/>
              <w:keepNext/>
              <w:keepLines/>
              <w:jc w:val="center"/>
              <w:rPr>
                <w:lang w:eastAsia="zh-CN"/>
              </w:rPr>
            </w:pPr>
            <w:r w:rsidRPr="00F76C2B">
              <w:rPr>
                <w:lang w:eastAsia="zh-CN"/>
              </w:rPr>
              <w:t>I</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A6A20AB" w14:textId="77777777" w:rsidR="0059147E" w:rsidRPr="00F76C2B" w:rsidRDefault="0059147E" w:rsidP="00926EF0">
            <w:pPr>
              <w:pStyle w:val="Tabletext"/>
              <w:keepNext/>
              <w:keepLines/>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047435FD" w14:textId="77777777" w:rsidR="0059147E" w:rsidRPr="00F76C2B" w:rsidRDefault="0059147E" w:rsidP="00926EF0">
            <w:pPr>
              <w:pStyle w:val="Tabletext"/>
              <w:keepNext/>
              <w:keepLines/>
              <w:jc w:val="center"/>
              <w:rPr>
                <w:lang w:eastAsia="zh-CN"/>
              </w:rPr>
            </w:pPr>
            <w:r>
              <w:rPr>
                <w:lang w:eastAsia="zh-CN"/>
              </w:rPr>
              <w:t>USA</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7947D3AB" w14:textId="77777777" w:rsidR="0059147E" w:rsidRPr="00F76C2B" w:rsidRDefault="0059147E" w:rsidP="00926EF0">
            <w:pPr>
              <w:pStyle w:val="Tabletext"/>
              <w:keepNext/>
              <w:keepLines/>
              <w:jc w:val="center"/>
              <w:rPr>
                <w:lang w:eastAsia="zh-CN"/>
              </w:rPr>
            </w:pPr>
            <w:r>
              <w:rPr>
                <w:lang w:eastAsia="zh-CN"/>
              </w:rPr>
              <w:t>3</w:t>
            </w:r>
          </w:p>
        </w:tc>
      </w:tr>
      <w:tr w:rsidR="0059147E" w:rsidRPr="00F76C2B" w14:paraId="1C039111" w14:textId="77777777" w:rsidTr="009A34C2">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91950" w14:textId="77777777" w:rsidR="0059147E" w:rsidRPr="00F76C2B" w:rsidRDefault="0059147E" w:rsidP="00926EF0">
            <w:pPr>
              <w:pStyle w:val="Tabletext"/>
              <w:keepNext/>
              <w:keepLines/>
              <w:jc w:val="center"/>
              <w:rPr>
                <w:lang w:eastAsia="zh-CN"/>
              </w:rPr>
            </w:pPr>
            <w:r w:rsidRPr="00F76C2B">
              <w:rPr>
                <w:lang w:eastAsia="zh-CN"/>
              </w:rPr>
              <w:t>IRN</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24CFE68" w14:textId="77777777" w:rsidR="0059147E" w:rsidRPr="00F76C2B" w:rsidRDefault="0059147E" w:rsidP="00926EF0">
            <w:pPr>
              <w:pStyle w:val="Tabletext"/>
              <w:keepNext/>
              <w:keepLines/>
              <w:jc w:val="center"/>
              <w:rPr>
                <w:lang w:eastAsia="zh-CN"/>
              </w:rPr>
            </w:pPr>
            <w:r w:rsidRPr="00F76C2B">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EC8CEA6" w14:textId="77777777" w:rsidR="0059147E" w:rsidRPr="00F76C2B" w:rsidRDefault="0059147E" w:rsidP="00926EF0">
            <w:pPr>
              <w:pStyle w:val="Tabletext"/>
              <w:keepNext/>
              <w:keepLines/>
              <w:jc w:val="center"/>
              <w:rPr>
                <w:lang w:eastAsia="zh-CN"/>
              </w:rPr>
            </w:pPr>
          </w:p>
        </w:tc>
        <w:tc>
          <w:tcPr>
            <w:tcW w:w="1830" w:type="dxa"/>
            <w:tcBorders>
              <w:top w:val="single" w:sz="4" w:space="0" w:color="auto"/>
              <w:left w:val="nil"/>
              <w:bottom w:val="single" w:sz="4" w:space="0" w:color="auto"/>
              <w:right w:val="single" w:sz="4" w:space="0" w:color="auto"/>
            </w:tcBorders>
            <w:shd w:val="clear" w:color="auto" w:fill="auto"/>
            <w:noWrap/>
            <w:vAlign w:val="bottom"/>
          </w:tcPr>
          <w:p w14:paraId="48AC7B50" w14:textId="77777777" w:rsidR="0059147E" w:rsidRPr="00F76C2B" w:rsidRDefault="0059147E" w:rsidP="00926EF0">
            <w:pPr>
              <w:pStyle w:val="Tabletext"/>
              <w:keepNext/>
              <w:keepLines/>
              <w:jc w:val="center"/>
              <w:rPr>
                <w:lang w:eastAsia="zh-CN"/>
              </w:rPr>
            </w:pPr>
          </w:p>
        </w:tc>
      </w:tr>
    </w:tbl>
    <w:p w14:paraId="4FE10D52" w14:textId="77777777" w:rsidR="0059147E" w:rsidRPr="00C21B1B" w:rsidRDefault="0059147E" w:rsidP="00540F3E">
      <w:pPr>
        <w:pStyle w:val="TableNo"/>
        <w:rPr>
          <w:rFonts w:asciiTheme="minorHAnsi" w:hAnsiTheme="minorHAnsi" w:cstheme="minorHAnsi"/>
          <w:szCs w:val="24"/>
        </w:rPr>
      </w:pPr>
      <w:r w:rsidRPr="00540F3E">
        <w:rPr>
          <w:lang w:val="es-ES"/>
        </w:rPr>
        <w:t>Cuadro</w:t>
      </w:r>
      <w:r w:rsidRPr="00C21B1B">
        <w:rPr>
          <w:rFonts w:asciiTheme="minorHAnsi" w:hAnsiTheme="minorHAnsi" w:cstheme="minorHAnsi"/>
          <w:szCs w:val="24"/>
        </w:rPr>
        <w:t xml:space="preserve"> 5</w:t>
      </w:r>
    </w:p>
    <w:p w14:paraId="07C8DBF5" w14:textId="77777777" w:rsidR="0059147E" w:rsidRPr="00B36273" w:rsidRDefault="0059147E" w:rsidP="00B36273">
      <w:pPr>
        <w:pStyle w:val="Tabletitle"/>
      </w:pPr>
      <w:r w:rsidRPr="00B36273">
        <w:t>Número de redes de usos adicionales incluidas en la Lista del Apéndice 30A</w:t>
      </w:r>
    </w:p>
    <w:tbl>
      <w:tblPr>
        <w:tblW w:w="6995" w:type="dxa"/>
        <w:jc w:val="center"/>
        <w:tblLook w:val="04A0" w:firstRow="1" w:lastRow="0" w:firstColumn="1" w:lastColumn="0" w:noHBand="0" w:noVBand="1"/>
      </w:tblPr>
      <w:tblGrid>
        <w:gridCol w:w="1715"/>
        <w:gridCol w:w="1735"/>
        <w:gridCol w:w="1715"/>
        <w:gridCol w:w="1830"/>
      </w:tblGrid>
      <w:tr w:rsidR="0059147E" w:rsidRPr="00F76C2B" w14:paraId="6F72E14D" w14:textId="77777777" w:rsidTr="00540F3E">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AFF53" w14:textId="77777777" w:rsidR="0059147E" w:rsidRPr="00540F3E" w:rsidRDefault="0059147E" w:rsidP="00540F3E">
            <w:pPr>
              <w:pStyle w:val="Tablehead"/>
              <w:rPr>
                <w:lang w:eastAsia="zh-CN"/>
              </w:rPr>
            </w:pPr>
            <w:r w:rsidRPr="00540F3E">
              <w:rPr>
                <w:lang w:eastAsia="zh-CN"/>
              </w:rPr>
              <w:t>Administración</w:t>
            </w:r>
          </w:p>
          <w:p w14:paraId="1E11EB45" w14:textId="77777777" w:rsidR="0059147E" w:rsidRPr="00540F3E" w:rsidRDefault="0059147E" w:rsidP="00540F3E">
            <w:pPr>
              <w:pStyle w:val="Tablehead"/>
              <w:rPr>
                <w:lang w:eastAsia="zh-CN"/>
              </w:rPr>
            </w:pPr>
            <w:r w:rsidRPr="00540F3E">
              <w:rPr>
                <w:lang w:eastAsia="zh-CN"/>
              </w:rPr>
              <w:t>(Organización)</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07B80EC" w14:textId="77777777" w:rsidR="0059147E" w:rsidRPr="00540F3E" w:rsidRDefault="0059147E" w:rsidP="00540F3E">
            <w:pPr>
              <w:pStyle w:val="Tablehead"/>
              <w:rPr>
                <w:lang w:eastAsia="zh-CN"/>
              </w:rPr>
            </w:pPr>
            <w:r w:rsidRPr="00540F3E">
              <w:rPr>
                <w:lang w:eastAsia="zh-CN"/>
              </w:rPr>
              <w:t>Número de redes</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0D0DA2D2" w14:textId="77777777" w:rsidR="0059147E" w:rsidRPr="00540F3E" w:rsidRDefault="0059147E" w:rsidP="00540F3E">
            <w:pPr>
              <w:pStyle w:val="Tablehead"/>
              <w:rPr>
                <w:lang w:eastAsia="zh-CN"/>
              </w:rPr>
            </w:pPr>
            <w:r w:rsidRPr="00540F3E">
              <w:rPr>
                <w:lang w:eastAsia="zh-CN"/>
              </w:rPr>
              <w:t>Administración</w:t>
            </w:r>
          </w:p>
          <w:p w14:paraId="5F2C17E5" w14:textId="77777777" w:rsidR="0059147E" w:rsidRPr="00540F3E" w:rsidRDefault="0059147E" w:rsidP="00540F3E">
            <w:pPr>
              <w:pStyle w:val="Tablehead"/>
              <w:rPr>
                <w:lang w:eastAsia="zh-CN"/>
              </w:rPr>
            </w:pPr>
            <w:r w:rsidRPr="00540F3E">
              <w:rPr>
                <w:lang w:eastAsia="zh-CN"/>
              </w:rPr>
              <w:t>(Organización)</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399DA294" w14:textId="77777777" w:rsidR="0059147E" w:rsidRPr="00540F3E" w:rsidRDefault="0059147E" w:rsidP="00540F3E">
            <w:pPr>
              <w:pStyle w:val="Tablehead"/>
              <w:jc w:val="right"/>
              <w:rPr>
                <w:lang w:eastAsia="zh-CN"/>
              </w:rPr>
            </w:pPr>
            <w:r w:rsidRPr="00540F3E">
              <w:rPr>
                <w:lang w:eastAsia="zh-CN"/>
              </w:rPr>
              <w:t>Número de redes</w:t>
            </w:r>
          </w:p>
        </w:tc>
      </w:tr>
      <w:tr w:rsidR="0059147E" w:rsidRPr="00F76C2B" w14:paraId="7FBE3A5A"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53A4980" w14:textId="77777777" w:rsidR="0059147E" w:rsidRPr="00F76C2B" w:rsidRDefault="0059147E" w:rsidP="00540F3E">
            <w:pPr>
              <w:pStyle w:val="Tabletext"/>
              <w:jc w:val="center"/>
              <w:rPr>
                <w:lang w:eastAsia="zh-CN"/>
              </w:rPr>
            </w:pPr>
            <w:r w:rsidRPr="00F76C2B">
              <w:t>ALG</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48227729" w14:textId="77777777" w:rsidR="0059147E" w:rsidRPr="00F76C2B" w:rsidRDefault="0059147E" w:rsidP="00540F3E">
            <w:pPr>
              <w:pStyle w:val="Tabletext"/>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D423A8E" w14:textId="77777777" w:rsidR="0059147E" w:rsidRPr="00F76C2B" w:rsidRDefault="0059147E" w:rsidP="00540F3E">
            <w:pPr>
              <w:pStyle w:val="Tabletext"/>
              <w:jc w:val="center"/>
              <w:rPr>
                <w:lang w:eastAsia="zh-CN"/>
              </w:rPr>
            </w:pPr>
            <w:r w:rsidRPr="00F76C2B">
              <w:t>I</w:t>
            </w:r>
          </w:p>
        </w:tc>
        <w:tc>
          <w:tcPr>
            <w:tcW w:w="1830" w:type="dxa"/>
            <w:tcBorders>
              <w:top w:val="nil"/>
              <w:left w:val="nil"/>
              <w:bottom w:val="single" w:sz="4" w:space="0" w:color="auto"/>
              <w:right w:val="single" w:sz="4" w:space="0" w:color="auto"/>
            </w:tcBorders>
            <w:shd w:val="clear" w:color="auto" w:fill="auto"/>
            <w:noWrap/>
            <w:vAlign w:val="bottom"/>
          </w:tcPr>
          <w:p w14:paraId="20CD518C" w14:textId="77777777" w:rsidR="0059147E" w:rsidRPr="00F76C2B" w:rsidRDefault="0059147E" w:rsidP="00540F3E">
            <w:pPr>
              <w:pStyle w:val="Tabletext"/>
              <w:jc w:val="center"/>
              <w:rPr>
                <w:lang w:eastAsia="zh-CN"/>
              </w:rPr>
            </w:pPr>
            <w:r w:rsidRPr="00F76C2B">
              <w:t>1</w:t>
            </w:r>
          </w:p>
        </w:tc>
      </w:tr>
      <w:tr w:rsidR="0059147E" w:rsidRPr="00F76C2B" w14:paraId="3C429EE4"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3FD18E60" w14:textId="77777777" w:rsidR="0059147E" w:rsidRPr="00F76C2B" w:rsidRDefault="0059147E" w:rsidP="00540F3E">
            <w:pPr>
              <w:pStyle w:val="Tabletext"/>
              <w:jc w:val="center"/>
              <w:rPr>
                <w:lang w:eastAsia="zh-CN"/>
              </w:rPr>
            </w:pPr>
            <w:r w:rsidRPr="00F76C2B">
              <w:t>ARS/ARB</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654FC021" w14:textId="77777777" w:rsidR="0059147E" w:rsidRPr="00F76C2B" w:rsidRDefault="0059147E" w:rsidP="00540F3E">
            <w:pPr>
              <w:pStyle w:val="Tabletext"/>
              <w:jc w:val="center"/>
              <w:rPr>
                <w:lang w:eastAsia="zh-CN"/>
              </w:rPr>
            </w:pPr>
            <w:r w:rsidRPr="00F76C2B">
              <w:t>7</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F8AA83A" w14:textId="77777777" w:rsidR="0059147E" w:rsidRPr="00F76C2B" w:rsidRDefault="0059147E" w:rsidP="00540F3E">
            <w:pPr>
              <w:pStyle w:val="Tabletext"/>
              <w:jc w:val="center"/>
              <w:rPr>
                <w:lang w:eastAsia="zh-CN"/>
              </w:rPr>
            </w:pPr>
            <w:r w:rsidRPr="00F76C2B">
              <w:t>IRN</w:t>
            </w:r>
          </w:p>
        </w:tc>
        <w:tc>
          <w:tcPr>
            <w:tcW w:w="1830" w:type="dxa"/>
            <w:tcBorders>
              <w:top w:val="nil"/>
              <w:left w:val="nil"/>
              <w:bottom w:val="single" w:sz="4" w:space="0" w:color="auto"/>
              <w:right w:val="single" w:sz="4" w:space="0" w:color="auto"/>
            </w:tcBorders>
            <w:shd w:val="clear" w:color="auto" w:fill="auto"/>
            <w:noWrap/>
            <w:vAlign w:val="bottom"/>
          </w:tcPr>
          <w:p w14:paraId="456484AC" w14:textId="77777777" w:rsidR="0059147E" w:rsidRPr="00F76C2B" w:rsidRDefault="0059147E" w:rsidP="00540F3E">
            <w:pPr>
              <w:pStyle w:val="Tabletext"/>
              <w:jc w:val="center"/>
              <w:rPr>
                <w:lang w:eastAsia="zh-CN"/>
              </w:rPr>
            </w:pPr>
            <w:r w:rsidRPr="00F76C2B">
              <w:t>1</w:t>
            </w:r>
          </w:p>
        </w:tc>
      </w:tr>
      <w:tr w:rsidR="0059147E" w:rsidRPr="00F76C2B" w14:paraId="4FA913A7"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2D65396" w14:textId="77777777" w:rsidR="0059147E" w:rsidRPr="00F76C2B" w:rsidRDefault="0059147E" w:rsidP="00540F3E">
            <w:pPr>
              <w:pStyle w:val="Tabletext"/>
              <w:jc w:val="center"/>
              <w:rPr>
                <w:lang w:eastAsia="zh-CN"/>
              </w:rPr>
            </w:pPr>
            <w:r w:rsidRPr="00F76C2B">
              <w:t>AUS</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53519BA0" w14:textId="77777777" w:rsidR="0059147E" w:rsidRPr="00F76C2B" w:rsidRDefault="0059147E" w:rsidP="00540F3E">
            <w:pPr>
              <w:pStyle w:val="Tabletext"/>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CCC25CF" w14:textId="77777777" w:rsidR="0059147E" w:rsidRPr="00F76C2B" w:rsidRDefault="0059147E" w:rsidP="00540F3E">
            <w:pPr>
              <w:pStyle w:val="Tabletext"/>
              <w:jc w:val="center"/>
              <w:rPr>
                <w:lang w:eastAsia="zh-CN"/>
              </w:rPr>
            </w:pPr>
            <w:r w:rsidRPr="00F76C2B">
              <w:t>J</w:t>
            </w:r>
          </w:p>
        </w:tc>
        <w:tc>
          <w:tcPr>
            <w:tcW w:w="1830" w:type="dxa"/>
            <w:tcBorders>
              <w:top w:val="nil"/>
              <w:left w:val="nil"/>
              <w:bottom w:val="single" w:sz="4" w:space="0" w:color="auto"/>
              <w:right w:val="single" w:sz="4" w:space="0" w:color="auto"/>
            </w:tcBorders>
            <w:shd w:val="clear" w:color="auto" w:fill="auto"/>
            <w:noWrap/>
            <w:vAlign w:val="bottom"/>
          </w:tcPr>
          <w:p w14:paraId="3ED36A7D" w14:textId="77777777" w:rsidR="0059147E" w:rsidRPr="00F76C2B" w:rsidRDefault="0059147E" w:rsidP="00540F3E">
            <w:pPr>
              <w:pStyle w:val="Tabletext"/>
              <w:jc w:val="center"/>
              <w:rPr>
                <w:lang w:eastAsia="zh-CN"/>
              </w:rPr>
            </w:pPr>
            <w:r w:rsidRPr="00F76C2B">
              <w:t>7</w:t>
            </w:r>
          </w:p>
        </w:tc>
      </w:tr>
      <w:tr w:rsidR="0059147E" w:rsidRPr="00F76C2B" w14:paraId="444CEFBF"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463CA22" w14:textId="77777777" w:rsidR="0059147E" w:rsidRPr="00F76C2B" w:rsidRDefault="0059147E" w:rsidP="00540F3E">
            <w:pPr>
              <w:pStyle w:val="Tabletext"/>
              <w:jc w:val="center"/>
              <w:rPr>
                <w:lang w:eastAsia="zh-CN"/>
              </w:rPr>
            </w:pPr>
            <w:r w:rsidRPr="00F76C2B">
              <w:t>BUL</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234E3360" w14:textId="77777777" w:rsidR="0059147E" w:rsidRPr="00F76C2B" w:rsidRDefault="0059147E" w:rsidP="00540F3E">
            <w:pPr>
              <w:pStyle w:val="Tabletext"/>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A15A61F" w14:textId="77777777" w:rsidR="0059147E" w:rsidRPr="00F76C2B" w:rsidRDefault="0059147E" w:rsidP="00540F3E">
            <w:pPr>
              <w:pStyle w:val="Tabletext"/>
              <w:jc w:val="center"/>
              <w:rPr>
                <w:lang w:eastAsia="zh-CN"/>
              </w:rPr>
            </w:pPr>
            <w:r w:rsidRPr="00F76C2B">
              <w:t>KOR</w:t>
            </w:r>
          </w:p>
        </w:tc>
        <w:tc>
          <w:tcPr>
            <w:tcW w:w="1830" w:type="dxa"/>
            <w:tcBorders>
              <w:top w:val="nil"/>
              <w:left w:val="nil"/>
              <w:bottom w:val="single" w:sz="4" w:space="0" w:color="auto"/>
              <w:right w:val="single" w:sz="4" w:space="0" w:color="auto"/>
            </w:tcBorders>
            <w:shd w:val="clear" w:color="auto" w:fill="auto"/>
            <w:noWrap/>
            <w:vAlign w:val="bottom"/>
          </w:tcPr>
          <w:p w14:paraId="7B92A83C" w14:textId="77777777" w:rsidR="0059147E" w:rsidRPr="00F76C2B" w:rsidRDefault="0059147E" w:rsidP="00540F3E">
            <w:pPr>
              <w:pStyle w:val="Tabletext"/>
              <w:jc w:val="center"/>
              <w:rPr>
                <w:lang w:eastAsia="zh-CN"/>
              </w:rPr>
            </w:pPr>
            <w:r w:rsidRPr="00F76C2B">
              <w:t>2</w:t>
            </w:r>
          </w:p>
        </w:tc>
      </w:tr>
      <w:tr w:rsidR="0059147E" w:rsidRPr="00F76C2B" w14:paraId="4BB09288"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5696463B" w14:textId="77777777" w:rsidR="0059147E" w:rsidRPr="00F76C2B" w:rsidRDefault="0059147E" w:rsidP="00540F3E">
            <w:pPr>
              <w:pStyle w:val="Tabletext"/>
              <w:jc w:val="center"/>
              <w:rPr>
                <w:lang w:eastAsia="zh-CN"/>
              </w:rPr>
            </w:pPr>
            <w:r w:rsidRPr="00F76C2B">
              <w:t>CHN</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5E112916" w14:textId="77777777" w:rsidR="0059147E" w:rsidRPr="00F76C2B" w:rsidRDefault="0059147E" w:rsidP="00540F3E">
            <w:pPr>
              <w:pStyle w:val="Tabletext"/>
              <w:jc w:val="center"/>
              <w:rPr>
                <w:lang w:eastAsia="zh-CN"/>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3622129" w14:textId="77777777" w:rsidR="0059147E" w:rsidRPr="00F76C2B" w:rsidRDefault="0059147E" w:rsidP="00540F3E">
            <w:pPr>
              <w:pStyle w:val="Tabletext"/>
              <w:jc w:val="center"/>
              <w:rPr>
                <w:lang w:eastAsia="zh-CN"/>
              </w:rPr>
            </w:pPr>
            <w:r w:rsidRPr="00F76C2B">
              <w:t>LUX</w:t>
            </w:r>
          </w:p>
        </w:tc>
        <w:tc>
          <w:tcPr>
            <w:tcW w:w="1830" w:type="dxa"/>
            <w:tcBorders>
              <w:top w:val="nil"/>
              <w:left w:val="nil"/>
              <w:bottom w:val="single" w:sz="4" w:space="0" w:color="auto"/>
              <w:right w:val="single" w:sz="4" w:space="0" w:color="auto"/>
            </w:tcBorders>
            <w:shd w:val="clear" w:color="auto" w:fill="auto"/>
            <w:noWrap/>
            <w:vAlign w:val="bottom"/>
          </w:tcPr>
          <w:p w14:paraId="769EF882" w14:textId="77777777" w:rsidR="0059147E" w:rsidRPr="00F76C2B" w:rsidRDefault="0059147E" w:rsidP="00540F3E">
            <w:pPr>
              <w:pStyle w:val="Tabletext"/>
              <w:jc w:val="center"/>
              <w:rPr>
                <w:lang w:eastAsia="zh-CN"/>
              </w:rPr>
            </w:pPr>
            <w:r w:rsidRPr="00F76C2B">
              <w:t>12</w:t>
            </w:r>
          </w:p>
        </w:tc>
      </w:tr>
      <w:tr w:rsidR="0059147E" w:rsidRPr="00F76C2B" w14:paraId="60B2EE55"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4FF23642" w14:textId="77777777" w:rsidR="0059147E" w:rsidRPr="00F76C2B" w:rsidRDefault="0059147E" w:rsidP="00540F3E">
            <w:pPr>
              <w:pStyle w:val="Tabletext"/>
              <w:jc w:val="center"/>
              <w:rPr>
                <w:lang w:eastAsia="zh-CN"/>
              </w:rPr>
            </w:pPr>
            <w:r w:rsidRPr="00F76C2B">
              <w:t>CYP</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1A186D6D" w14:textId="77777777" w:rsidR="0059147E" w:rsidRPr="00F76C2B" w:rsidRDefault="0059147E" w:rsidP="00540F3E">
            <w:pPr>
              <w:pStyle w:val="Tabletext"/>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62AB435" w14:textId="77777777" w:rsidR="0059147E" w:rsidRPr="00F76C2B" w:rsidRDefault="0059147E" w:rsidP="00540F3E">
            <w:pPr>
              <w:pStyle w:val="Tabletext"/>
              <w:jc w:val="center"/>
              <w:rPr>
                <w:lang w:eastAsia="zh-CN"/>
              </w:rPr>
            </w:pPr>
            <w:r w:rsidRPr="00F76C2B">
              <w:t>MCO</w:t>
            </w:r>
          </w:p>
        </w:tc>
        <w:tc>
          <w:tcPr>
            <w:tcW w:w="1830" w:type="dxa"/>
            <w:tcBorders>
              <w:top w:val="nil"/>
              <w:left w:val="nil"/>
              <w:bottom w:val="single" w:sz="4" w:space="0" w:color="auto"/>
              <w:right w:val="single" w:sz="4" w:space="0" w:color="auto"/>
            </w:tcBorders>
            <w:shd w:val="clear" w:color="auto" w:fill="auto"/>
            <w:noWrap/>
            <w:vAlign w:val="bottom"/>
          </w:tcPr>
          <w:p w14:paraId="1F502548" w14:textId="77777777" w:rsidR="0059147E" w:rsidRPr="00F76C2B" w:rsidRDefault="0059147E" w:rsidP="00540F3E">
            <w:pPr>
              <w:pStyle w:val="Tabletext"/>
              <w:jc w:val="center"/>
              <w:rPr>
                <w:lang w:eastAsia="zh-CN"/>
              </w:rPr>
            </w:pPr>
            <w:r w:rsidRPr="00F76C2B">
              <w:t>3</w:t>
            </w:r>
          </w:p>
        </w:tc>
      </w:tr>
      <w:tr w:rsidR="0059147E" w:rsidRPr="00F76C2B" w14:paraId="7CC4CD5A"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4B6E0F0A" w14:textId="77777777" w:rsidR="0059147E" w:rsidRPr="00F76C2B" w:rsidRDefault="0059147E" w:rsidP="00540F3E">
            <w:pPr>
              <w:pStyle w:val="Tabletext"/>
              <w:jc w:val="center"/>
              <w:rPr>
                <w:lang w:eastAsia="zh-CN"/>
              </w:rPr>
            </w:pPr>
            <w:r w:rsidRPr="00F76C2B">
              <w:t>D</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5843DC81" w14:textId="77777777" w:rsidR="0059147E" w:rsidRPr="00F76C2B" w:rsidRDefault="0059147E" w:rsidP="00540F3E">
            <w:pPr>
              <w:pStyle w:val="Tabletext"/>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E6F33F4" w14:textId="77777777" w:rsidR="0059147E" w:rsidRPr="00F76C2B" w:rsidRDefault="0059147E" w:rsidP="00540F3E">
            <w:pPr>
              <w:pStyle w:val="Tabletext"/>
              <w:jc w:val="center"/>
              <w:rPr>
                <w:lang w:eastAsia="zh-CN"/>
              </w:rPr>
            </w:pPr>
            <w:r w:rsidRPr="00F76C2B">
              <w:t>MLA</w:t>
            </w:r>
          </w:p>
        </w:tc>
        <w:tc>
          <w:tcPr>
            <w:tcW w:w="1830" w:type="dxa"/>
            <w:tcBorders>
              <w:top w:val="nil"/>
              <w:left w:val="nil"/>
              <w:bottom w:val="single" w:sz="4" w:space="0" w:color="auto"/>
              <w:right w:val="single" w:sz="4" w:space="0" w:color="auto"/>
            </w:tcBorders>
            <w:shd w:val="clear" w:color="auto" w:fill="auto"/>
            <w:noWrap/>
            <w:vAlign w:val="bottom"/>
          </w:tcPr>
          <w:p w14:paraId="4B28F17B" w14:textId="77777777" w:rsidR="0059147E" w:rsidRPr="00F76C2B" w:rsidRDefault="0059147E" w:rsidP="00540F3E">
            <w:pPr>
              <w:pStyle w:val="Tabletext"/>
              <w:jc w:val="center"/>
              <w:rPr>
                <w:lang w:eastAsia="zh-CN"/>
              </w:rPr>
            </w:pPr>
            <w:r w:rsidRPr="00F76C2B">
              <w:t>1</w:t>
            </w:r>
          </w:p>
        </w:tc>
      </w:tr>
      <w:tr w:rsidR="0059147E" w:rsidRPr="00F76C2B" w14:paraId="4339DD89"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506F573" w14:textId="77777777" w:rsidR="0059147E" w:rsidRPr="00F76C2B" w:rsidRDefault="0059147E" w:rsidP="00540F3E">
            <w:pPr>
              <w:pStyle w:val="Tabletext"/>
              <w:jc w:val="center"/>
              <w:rPr>
                <w:lang w:eastAsia="zh-CN"/>
              </w:rPr>
            </w:pPr>
            <w:r w:rsidRPr="00F76C2B">
              <w:t>E</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17030B15" w14:textId="77777777" w:rsidR="0059147E" w:rsidRPr="00F76C2B" w:rsidRDefault="0059147E" w:rsidP="00540F3E">
            <w:pPr>
              <w:pStyle w:val="Tabletext"/>
              <w:jc w:val="center"/>
              <w:rPr>
                <w:lang w:eastAsia="zh-CN"/>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ACCD0FC" w14:textId="77777777" w:rsidR="0059147E" w:rsidRPr="00F76C2B" w:rsidRDefault="0059147E" w:rsidP="00540F3E">
            <w:pPr>
              <w:pStyle w:val="Tabletext"/>
              <w:jc w:val="center"/>
              <w:rPr>
                <w:lang w:eastAsia="zh-CN"/>
              </w:rPr>
            </w:pPr>
            <w:r w:rsidRPr="00F76C2B">
              <w:t>NOR</w:t>
            </w:r>
          </w:p>
        </w:tc>
        <w:tc>
          <w:tcPr>
            <w:tcW w:w="1830" w:type="dxa"/>
            <w:tcBorders>
              <w:top w:val="nil"/>
              <w:left w:val="nil"/>
              <w:bottom w:val="single" w:sz="4" w:space="0" w:color="auto"/>
              <w:right w:val="single" w:sz="4" w:space="0" w:color="auto"/>
            </w:tcBorders>
            <w:shd w:val="clear" w:color="auto" w:fill="auto"/>
            <w:noWrap/>
            <w:vAlign w:val="bottom"/>
          </w:tcPr>
          <w:p w14:paraId="4E7A41C4" w14:textId="77777777" w:rsidR="0059147E" w:rsidRPr="00F76C2B" w:rsidRDefault="0059147E" w:rsidP="00540F3E">
            <w:pPr>
              <w:pStyle w:val="Tabletext"/>
              <w:jc w:val="center"/>
              <w:rPr>
                <w:lang w:eastAsia="zh-CN"/>
              </w:rPr>
            </w:pPr>
            <w:r w:rsidRPr="00F76C2B">
              <w:t>3</w:t>
            </w:r>
          </w:p>
        </w:tc>
      </w:tr>
      <w:tr w:rsidR="0059147E" w:rsidRPr="00F76C2B" w14:paraId="218353D6"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1DF4A8BD" w14:textId="77777777" w:rsidR="0059147E" w:rsidRPr="00F76C2B" w:rsidRDefault="0059147E" w:rsidP="00540F3E">
            <w:pPr>
              <w:pStyle w:val="Tabletext"/>
              <w:jc w:val="center"/>
              <w:rPr>
                <w:lang w:eastAsia="zh-CN"/>
              </w:rPr>
            </w:pPr>
            <w:r w:rsidRPr="00F76C2B">
              <w:lastRenderedPageBreak/>
              <w:t>EGY</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4DFA1794" w14:textId="77777777" w:rsidR="0059147E" w:rsidRPr="00F76C2B" w:rsidRDefault="0059147E" w:rsidP="00540F3E">
            <w:pPr>
              <w:pStyle w:val="Tabletext"/>
              <w:jc w:val="center"/>
              <w:rPr>
                <w:lang w:eastAsia="zh-CN"/>
              </w:rPr>
            </w:pPr>
            <w:r w:rsidRPr="00F76C2B">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E675618" w14:textId="77777777" w:rsidR="0059147E" w:rsidRPr="00F76C2B" w:rsidRDefault="0059147E" w:rsidP="00540F3E">
            <w:pPr>
              <w:pStyle w:val="Tabletext"/>
              <w:jc w:val="center"/>
              <w:rPr>
                <w:lang w:eastAsia="zh-CN"/>
              </w:rPr>
            </w:pPr>
            <w:r w:rsidRPr="00F76C2B">
              <w:t>PNG</w:t>
            </w:r>
          </w:p>
        </w:tc>
        <w:tc>
          <w:tcPr>
            <w:tcW w:w="1830" w:type="dxa"/>
            <w:tcBorders>
              <w:top w:val="nil"/>
              <w:left w:val="nil"/>
              <w:bottom w:val="single" w:sz="4" w:space="0" w:color="auto"/>
              <w:right w:val="single" w:sz="4" w:space="0" w:color="auto"/>
            </w:tcBorders>
            <w:shd w:val="clear" w:color="auto" w:fill="auto"/>
            <w:noWrap/>
            <w:vAlign w:val="bottom"/>
          </w:tcPr>
          <w:p w14:paraId="2D5E9B94" w14:textId="77777777" w:rsidR="0059147E" w:rsidRPr="00F76C2B" w:rsidRDefault="0059147E" w:rsidP="00540F3E">
            <w:pPr>
              <w:pStyle w:val="Tabletext"/>
              <w:jc w:val="center"/>
              <w:rPr>
                <w:lang w:eastAsia="zh-CN"/>
              </w:rPr>
            </w:pPr>
            <w:r w:rsidRPr="00F76C2B">
              <w:t>4</w:t>
            </w:r>
          </w:p>
        </w:tc>
      </w:tr>
      <w:tr w:rsidR="0059147E" w:rsidRPr="00F76C2B" w14:paraId="191F4AF7"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4633EEC4" w14:textId="77777777" w:rsidR="0059147E" w:rsidRPr="00F76C2B" w:rsidRDefault="0059147E" w:rsidP="00540F3E">
            <w:pPr>
              <w:pStyle w:val="Tabletext"/>
              <w:jc w:val="center"/>
              <w:rPr>
                <w:lang w:eastAsia="zh-CN"/>
              </w:rPr>
            </w:pPr>
            <w:r w:rsidRPr="00F76C2B">
              <w:t>F</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515BAD9E" w14:textId="77777777" w:rsidR="0059147E" w:rsidRPr="00F76C2B" w:rsidRDefault="0059147E" w:rsidP="00540F3E">
            <w:pPr>
              <w:pStyle w:val="Tabletext"/>
              <w:jc w:val="center"/>
              <w:rPr>
                <w:lang w:eastAsia="zh-CN"/>
              </w:rPr>
            </w:pPr>
            <w:r w:rsidRPr="00F76C2B">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5206D20" w14:textId="77777777" w:rsidR="0059147E" w:rsidRPr="00F76C2B" w:rsidRDefault="0059147E" w:rsidP="00540F3E">
            <w:pPr>
              <w:pStyle w:val="Tabletext"/>
              <w:jc w:val="center"/>
              <w:rPr>
                <w:lang w:eastAsia="zh-CN"/>
              </w:rPr>
            </w:pPr>
            <w:r w:rsidRPr="00F76C2B">
              <w:t>RUS</w:t>
            </w:r>
          </w:p>
        </w:tc>
        <w:tc>
          <w:tcPr>
            <w:tcW w:w="1830" w:type="dxa"/>
            <w:tcBorders>
              <w:top w:val="nil"/>
              <w:left w:val="nil"/>
              <w:bottom w:val="single" w:sz="4" w:space="0" w:color="auto"/>
              <w:right w:val="single" w:sz="4" w:space="0" w:color="auto"/>
            </w:tcBorders>
            <w:shd w:val="clear" w:color="auto" w:fill="auto"/>
            <w:noWrap/>
            <w:vAlign w:val="bottom"/>
          </w:tcPr>
          <w:p w14:paraId="08073F97" w14:textId="77777777" w:rsidR="0059147E" w:rsidRPr="00F76C2B" w:rsidRDefault="0059147E" w:rsidP="00540F3E">
            <w:pPr>
              <w:pStyle w:val="Tabletext"/>
              <w:jc w:val="center"/>
              <w:rPr>
                <w:lang w:eastAsia="zh-CN"/>
              </w:rPr>
            </w:pPr>
            <w:r w:rsidRPr="00F76C2B">
              <w:t>4</w:t>
            </w:r>
          </w:p>
        </w:tc>
      </w:tr>
      <w:tr w:rsidR="0059147E" w:rsidRPr="00F76C2B" w14:paraId="5553142F"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08BA7AA" w14:textId="77777777" w:rsidR="0059147E" w:rsidRPr="00F76C2B" w:rsidRDefault="0059147E" w:rsidP="00540F3E">
            <w:pPr>
              <w:pStyle w:val="Tabletext"/>
              <w:jc w:val="center"/>
              <w:rPr>
                <w:lang w:eastAsia="zh-CN"/>
              </w:rPr>
            </w:pPr>
            <w:r w:rsidRPr="00F76C2B">
              <w:t>F/EUT</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68AC1EF7" w14:textId="77777777" w:rsidR="0059147E" w:rsidRPr="00F76C2B" w:rsidRDefault="0059147E" w:rsidP="00540F3E">
            <w:pPr>
              <w:pStyle w:val="Tabletext"/>
              <w:jc w:val="center"/>
              <w:rPr>
                <w:lang w:eastAsia="zh-CN"/>
              </w:rPr>
            </w:pPr>
            <w:r w:rsidRPr="00F76C2B">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E2CCD63" w14:textId="77777777" w:rsidR="0059147E" w:rsidRPr="00F76C2B" w:rsidRDefault="0059147E" w:rsidP="00540F3E">
            <w:pPr>
              <w:pStyle w:val="Tabletext"/>
              <w:jc w:val="center"/>
              <w:rPr>
                <w:lang w:eastAsia="zh-CN"/>
              </w:rPr>
            </w:pPr>
            <w:r w:rsidRPr="00F76C2B">
              <w:t>RUS/IK</w:t>
            </w:r>
          </w:p>
        </w:tc>
        <w:tc>
          <w:tcPr>
            <w:tcW w:w="1830" w:type="dxa"/>
            <w:tcBorders>
              <w:top w:val="nil"/>
              <w:left w:val="nil"/>
              <w:bottom w:val="single" w:sz="4" w:space="0" w:color="auto"/>
              <w:right w:val="single" w:sz="4" w:space="0" w:color="auto"/>
            </w:tcBorders>
            <w:shd w:val="clear" w:color="auto" w:fill="auto"/>
            <w:noWrap/>
            <w:vAlign w:val="bottom"/>
          </w:tcPr>
          <w:p w14:paraId="07D018C6" w14:textId="77777777" w:rsidR="0059147E" w:rsidRPr="00F76C2B" w:rsidRDefault="0059147E" w:rsidP="00540F3E">
            <w:pPr>
              <w:pStyle w:val="Tabletext"/>
              <w:jc w:val="center"/>
              <w:rPr>
                <w:lang w:eastAsia="zh-CN"/>
              </w:rPr>
            </w:pPr>
            <w:r w:rsidRPr="00F76C2B">
              <w:t>4</w:t>
            </w:r>
          </w:p>
        </w:tc>
      </w:tr>
      <w:tr w:rsidR="0059147E" w:rsidRPr="00F76C2B" w14:paraId="64889717"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F3A2803" w14:textId="77777777" w:rsidR="0059147E" w:rsidRPr="00F76C2B" w:rsidRDefault="0059147E" w:rsidP="00540F3E">
            <w:pPr>
              <w:pStyle w:val="Tabletext"/>
              <w:jc w:val="center"/>
              <w:rPr>
                <w:lang w:eastAsia="zh-CN"/>
              </w:rPr>
            </w:pPr>
            <w:r w:rsidRPr="00F76C2B">
              <w:t>G</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251DEC3C" w14:textId="77777777" w:rsidR="0059147E" w:rsidRPr="00F76C2B" w:rsidRDefault="0059147E" w:rsidP="00540F3E">
            <w:pPr>
              <w:pStyle w:val="Tabletext"/>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7FC7811" w14:textId="77777777" w:rsidR="0059147E" w:rsidRPr="00F76C2B" w:rsidRDefault="0059147E" w:rsidP="00540F3E">
            <w:pPr>
              <w:pStyle w:val="Tabletext"/>
              <w:jc w:val="center"/>
              <w:rPr>
                <w:lang w:eastAsia="zh-CN"/>
              </w:rPr>
            </w:pPr>
            <w:r w:rsidRPr="00F76C2B">
              <w:t>S</w:t>
            </w:r>
          </w:p>
        </w:tc>
        <w:tc>
          <w:tcPr>
            <w:tcW w:w="1830" w:type="dxa"/>
            <w:tcBorders>
              <w:top w:val="nil"/>
              <w:left w:val="nil"/>
              <w:bottom w:val="single" w:sz="4" w:space="0" w:color="auto"/>
              <w:right w:val="single" w:sz="4" w:space="0" w:color="auto"/>
            </w:tcBorders>
            <w:shd w:val="clear" w:color="auto" w:fill="auto"/>
            <w:noWrap/>
            <w:vAlign w:val="bottom"/>
          </w:tcPr>
          <w:p w14:paraId="7B96D57A" w14:textId="77777777" w:rsidR="0059147E" w:rsidRPr="00F76C2B" w:rsidRDefault="0059147E" w:rsidP="00540F3E">
            <w:pPr>
              <w:pStyle w:val="Tabletext"/>
              <w:jc w:val="center"/>
              <w:rPr>
                <w:lang w:eastAsia="zh-CN"/>
              </w:rPr>
            </w:pPr>
            <w:r w:rsidRPr="00F76C2B">
              <w:t>4</w:t>
            </w:r>
          </w:p>
        </w:tc>
      </w:tr>
      <w:tr w:rsidR="0059147E" w:rsidRPr="00F76C2B" w14:paraId="7FCFDA71"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7192B3D" w14:textId="77777777" w:rsidR="0059147E" w:rsidRPr="00F76C2B" w:rsidRDefault="0059147E" w:rsidP="00540F3E">
            <w:pPr>
              <w:pStyle w:val="Tabletext"/>
              <w:jc w:val="center"/>
              <w:rPr>
                <w:lang w:eastAsia="zh-CN"/>
              </w:rPr>
            </w:pPr>
            <w:r w:rsidRPr="00F76C2B">
              <w:t>GRC</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4B9CB3DA" w14:textId="77777777" w:rsidR="0059147E" w:rsidRPr="00F76C2B" w:rsidRDefault="0059147E" w:rsidP="00540F3E">
            <w:pPr>
              <w:pStyle w:val="Tabletext"/>
              <w:jc w:val="center"/>
              <w:rPr>
                <w:lang w:eastAsia="zh-CN"/>
              </w:rPr>
            </w:pPr>
            <w:r w:rsidRPr="00F76C2B">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5AC933A" w14:textId="77777777" w:rsidR="0059147E" w:rsidRPr="00F76C2B" w:rsidRDefault="0059147E" w:rsidP="00540F3E">
            <w:pPr>
              <w:pStyle w:val="Tabletext"/>
              <w:jc w:val="center"/>
              <w:rPr>
                <w:lang w:eastAsia="zh-CN"/>
              </w:rPr>
            </w:pPr>
            <w:r w:rsidRPr="00F76C2B">
              <w:t>TUR</w:t>
            </w:r>
          </w:p>
        </w:tc>
        <w:tc>
          <w:tcPr>
            <w:tcW w:w="1830" w:type="dxa"/>
            <w:tcBorders>
              <w:top w:val="nil"/>
              <w:left w:val="nil"/>
              <w:bottom w:val="single" w:sz="4" w:space="0" w:color="auto"/>
              <w:right w:val="single" w:sz="4" w:space="0" w:color="auto"/>
            </w:tcBorders>
            <w:shd w:val="clear" w:color="auto" w:fill="auto"/>
            <w:noWrap/>
            <w:vAlign w:val="bottom"/>
          </w:tcPr>
          <w:p w14:paraId="5898FA86" w14:textId="77777777" w:rsidR="0059147E" w:rsidRPr="00F76C2B" w:rsidRDefault="0059147E" w:rsidP="00540F3E">
            <w:pPr>
              <w:pStyle w:val="Tabletext"/>
              <w:jc w:val="center"/>
              <w:rPr>
                <w:lang w:eastAsia="zh-CN"/>
              </w:rPr>
            </w:pPr>
            <w:r w:rsidRPr="00F76C2B">
              <w:t>2</w:t>
            </w:r>
          </w:p>
        </w:tc>
      </w:tr>
      <w:tr w:rsidR="0059147E" w:rsidRPr="00F76C2B" w14:paraId="3BAF49C4" w14:textId="77777777" w:rsidTr="009A34C2">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3FC133D" w14:textId="77777777" w:rsidR="0059147E" w:rsidRPr="00F76C2B" w:rsidRDefault="0059147E" w:rsidP="00540F3E">
            <w:pPr>
              <w:pStyle w:val="Tabletext"/>
              <w:jc w:val="center"/>
              <w:rPr>
                <w:lang w:eastAsia="zh-CN"/>
              </w:rPr>
            </w:pPr>
            <w:r w:rsidRPr="00F76C2B">
              <w:t>HOL</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587B0478" w14:textId="77777777" w:rsidR="0059147E" w:rsidRPr="00F76C2B" w:rsidRDefault="0059147E" w:rsidP="00540F3E">
            <w:pPr>
              <w:pStyle w:val="Tabletext"/>
              <w:jc w:val="center"/>
              <w:rPr>
                <w:lang w:eastAsia="zh-CN"/>
              </w:rPr>
            </w:pPr>
            <w:r w:rsidRPr="00F76C2B">
              <w:t>9</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2674C5C" w14:textId="77777777" w:rsidR="0059147E" w:rsidRPr="00F76C2B" w:rsidRDefault="0059147E" w:rsidP="00540F3E">
            <w:pPr>
              <w:pStyle w:val="Tabletext"/>
              <w:jc w:val="center"/>
              <w:rPr>
                <w:lang w:eastAsia="zh-CN"/>
              </w:rPr>
            </w:pPr>
            <w:r w:rsidRPr="00F76C2B">
              <w:t>UAE</w:t>
            </w:r>
          </w:p>
        </w:tc>
        <w:tc>
          <w:tcPr>
            <w:tcW w:w="1830" w:type="dxa"/>
            <w:tcBorders>
              <w:top w:val="nil"/>
              <w:left w:val="nil"/>
              <w:bottom w:val="single" w:sz="4" w:space="0" w:color="auto"/>
              <w:right w:val="single" w:sz="4" w:space="0" w:color="auto"/>
            </w:tcBorders>
            <w:shd w:val="clear" w:color="auto" w:fill="auto"/>
            <w:noWrap/>
            <w:vAlign w:val="bottom"/>
          </w:tcPr>
          <w:p w14:paraId="4FE913F4" w14:textId="77777777" w:rsidR="0059147E" w:rsidRPr="00F76C2B" w:rsidRDefault="0059147E" w:rsidP="00540F3E">
            <w:pPr>
              <w:pStyle w:val="Tabletext"/>
              <w:jc w:val="center"/>
              <w:rPr>
                <w:lang w:eastAsia="zh-CN"/>
              </w:rPr>
            </w:pPr>
            <w:r w:rsidRPr="00F76C2B">
              <w:t>5</w:t>
            </w:r>
          </w:p>
        </w:tc>
      </w:tr>
    </w:tbl>
    <w:p w14:paraId="4EADB1AE" w14:textId="51100A61" w:rsidR="0059147E" w:rsidRPr="002D2E23" w:rsidRDefault="0059147E" w:rsidP="00926EF0">
      <w:pPr>
        <w:pStyle w:val="Heading2"/>
        <w:rPr>
          <w:rFonts w:asciiTheme="minorHAnsi" w:hAnsiTheme="minorHAnsi" w:cstheme="minorHAnsi"/>
          <w:b w:val="0"/>
          <w:bCs/>
          <w:szCs w:val="24"/>
          <w:lang w:val="es-ES"/>
        </w:rPr>
      </w:pPr>
      <w:r w:rsidRPr="002D2E23">
        <w:rPr>
          <w:rFonts w:asciiTheme="minorHAnsi" w:hAnsiTheme="minorHAnsi" w:cstheme="minorHAnsi"/>
          <w:bCs/>
          <w:szCs w:val="24"/>
          <w:lang w:val="es-ES"/>
        </w:rPr>
        <w:t>1.5</w:t>
      </w:r>
      <w:r w:rsidRPr="002D2E23">
        <w:rPr>
          <w:rFonts w:asciiTheme="minorHAnsi" w:hAnsiTheme="minorHAnsi" w:cstheme="minorHAnsi"/>
          <w:bCs/>
          <w:szCs w:val="24"/>
          <w:lang w:val="es-ES"/>
        </w:rPr>
        <w:tab/>
      </w:r>
      <w:r w:rsidRPr="00926EF0">
        <w:rPr>
          <w:lang w:val="es-ES"/>
        </w:rPr>
        <w:t>Administraciones</w:t>
      </w:r>
      <w:r w:rsidRPr="002D2E23">
        <w:rPr>
          <w:rFonts w:asciiTheme="minorHAnsi" w:hAnsiTheme="minorHAnsi" w:cstheme="minorHAnsi"/>
          <w:bCs/>
          <w:szCs w:val="24"/>
          <w:lang w:val="es-ES"/>
        </w:rPr>
        <w:t xml:space="preserve"> sin asignaciones nacionales en los Planes</w:t>
      </w:r>
    </w:p>
    <w:p w14:paraId="78863301" w14:textId="77777777" w:rsidR="0059147E" w:rsidRPr="00172F32" w:rsidRDefault="0059147E" w:rsidP="00BB2A16">
      <w:pPr>
        <w:rPr>
          <w:lang w:val="es-ES"/>
        </w:rPr>
      </w:pPr>
      <w:r w:rsidRPr="00172F32">
        <w:rPr>
          <w:lang w:val="es-ES"/>
        </w:rPr>
        <w:t xml:space="preserve">En las Regiones 1 y 3 sólo la Administración de Montenegro (MNE) carece de asignaciones en </w:t>
      </w:r>
      <w:r>
        <w:rPr>
          <w:lang w:val="es-ES"/>
        </w:rPr>
        <w:t>los Planes de los Apéndices</w:t>
      </w:r>
      <w:r w:rsidRPr="00172F32">
        <w:rPr>
          <w:lang w:val="es-ES"/>
        </w:rPr>
        <w:t xml:space="preserve"> </w:t>
      </w:r>
      <w:r w:rsidRPr="00172F32">
        <w:rPr>
          <w:b/>
          <w:bCs/>
          <w:lang w:val="es-ES"/>
        </w:rPr>
        <w:t>30</w:t>
      </w:r>
      <w:r w:rsidRPr="00172F32">
        <w:rPr>
          <w:lang w:val="es-ES"/>
        </w:rPr>
        <w:t xml:space="preserve"> </w:t>
      </w:r>
      <w:r>
        <w:rPr>
          <w:lang w:val="es-ES"/>
        </w:rPr>
        <w:t>y</w:t>
      </w:r>
      <w:r w:rsidRPr="00172F32">
        <w:rPr>
          <w:lang w:val="es-ES"/>
        </w:rPr>
        <w:t xml:space="preserve"> </w:t>
      </w:r>
      <w:r w:rsidRPr="00172F32">
        <w:rPr>
          <w:b/>
          <w:bCs/>
          <w:lang w:val="es-ES"/>
        </w:rPr>
        <w:t>30A</w:t>
      </w:r>
      <w:r w:rsidRPr="00172F32">
        <w:rPr>
          <w:lang w:val="es-ES"/>
        </w:rPr>
        <w:t>.</w:t>
      </w:r>
    </w:p>
    <w:p w14:paraId="4F5FA28D" w14:textId="77777777" w:rsidR="0059147E" w:rsidRPr="00172F32" w:rsidRDefault="0059147E" w:rsidP="00BB2A16">
      <w:pPr>
        <w:rPr>
          <w:rFonts w:asciiTheme="minorHAnsi" w:hAnsiTheme="minorHAnsi" w:cstheme="minorHAnsi"/>
          <w:szCs w:val="24"/>
          <w:lang w:val="es-ES"/>
        </w:rPr>
      </w:pPr>
      <w:bookmarkStart w:id="7" w:name="_Hlk132985888"/>
      <w:r w:rsidRPr="00172F32">
        <w:rPr>
          <w:lang w:val="es-ES"/>
        </w:rPr>
        <w:t xml:space="preserve">Si la Administración de Montenegro solicita asignaciones en los Planes, la Oficina le recomendaría aplicar el procedimiento del Artículo 4 de los Apéndices </w:t>
      </w:r>
      <w:r w:rsidRPr="00172F32">
        <w:rPr>
          <w:b/>
          <w:bCs/>
          <w:lang w:val="es-ES"/>
        </w:rPr>
        <w:t>30</w:t>
      </w:r>
      <w:r w:rsidRPr="00172F32">
        <w:rPr>
          <w:lang w:val="es-ES"/>
        </w:rPr>
        <w:t xml:space="preserve"> y </w:t>
      </w:r>
      <w:r w:rsidRPr="00172F32">
        <w:rPr>
          <w:b/>
          <w:bCs/>
          <w:lang w:val="es-ES"/>
        </w:rPr>
        <w:t>30A</w:t>
      </w:r>
      <w:r w:rsidRPr="00172F32">
        <w:rPr>
          <w:lang w:val="es-ES"/>
        </w:rPr>
        <w:t xml:space="preserve"> para obtener nuevas asignaciones de frecuencia en las Listas de utilizaciones adicionales sobre su territorio nacional. Posteriormente, la Administración de Montenegro podrá aplicar el § 4.1.26 del Artículo 4 para solicitar a la siguiente Conferencia que incluya sus asignaciones en los Planes de los Apéndices </w:t>
      </w:r>
      <w:r w:rsidRPr="00172F32">
        <w:rPr>
          <w:b/>
          <w:bCs/>
          <w:lang w:val="es-ES"/>
        </w:rPr>
        <w:t>30</w:t>
      </w:r>
      <w:r w:rsidRPr="00172F32">
        <w:rPr>
          <w:lang w:val="es-ES"/>
        </w:rPr>
        <w:t xml:space="preserve"> y </w:t>
      </w:r>
      <w:r w:rsidRPr="00172F32">
        <w:rPr>
          <w:b/>
          <w:bCs/>
          <w:lang w:val="es-ES"/>
        </w:rPr>
        <w:t>30A</w:t>
      </w:r>
      <w:r w:rsidRPr="00172F32">
        <w:rPr>
          <w:rFonts w:asciiTheme="minorHAnsi" w:hAnsiTheme="minorHAnsi" w:cstheme="minorHAnsi"/>
          <w:szCs w:val="24"/>
          <w:lang w:val="es-ES"/>
        </w:rPr>
        <w:t>.</w:t>
      </w:r>
      <w:bookmarkEnd w:id="7"/>
      <w:r w:rsidRPr="00172F32">
        <w:rPr>
          <w:rFonts w:asciiTheme="minorHAnsi" w:hAnsiTheme="minorHAnsi" w:cstheme="minorHAnsi"/>
          <w:szCs w:val="24"/>
          <w:lang w:val="es-ES"/>
        </w:rPr>
        <w:t xml:space="preserve"> De acuerdo con lo acordado por la CMR-23, la Administración de Montenegro puede aplicar </w:t>
      </w:r>
      <w:r w:rsidRPr="006638D1">
        <w:rPr>
          <w:lang w:val="es-ES"/>
        </w:rPr>
        <w:t>todas</w:t>
      </w:r>
      <w:r w:rsidRPr="00172F32">
        <w:rPr>
          <w:rFonts w:asciiTheme="minorHAnsi" w:hAnsiTheme="minorHAnsi" w:cstheme="minorHAnsi"/>
          <w:szCs w:val="24"/>
          <w:lang w:val="es-ES"/>
        </w:rPr>
        <w:t xml:space="preserve"> las</w:t>
      </w:r>
      <w:r>
        <w:rPr>
          <w:rFonts w:asciiTheme="minorHAnsi" w:hAnsiTheme="minorHAnsi" w:cstheme="minorHAnsi"/>
          <w:szCs w:val="24"/>
          <w:lang w:val="es-ES"/>
        </w:rPr>
        <w:t xml:space="preserve"> medidas refrendadas por la CMR</w:t>
      </w:r>
      <w:r w:rsidRPr="00172F32">
        <w:rPr>
          <w:rFonts w:asciiTheme="minorHAnsi" w:hAnsiTheme="minorHAnsi" w:cstheme="minorHAnsi"/>
          <w:szCs w:val="24"/>
          <w:lang w:val="es-ES"/>
        </w:rPr>
        <w:t xml:space="preserve">-23 </w:t>
      </w:r>
      <w:r>
        <w:rPr>
          <w:rFonts w:asciiTheme="minorHAnsi" w:hAnsiTheme="minorHAnsi" w:cstheme="minorHAnsi"/>
          <w:szCs w:val="24"/>
          <w:lang w:val="es-ES"/>
        </w:rPr>
        <w:t>en relación con la Resolución</w:t>
      </w:r>
      <w:r w:rsidRPr="00172F32">
        <w:rPr>
          <w:rFonts w:asciiTheme="minorHAnsi" w:hAnsiTheme="minorHAnsi" w:cstheme="minorHAnsi"/>
          <w:szCs w:val="24"/>
          <w:lang w:val="es-ES"/>
        </w:rPr>
        <w:t xml:space="preserve"> </w:t>
      </w:r>
      <w:r w:rsidRPr="00172F32">
        <w:rPr>
          <w:rFonts w:asciiTheme="minorHAnsi" w:hAnsiTheme="minorHAnsi" w:cstheme="minorHAnsi"/>
          <w:b/>
          <w:bCs/>
          <w:szCs w:val="24"/>
          <w:lang w:val="es-ES"/>
        </w:rPr>
        <w:t>559 (</w:t>
      </w:r>
      <w:r>
        <w:rPr>
          <w:rFonts w:asciiTheme="minorHAnsi" w:hAnsiTheme="minorHAnsi" w:cstheme="minorHAnsi"/>
          <w:b/>
          <w:bCs/>
          <w:szCs w:val="24"/>
          <w:lang w:val="es-ES"/>
        </w:rPr>
        <w:t>CMR</w:t>
      </w:r>
      <w:r w:rsidRPr="00172F32">
        <w:rPr>
          <w:rFonts w:asciiTheme="minorHAnsi" w:hAnsiTheme="minorHAnsi" w:cstheme="minorHAnsi"/>
          <w:b/>
          <w:bCs/>
          <w:szCs w:val="24"/>
          <w:lang w:val="es-ES"/>
        </w:rPr>
        <w:t>-19)</w:t>
      </w:r>
      <w:r w:rsidRPr="00172F32">
        <w:rPr>
          <w:rFonts w:asciiTheme="minorHAnsi" w:hAnsiTheme="minorHAnsi" w:cstheme="minorHAnsi"/>
          <w:szCs w:val="24"/>
          <w:lang w:val="es-ES"/>
        </w:rPr>
        <w:t xml:space="preserve"> </w:t>
      </w:r>
      <w:r>
        <w:rPr>
          <w:rFonts w:asciiTheme="minorHAnsi" w:hAnsiTheme="minorHAnsi" w:cstheme="minorHAnsi"/>
          <w:szCs w:val="24"/>
          <w:lang w:val="es-ES"/>
        </w:rPr>
        <w:t>a su solicitud de nuevas asignaciones de los Planes para las Regiones 1 y 3</w:t>
      </w:r>
      <w:r w:rsidRPr="00172F32">
        <w:rPr>
          <w:rFonts w:asciiTheme="minorHAnsi" w:hAnsiTheme="minorHAnsi" w:cstheme="minorHAnsi"/>
          <w:szCs w:val="24"/>
          <w:lang w:val="es-ES"/>
        </w:rPr>
        <w:t>.</w:t>
      </w:r>
    </w:p>
    <w:p w14:paraId="4CD812CB" w14:textId="6F6B0E4A" w:rsidR="0059147E" w:rsidRPr="00172F32" w:rsidRDefault="0059147E" w:rsidP="00926EF0">
      <w:pPr>
        <w:pStyle w:val="Heading1"/>
        <w:rPr>
          <w:lang w:val="es-ES"/>
        </w:rPr>
      </w:pPr>
      <w:r w:rsidRPr="00172F32">
        <w:rPr>
          <w:lang w:val="es-ES"/>
        </w:rPr>
        <w:t>2</w:t>
      </w:r>
      <w:r w:rsidRPr="00172F32">
        <w:rPr>
          <w:lang w:val="es-ES"/>
        </w:rPr>
        <w:tab/>
        <w:t xml:space="preserve">Situación de los Planes regidos por los Apéndices 30 y 30A </w:t>
      </w:r>
      <w:r>
        <w:rPr>
          <w:lang w:val="es-ES"/>
        </w:rPr>
        <w:t>en la Región</w:t>
      </w:r>
      <w:r w:rsidRPr="00172F32">
        <w:rPr>
          <w:lang w:val="es-ES"/>
        </w:rPr>
        <w:t xml:space="preserve"> 2</w:t>
      </w:r>
    </w:p>
    <w:p w14:paraId="1855D9A1" w14:textId="64363D26" w:rsidR="0059147E" w:rsidRPr="002D2E23" w:rsidRDefault="0059147E" w:rsidP="00926EF0">
      <w:pPr>
        <w:pStyle w:val="Heading2"/>
        <w:rPr>
          <w:rFonts w:asciiTheme="minorHAnsi" w:hAnsiTheme="minorHAnsi" w:cstheme="minorHAnsi"/>
          <w:b w:val="0"/>
          <w:bCs/>
          <w:szCs w:val="24"/>
          <w:lang w:val="es-ES"/>
        </w:rPr>
      </w:pPr>
      <w:r w:rsidRPr="002D2E23">
        <w:rPr>
          <w:rFonts w:asciiTheme="minorHAnsi" w:hAnsiTheme="minorHAnsi" w:cstheme="minorHAnsi"/>
          <w:bCs/>
          <w:szCs w:val="24"/>
          <w:lang w:val="es-ES"/>
        </w:rPr>
        <w:t>2.1</w:t>
      </w:r>
      <w:r w:rsidRPr="002D2E23">
        <w:rPr>
          <w:rFonts w:asciiTheme="minorHAnsi" w:hAnsiTheme="minorHAnsi" w:cstheme="minorHAnsi"/>
          <w:bCs/>
          <w:szCs w:val="24"/>
          <w:lang w:val="es-ES"/>
        </w:rPr>
        <w:tab/>
      </w:r>
      <w:r w:rsidRPr="00926EF0">
        <w:rPr>
          <w:lang w:val="es-ES"/>
        </w:rPr>
        <w:t>Generalidades</w:t>
      </w:r>
    </w:p>
    <w:p w14:paraId="308AADD6" w14:textId="6F9E5E8A" w:rsidR="0059147E" w:rsidRPr="00172F32" w:rsidRDefault="0059147E" w:rsidP="00BB2A16">
      <w:pPr>
        <w:rPr>
          <w:rFonts w:asciiTheme="minorHAnsi" w:hAnsiTheme="minorHAnsi" w:cstheme="minorHAnsi"/>
          <w:szCs w:val="24"/>
          <w:lang w:val="es-ES"/>
        </w:rPr>
      </w:pPr>
      <w:r w:rsidRPr="00172F32">
        <w:rPr>
          <w:rFonts w:eastAsiaTheme="minorEastAsia"/>
          <w:lang w:val="es-ES"/>
        </w:rPr>
        <w:t xml:space="preserve">El Plan del Apéndice </w:t>
      </w:r>
      <w:r w:rsidRPr="00172F32">
        <w:rPr>
          <w:rFonts w:eastAsiaTheme="minorEastAsia"/>
          <w:b/>
          <w:bCs/>
          <w:lang w:val="es-ES"/>
        </w:rPr>
        <w:t>30</w:t>
      </w:r>
      <w:r w:rsidRPr="00172F32">
        <w:rPr>
          <w:rFonts w:eastAsiaTheme="minorEastAsia"/>
          <w:lang w:val="es-ES"/>
        </w:rPr>
        <w:t xml:space="preserve"> en la Región 2 es un Plan para el SRS (enlace descendente) en la banda de frecuencias 12,2-12,7 GHz en la Región 2, junto con las modificaciones resultantes de la aplicación satisfactoria de los procedimientos del Artículo 4 de dicho Apéndice. El Plan del Apéndice </w:t>
      </w:r>
      <w:r w:rsidRPr="00172F32">
        <w:rPr>
          <w:rFonts w:eastAsiaTheme="minorEastAsia"/>
          <w:b/>
          <w:bCs/>
          <w:lang w:val="es-ES"/>
        </w:rPr>
        <w:t>30A</w:t>
      </w:r>
      <w:r w:rsidRPr="00172F32">
        <w:rPr>
          <w:rFonts w:eastAsiaTheme="minorEastAsia"/>
          <w:lang w:val="es-ES"/>
        </w:rPr>
        <w:t xml:space="preserve"> en la Región 2 es un Plan para los enlaces de conexión del SRS en la banda de frecuencias 17,3-17,8 GHz en la Región 2</w:t>
      </w:r>
      <w:r w:rsidRPr="00172F32">
        <w:rPr>
          <w:rFonts w:asciiTheme="minorHAnsi" w:eastAsiaTheme="minorEastAsia" w:hAnsiTheme="minorHAnsi" w:cstheme="minorHAnsi"/>
          <w:lang w:val="es-ES"/>
        </w:rPr>
        <w:t>.</w:t>
      </w:r>
    </w:p>
    <w:p w14:paraId="533BB4FF" w14:textId="77777777" w:rsidR="0059147E" w:rsidRPr="00172F32" w:rsidRDefault="0059147E" w:rsidP="0059147E">
      <w:pPr>
        <w:rPr>
          <w:rFonts w:eastAsiaTheme="minorEastAsia"/>
          <w:bCs/>
          <w:lang w:val="es-ES"/>
        </w:rPr>
      </w:pPr>
      <w:r w:rsidRPr="00172F32">
        <w:rPr>
          <w:rFonts w:eastAsiaTheme="minorEastAsia"/>
          <w:bCs/>
          <w:lang w:val="es-ES"/>
        </w:rPr>
        <w:t xml:space="preserve">Los Planes de la Región 2 no utilizan los conceptos de uso adicional y Lista. Sin embargo, las Administraciones de la Región 2 pueden aplicar los procedimientos del Artículo 4 de los Apéndices </w:t>
      </w:r>
      <w:r w:rsidRPr="00172F32">
        <w:rPr>
          <w:rFonts w:eastAsiaTheme="minorEastAsia"/>
          <w:b/>
          <w:lang w:val="es-ES"/>
        </w:rPr>
        <w:t>30</w:t>
      </w:r>
      <w:r w:rsidRPr="00172F32">
        <w:rPr>
          <w:rFonts w:eastAsiaTheme="minorEastAsia"/>
          <w:bCs/>
          <w:lang w:val="es-ES"/>
        </w:rPr>
        <w:t xml:space="preserve"> y </w:t>
      </w:r>
      <w:r w:rsidRPr="00172F32">
        <w:rPr>
          <w:rFonts w:eastAsiaTheme="minorEastAsia"/>
          <w:b/>
          <w:lang w:val="es-ES"/>
        </w:rPr>
        <w:t>30A</w:t>
      </w:r>
      <w:r w:rsidRPr="00172F32">
        <w:rPr>
          <w:rFonts w:eastAsiaTheme="minorEastAsia"/>
          <w:bCs/>
          <w:lang w:val="es-ES"/>
        </w:rPr>
        <w:t xml:space="preserve"> para incluir </w:t>
      </w:r>
      <w:r w:rsidRPr="00BB2A16">
        <w:rPr>
          <w:rFonts w:eastAsiaTheme="minorEastAsia"/>
          <w:lang w:val="es-ES"/>
        </w:rPr>
        <w:t>una</w:t>
      </w:r>
      <w:r w:rsidRPr="00172F32">
        <w:rPr>
          <w:rFonts w:eastAsiaTheme="minorEastAsia"/>
          <w:bCs/>
          <w:lang w:val="es-ES"/>
        </w:rPr>
        <w:t xml:space="preserve"> nueva </w:t>
      </w:r>
      <w:r w:rsidRPr="006638D1">
        <w:rPr>
          <w:lang w:val="es-ES"/>
        </w:rPr>
        <w:t>asignación</w:t>
      </w:r>
      <w:r w:rsidRPr="00172F32">
        <w:rPr>
          <w:rFonts w:eastAsiaTheme="minorEastAsia"/>
          <w:bCs/>
          <w:lang w:val="es-ES"/>
        </w:rPr>
        <w:t xml:space="preserve"> en los Planes de la Región 2 incluso en posiciones orbitales diferentes y/o con zonas de cobertura y servicio más amplias que el territorio nacional de la Administración solicitante.</w:t>
      </w:r>
    </w:p>
    <w:p w14:paraId="349B74B4" w14:textId="77777777" w:rsidR="0059147E" w:rsidRPr="00172F32" w:rsidRDefault="0059147E" w:rsidP="00BB2A16">
      <w:pPr>
        <w:rPr>
          <w:rFonts w:asciiTheme="minorHAnsi" w:eastAsiaTheme="minorEastAsia" w:hAnsiTheme="minorHAnsi" w:cstheme="minorHAnsi"/>
          <w:b/>
          <w:lang w:val="es-ES"/>
        </w:rPr>
      </w:pPr>
      <w:r w:rsidRPr="00172F32">
        <w:rPr>
          <w:rFonts w:eastAsiaTheme="minorEastAsia"/>
          <w:lang w:val="es-ES"/>
        </w:rPr>
        <w:t xml:space="preserve">Todas las Administraciones de </w:t>
      </w:r>
      <w:r w:rsidRPr="006638D1">
        <w:rPr>
          <w:lang w:val="es-ES"/>
        </w:rPr>
        <w:t>la</w:t>
      </w:r>
      <w:r w:rsidRPr="00172F32">
        <w:rPr>
          <w:rFonts w:eastAsiaTheme="minorEastAsia"/>
          <w:lang w:val="es-ES"/>
        </w:rPr>
        <w:t xml:space="preserve"> Región 2 tienen al menos una inscripción en los Planes de la Región 2</w:t>
      </w:r>
      <w:r w:rsidRPr="00172F32">
        <w:rPr>
          <w:rFonts w:asciiTheme="minorHAnsi" w:eastAsiaTheme="minorEastAsia" w:hAnsiTheme="minorHAnsi" w:cstheme="minorHAnsi"/>
          <w:lang w:val="es-ES"/>
        </w:rPr>
        <w:t>.</w:t>
      </w:r>
    </w:p>
    <w:p w14:paraId="4AD8DD9B" w14:textId="77777777" w:rsidR="0059147E" w:rsidRPr="00172F32" w:rsidRDefault="0059147E" w:rsidP="00BB2A16">
      <w:pPr>
        <w:rPr>
          <w:rFonts w:asciiTheme="minorHAnsi" w:eastAsiaTheme="minorEastAsia" w:hAnsiTheme="minorHAnsi" w:cstheme="minorHAnsi"/>
          <w:b/>
          <w:lang w:val="es-ES"/>
        </w:rPr>
      </w:pPr>
      <w:r w:rsidRPr="00172F32">
        <w:rPr>
          <w:rFonts w:eastAsiaTheme="minorEastAsia"/>
          <w:lang w:val="es-ES"/>
        </w:rPr>
        <w:t>La situación de referencia de una asignación en los Planes de la Región 2 está representada por el margen de protección global equivalente (MPGE), que combina los valores del M</w:t>
      </w:r>
      <w:r>
        <w:rPr>
          <w:rFonts w:eastAsiaTheme="minorEastAsia"/>
          <w:lang w:val="es-ES"/>
        </w:rPr>
        <w:t>P</w:t>
      </w:r>
      <w:r w:rsidRPr="00172F32">
        <w:rPr>
          <w:rFonts w:eastAsiaTheme="minorEastAsia"/>
          <w:lang w:val="es-ES"/>
        </w:rPr>
        <w:t>E tanto en el enlace descendente como en el enlace ascendente de conexión</w:t>
      </w:r>
      <w:r w:rsidRPr="00172F32">
        <w:rPr>
          <w:rFonts w:asciiTheme="minorHAnsi" w:eastAsiaTheme="minorEastAsia" w:hAnsiTheme="minorHAnsi" w:cstheme="minorHAnsi"/>
          <w:lang w:val="es-ES"/>
        </w:rPr>
        <w:t>.</w:t>
      </w:r>
    </w:p>
    <w:p w14:paraId="7CBA5055" w14:textId="5A172106" w:rsidR="0059147E" w:rsidRPr="00172F32" w:rsidRDefault="0059147E" w:rsidP="00BB2A16">
      <w:pPr>
        <w:pStyle w:val="Heading2"/>
        <w:rPr>
          <w:b w:val="0"/>
          <w:lang w:val="es-ES"/>
        </w:rPr>
      </w:pPr>
      <w:r w:rsidRPr="00172F32">
        <w:rPr>
          <w:lang w:val="es-ES"/>
        </w:rPr>
        <w:lastRenderedPageBreak/>
        <w:t>2.2</w:t>
      </w:r>
      <w:r w:rsidRPr="00172F32">
        <w:rPr>
          <w:lang w:val="es-ES"/>
        </w:rPr>
        <w:tab/>
        <w:t xml:space="preserve">Situación de </w:t>
      </w:r>
      <w:r w:rsidRPr="00BB2A16">
        <w:t>referencia</w:t>
      </w:r>
      <w:r w:rsidRPr="00172F32">
        <w:rPr>
          <w:lang w:val="es-ES"/>
        </w:rPr>
        <w:t xml:space="preserve"> de las asignaciones nacionales </w:t>
      </w:r>
      <w:r>
        <w:rPr>
          <w:lang w:val="es-ES"/>
        </w:rPr>
        <w:t>planificadas</w:t>
      </w:r>
    </w:p>
    <w:p w14:paraId="12A8C298" w14:textId="77777777" w:rsidR="0059147E" w:rsidRPr="00172F32" w:rsidRDefault="0059147E" w:rsidP="00BB2A16">
      <w:pPr>
        <w:rPr>
          <w:rFonts w:eastAsiaTheme="minorEastAsia"/>
          <w:b/>
          <w:bCs/>
          <w:lang w:val="es-ES"/>
        </w:rPr>
      </w:pPr>
      <w:r w:rsidRPr="00172F32">
        <w:rPr>
          <w:rFonts w:eastAsiaTheme="minorEastAsia"/>
          <w:lang w:val="es-ES"/>
        </w:rPr>
        <w:t xml:space="preserve">El Cuadro 6 siguiente muestra la situación de referencia, en términos de valores de MPGE máximos y </w:t>
      </w:r>
      <w:r w:rsidRPr="006638D1">
        <w:rPr>
          <w:lang w:val="es-ES"/>
        </w:rPr>
        <w:t>mínimos</w:t>
      </w:r>
      <w:r w:rsidRPr="00172F32">
        <w:rPr>
          <w:rFonts w:eastAsiaTheme="minorEastAsia"/>
          <w:lang w:val="es-ES"/>
        </w:rPr>
        <w:t>, de las asignaciones de los Planes de la Región 2 a partir de los datos de la</w:t>
      </w:r>
      <w:r w:rsidRPr="00172F32">
        <w:rPr>
          <w:rFonts w:eastAsiaTheme="minorEastAsia"/>
          <w:bCs/>
          <w:lang w:val="es-ES"/>
        </w:rPr>
        <w:t xml:space="preserve"> BR IFIC 3015</w:t>
      </w:r>
      <w:r>
        <w:rPr>
          <w:rFonts w:eastAsiaTheme="minorEastAsia"/>
          <w:bCs/>
          <w:lang w:val="es-ES"/>
        </w:rPr>
        <w:t>d</w:t>
      </w:r>
      <w:r w:rsidRPr="00172F32">
        <w:rPr>
          <w:rFonts w:eastAsiaTheme="minorEastAsia"/>
          <w:bCs/>
          <w:lang w:val="es-ES"/>
        </w:rPr>
        <w:t xml:space="preserve"> </w:t>
      </w:r>
      <w:r>
        <w:rPr>
          <w:rFonts w:eastAsiaTheme="minorEastAsia"/>
          <w:bCs/>
          <w:lang w:val="es-ES"/>
        </w:rPr>
        <w:t>de 20 de febrero de</w:t>
      </w:r>
      <w:r w:rsidRPr="00172F32">
        <w:rPr>
          <w:rFonts w:eastAsiaTheme="minorEastAsia"/>
          <w:bCs/>
          <w:lang w:val="es-ES"/>
        </w:rPr>
        <w:t xml:space="preserve"> 2024.</w:t>
      </w:r>
    </w:p>
    <w:p w14:paraId="38F20A8A" w14:textId="77777777" w:rsidR="0059147E" w:rsidRPr="002D2E23" w:rsidRDefault="0059147E" w:rsidP="00BB2A16">
      <w:pPr>
        <w:pStyle w:val="TableNo"/>
        <w:rPr>
          <w:rFonts w:asciiTheme="minorHAnsi" w:hAnsiTheme="minorHAnsi" w:cstheme="minorHAnsi"/>
          <w:szCs w:val="24"/>
          <w:lang w:val="es-ES"/>
        </w:rPr>
      </w:pPr>
      <w:bookmarkStart w:id="8" w:name="_Hlk163662361"/>
      <w:r w:rsidRPr="00BB2A16">
        <w:rPr>
          <w:lang w:val="es-ES"/>
        </w:rPr>
        <w:t>Cuadro</w:t>
      </w:r>
      <w:r w:rsidRPr="002D2E23">
        <w:rPr>
          <w:rFonts w:asciiTheme="minorHAnsi" w:hAnsiTheme="minorHAnsi" w:cstheme="minorHAnsi"/>
          <w:szCs w:val="24"/>
          <w:lang w:val="es-ES"/>
        </w:rPr>
        <w:t xml:space="preserve"> 6</w:t>
      </w:r>
    </w:p>
    <w:p w14:paraId="388B32AA" w14:textId="77777777" w:rsidR="0059147E" w:rsidRPr="00B36273" w:rsidRDefault="0059147E" w:rsidP="00BB2A16">
      <w:pPr>
        <w:pStyle w:val="Tabletitle"/>
        <w:rPr>
          <w:lang w:val="es-ES"/>
        </w:rPr>
      </w:pPr>
      <w:r w:rsidRPr="00B36273">
        <w:rPr>
          <w:lang w:val="es-ES"/>
        </w:rPr>
        <w:t xml:space="preserve">Situación de referencia de las asignaciones en los Planes para la Región 2 </w:t>
      </w:r>
      <w:bookmarkEnd w:id="8"/>
    </w:p>
    <w:p w14:paraId="4F237820" w14:textId="77777777" w:rsidR="0059147E" w:rsidRPr="002D2E23" w:rsidRDefault="00D9171F" w:rsidP="0059147E">
      <w:pPr>
        <w:jc w:val="center"/>
        <w:rPr>
          <w:rStyle w:val="Hyperlink"/>
          <w:rFonts w:asciiTheme="minorHAnsi" w:hAnsiTheme="minorHAnsi" w:cstheme="minorHAnsi"/>
          <w:b/>
          <w:bCs/>
          <w:szCs w:val="24"/>
          <w:lang w:val="es-ES"/>
        </w:rPr>
      </w:pPr>
      <w:hyperlink r:id="rId17" w:history="1">
        <w:r w:rsidR="0059147E" w:rsidRPr="002D2E23">
          <w:rPr>
            <w:rStyle w:val="Hyperlink"/>
            <w:rFonts w:asciiTheme="minorHAnsi" w:hAnsiTheme="minorHAnsi" w:cstheme="minorHAnsi"/>
            <w:b/>
            <w:bCs/>
            <w:szCs w:val="24"/>
            <w:lang w:val="es-ES"/>
          </w:rPr>
          <w:t>Véase el Cuadro 6 aquí</w:t>
        </w:r>
      </w:hyperlink>
    </w:p>
    <w:p w14:paraId="1EC451B2" w14:textId="77777777" w:rsidR="0059147E" w:rsidRPr="00B36273" w:rsidRDefault="0059147E" w:rsidP="00B36273">
      <w:pPr>
        <w:pStyle w:val="Tablelegend"/>
      </w:pPr>
      <w:r w:rsidRPr="00B36273">
        <w:t xml:space="preserve">LEYENDA PARA EL CUADRO: </w:t>
      </w:r>
    </w:p>
    <w:p w14:paraId="6C7EECFB" w14:textId="77777777" w:rsidR="0059147E" w:rsidRDefault="0059147E" w:rsidP="00B36273">
      <w:pPr>
        <w:pStyle w:val="Tablelegend"/>
        <w:rPr>
          <w:rStyle w:val="Hyperlink"/>
          <w:rFonts w:asciiTheme="minorHAnsi" w:hAnsiTheme="minorHAnsi" w:cstheme="minorHAnsi"/>
          <w:b/>
          <w:bCs/>
          <w:szCs w:val="24"/>
          <w:lang w:val="es-ES"/>
        </w:rPr>
      </w:pPr>
      <w:r w:rsidRPr="00B36273">
        <w:t>Administración / Posición orbital / MPGE mínimo / MPGE máximo</w:t>
      </w:r>
    </w:p>
    <w:p w14:paraId="434B635A" w14:textId="64D4A010" w:rsidR="0059147E" w:rsidRPr="00172F32" w:rsidRDefault="0059147E" w:rsidP="00BB2A16">
      <w:pPr>
        <w:pStyle w:val="Parttitle"/>
        <w:rPr>
          <w:rFonts w:asciiTheme="minorHAnsi" w:hAnsiTheme="minorHAnsi" w:cstheme="minorHAnsi"/>
          <w:lang w:val="es-ES"/>
        </w:rPr>
      </w:pPr>
      <w:r w:rsidRPr="00BB2A16">
        <w:t xml:space="preserve">Parte II </w:t>
      </w:r>
      <w:r w:rsidR="00932516">
        <w:sym w:font="Symbol" w:char="F02D"/>
      </w:r>
      <w:r w:rsidRPr="00BB2A16">
        <w:t xml:space="preserve"> Plan del servicio fijo por satélite del Apéndice 30B</w:t>
      </w:r>
    </w:p>
    <w:p w14:paraId="3E2F3AF4" w14:textId="77515A76" w:rsidR="0059147E" w:rsidRPr="002D2E23" w:rsidRDefault="0059147E" w:rsidP="00932516">
      <w:pPr>
        <w:pStyle w:val="Heading1"/>
        <w:rPr>
          <w:rFonts w:asciiTheme="minorHAnsi" w:hAnsiTheme="minorHAnsi" w:cstheme="minorHAnsi"/>
          <w:b w:val="0"/>
          <w:bCs/>
          <w:szCs w:val="24"/>
          <w:lang w:val="es-ES"/>
        </w:rPr>
      </w:pPr>
      <w:r w:rsidRPr="002D2E23">
        <w:rPr>
          <w:rFonts w:asciiTheme="minorHAnsi" w:hAnsiTheme="minorHAnsi" w:cstheme="minorHAnsi"/>
          <w:bCs/>
          <w:szCs w:val="24"/>
          <w:lang w:val="es-ES"/>
        </w:rPr>
        <w:t>1</w:t>
      </w:r>
      <w:r w:rsidRPr="002D2E23">
        <w:rPr>
          <w:rFonts w:asciiTheme="minorHAnsi" w:hAnsiTheme="minorHAnsi" w:cstheme="minorHAnsi"/>
          <w:bCs/>
          <w:szCs w:val="24"/>
          <w:lang w:val="es-ES"/>
        </w:rPr>
        <w:tab/>
      </w:r>
      <w:r w:rsidRPr="00932516">
        <w:t>Generalidades</w:t>
      </w:r>
    </w:p>
    <w:p w14:paraId="34F57284" w14:textId="77777777" w:rsidR="0059147E" w:rsidRPr="00104175" w:rsidRDefault="0059147E" w:rsidP="00BB2A16">
      <w:pPr>
        <w:rPr>
          <w:lang w:val="es-ES"/>
        </w:rPr>
      </w:pPr>
      <w:r w:rsidRPr="00104175">
        <w:rPr>
          <w:lang w:val="es-ES"/>
        </w:rPr>
        <w:t xml:space="preserve">El Plan del servicio fijo por satélite (SFS) del Apéndice </w:t>
      </w:r>
      <w:r w:rsidRPr="00104175">
        <w:rPr>
          <w:b/>
          <w:bCs/>
          <w:lang w:val="es-ES"/>
        </w:rPr>
        <w:t>30B</w:t>
      </w:r>
      <w:r w:rsidRPr="00104175">
        <w:rPr>
          <w:lang w:val="es-ES"/>
        </w:rPr>
        <w:t xml:space="preserve"> es un Plan de adjudicaciones. Fue adoptado por la </w:t>
      </w:r>
      <w:r w:rsidRPr="00BB2A16">
        <w:rPr>
          <w:rFonts w:eastAsiaTheme="minorEastAsia"/>
          <w:lang w:val="es-ES"/>
        </w:rPr>
        <w:t>Conferencia</w:t>
      </w:r>
      <w:r w:rsidRPr="00104175">
        <w:rPr>
          <w:lang w:val="es-ES"/>
        </w:rPr>
        <w:t xml:space="preserve"> Administrativa Mundial de Radiocomunicaciones de 1988 (CAMR Orb-88) en las bandas de frecuencias 4 500-4 800 MHz (espacio-Tierra), 6 725-7 025 MHz (Tierra-espacio), 10,70-10,95 GHz (espacio-Tierra), 11,20-11,45 GHz (espacio-Tierra) y 12,75-13,25 GHz (Tierra-espacio).</w:t>
      </w:r>
    </w:p>
    <w:p w14:paraId="4736FD8E" w14:textId="77777777" w:rsidR="0059147E" w:rsidRPr="00104175" w:rsidRDefault="0059147E" w:rsidP="0059147E">
      <w:pPr>
        <w:rPr>
          <w:lang w:val="es-ES"/>
        </w:rPr>
      </w:pPr>
      <w:r w:rsidRPr="00104175">
        <w:rPr>
          <w:lang w:val="es-ES"/>
        </w:rPr>
        <w:t>Cada asignación nacional del Plan comprende:</w:t>
      </w:r>
    </w:p>
    <w:p w14:paraId="23AA14FE" w14:textId="77777777" w:rsidR="0059147E" w:rsidRPr="00104175" w:rsidRDefault="0059147E" w:rsidP="0059147E">
      <w:pPr>
        <w:pStyle w:val="enumlev1"/>
        <w:rPr>
          <w:lang w:val="es-ES"/>
        </w:rPr>
      </w:pPr>
      <w:r w:rsidRPr="00104175">
        <w:rPr>
          <w:lang w:val="es-ES"/>
        </w:rPr>
        <w:t>–</w:t>
      </w:r>
      <w:r w:rsidRPr="00104175">
        <w:rPr>
          <w:lang w:val="es-ES"/>
        </w:rPr>
        <w:tab/>
        <w:t>una posición orbital nominal;</w:t>
      </w:r>
    </w:p>
    <w:p w14:paraId="4EF41709" w14:textId="77777777" w:rsidR="0059147E" w:rsidRPr="00104175" w:rsidRDefault="0059147E" w:rsidP="0059147E">
      <w:pPr>
        <w:pStyle w:val="enumlev1"/>
        <w:rPr>
          <w:lang w:val="es-ES"/>
        </w:rPr>
      </w:pPr>
      <w:r w:rsidRPr="00104175">
        <w:rPr>
          <w:lang w:val="es-ES"/>
        </w:rPr>
        <w:t>–</w:t>
      </w:r>
      <w:r w:rsidRPr="00104175">
        <w:rPr>
          <w:lang w:val="es-ES"/>
        </w:rPr>
        <w:tab/>
        <w:t>un ancho de banda de 800 MHz (enlace ascendente y descendente);</w:t>
      </w:r>
    </w:p>
    <w:p w14:paraId="0524880B" w14:textId="77777777" w:rsidR="0059147E" w:rsidRPr="00104175" w:rsidRDefault="0059147E" w:rsidP="0059147E">
      <w:pPr>
        <w:pStyle w:val="enumlev1"/>
        <w:rPr>
          <w:lang w:val="es-ES"/>
        </w:rPr>
      </w:pPr>
      <w:r w:rsidRPr="00104175">
        <w:rPr>
          <w:lang w:val="es-ES"/>
        </w:rPr>
        <w:t>–</w:t>
      </w:r>
      <w:r w:rsidRPr="00104175">
        <w:rPr>
          <w:lang w:val="es-ES"/>
        </w:rPr>
        <w:tab/>
        <w:t>una zona de servicio limitada al territorio nacional de una administración.</w:t>
      </w:r>
    </w:p>
    <w:p w14:paraId="6583C451" w14:textId="77777777" w:rsidR="0059147E" w:rsidRPr="00104175" w:rsidRDefault="0059147E" w:rsidP="006638D1">
      <w:pPr>
        <w:rPr>
          <w:rFonts w:asciiTheme="minorHAnsi" w:hAnsiTheme="minorHAnsi" w:cstheme="minorHAnsi"/>
          <w:szCs w:val="24"/>
          <w:lang w:val="es-ES"/>
        </w:rPr>
      </w:pPr>
      <w:r w:rsidRPr="00104175">
        <w:rPr>
          <w:lang w:val="es-ES"/>
        </w:rPr>
        <w:t>La Conferencia Mundial de Radiocomunicaciones de 2007 (CMR-07) realizó importantes modificaciones en los procedimientos y actualizó algunos criterios técnicos del Apéndice </w:t>
      </w:r>
      <w:r w:rsidRPr="00104175">
        <w:rPr>
          <w:b/>
          <w:bCs/>
          <w:lang w:val="es-ES"/>
        </w:rPr>
        <w:t>30B</w:t>
      </w:r>
      <w:r w:rsidRPr="00104175">
        <w:rPr>
          <w:rFonts w:asciiTheme="minorHAnsi" w:hAnsiTheme="minorHAnsi" w:cstheme="minorHAnsi"/>
          <w:szCs w:val="24"/>
          <w:lang w:val="es-ES"/>
        </w:rPr>
        <w:t>.</w:t>
      </w:r>
    </w:p>
    <w:p w14:paraId="0B0F4BB8" w14:textId="77777777" w:rsidR="0059147E" w:rsidRPr="00104175" w:rsidRDefault="0059147E" w:rsidP="006638D1">
      <w:pPr>
        <w:rPr>
          <w:rFonts w:asciiTheme="minorHAnsi" w:hAnsiTheme="minorHAnsi" w:cstheme="minorHAnsi"/>
          <w:szCs w:val="24"/>
          <w:lang w:val="es-ES"/>
        </w:rPr>
      </w:pPr>
      <w:r w:rsidRPr="00104175">
        <w:rPr>
          <w:rFonts w:asciiTheme="minorHAnsi" w:hAnsiTheme="minorHAnsi" w:cstheme="minorHAnsi"/>
          <w:szCs w:val="24"/>
          <w:lang w:val="es-ES"/>
        </w:rPr>
        <w:t xml:space="preserve">La Conferencia Mundial de Radiocomunicaciones de 2019 (CMR-19) volvió a modificar las disposiciones </w:t>
      </w:r>
      <w:r w:rsidRPr="006638D1">
        <w:rPr>
          <w:lang w:val="es-ES"/>
        </w:rPr>
        <w:t>reglamentarias</w:t>
      </w:r>
      <w:r w:rsidRPr="00104175">
        <w:rPr>
          <w:rFonts w:asciiTheme="minorHAnsi" w:hAnsiTheme="minorHAnsi" w:cstheme="minorHAnsi"/>
          <w:szCs w:val="24"/>
          <w:lang w:val="es-ES"/>
        </w:rPr>
        <w:t xml:space="preserve"> y criterios técnicos del Ap</w:t>
      </w:r>
      <w:r>
        <w:rPr>
          <w:rFonts w:asciiTheme="minorHAnsi" w:hAnsiTheme="minorHAnsi" w:cstheme="minorHAnsi"/>
          <w:szCs w:val="24"/>
          <w:lang w:val="es-ES"/>
        </w:rPr>
        <w:t>éndice</w:t>
      </w:r>
      <w:r w:rsidRPr="00104175">
        <w:rPr>
          <w:rFonts w:asciiTheme="minorHAnsi" w:hAnsiTheme="minorHAnsi" w:cstheme="minorHAnsi"/>
          <w:szCs w:val="24"/>
          <w:lang w:val="es-ES"/>
        </w:rPr>
        <w:t xml:space="preserve"> </w:t>
      </w:r>
      <w:r w:rsidRPr="00104175">
        <w:rPr>
          <w:rFonts w:asciiTheme="minorHAnsi" w:hAnsiTheme="minorHAnsi" w:cstheme="minorHAnsi"/>
          <w:b/>
          <w:bCs/>
          <w:szCs w:val="24"/>
          <w:lang w:val="es-ES"/>
        </w:rPr>
        <w:t>30B</w:t>
      </w:r>
      <w:r w:rsidRPr="00104175">
        <w:rPr>
          <w:rFonts w:asciiTheme="minorHAnsi" w:hAnsiTheme="minorHAnsi" w:cstheme="minorHAnsi"/>
          <w:szCs w:val="24"/>
          <w:lang w:val="es-ES"/>
        </w:rPr>
        <w:t xml:space="preserve"> </w:t>
      </w:r>
      <w:r>
        <w:rPr>
          <w:rFonts w:asciiTheme="minorHAnsi" w:hAnsiTheme="minorHAnsi" w:cstheme="minorHAnsi"/>
          <w:szCs w:val="24"/>
          <w:lang w:val="es-ES"/>
        </w:rPr>
        <w:t>y adoptó la Resolución</w:t>
      </w:r>
      <w:r w:rsidRPr="00104175">
        <w:rPr>
          <w:rFonts w:asciiTheme="minorHAnsi" w:hAnsiTheme="minorHAnsi" w:cstheme="minorHAnsi"/>
          <w:szCs w:val="24"/>
          <w:lang w:val="es-ES"/>
        </w:rPr>
        <w:t xml:space="preserve"> </w:t>
      </w:r>
      <w:r w:rsidRPr="00104175">
        <w:rPr>
          <w:rFonts w:asciiTheme="minorHAnsi" w:hAnsiTheme="minorHAnsi" w:cstheme="minorHAnsi"/>
          <w:b/>
          <w:bCs/>
          <w:szCs w:val="24"/>
          <w:lang w:val="es-ES"/>
        </w:rPr>
        <w:t>170</w:t>
      </w:r>
      <w:r w:rsidRPr="00104175">
        <w:rPr>
          <w:rFonts w:asciiTheme="minorHAnsi" w:hAnsiTheme="minorHAnsi" w:cstheme="minorHAnsi"/>
          <w:szCs w:val="24"/>
          <w:lang w:val="es-ES"/>
        </w:rPr>
        <w:t xml:space="preserve"> </w:t>
      </w:r>
      <w:r>
        <w:rPr>
          <w:rFonts w:asciiTheme="minorHAnsi" w:hAnsiTheme="minorHAnsi" w:cstheme="minorHAnsi"/>
          <w:szCs w:val="24"/>
          <w:lang w:val="es-ES"/>
        </w:rPr>
        <w:t>a fin de hacer más equitativo el acceso a estas bandas de frecuencias</w:t>
      </w:r>
      <w:r w:rsidRPr="00104175">
        <w:rPr>
          <w:rFonts w:asciiTheme="minorHAnsi" w:hAnsiTheme="minorHAnsi" w:cstheme="minorHAnsi"/>
          <w:szCs w:val="24"/>
          <w:lang w:val="es-ES"/>
        </w:rPr>
        <w:t>.</w:t>
      </w:r>
    </w:p>
    <w:p w14:paraId="64D881B9" w14:textId="77777777" w:rsidR="0059147E" w:rsidRPr="00104175" w:rsidRDefault="0059147E" w:rsidP="006638D1">
      <w:pPr>
        <w:rPr>
          <w:rFonts w:asciiTheme="minorHAnsi" w:hAnsiTheme="minorHAnsi" w:cstheme="minorHAnsi"/>
          <w:szCs w:val="24"/>
          <w:lang w:val="es-ES"/>
        </w:rPr>
      </w:pPr>
      <w:r w:rsidRPr="00104175">
        <w:rPr>
          <w:rFonts w:asciiTheme="minorHAnsi" w:hAnsiTheme="minorHAnsi" w:cstheme="minorHAnsi"/>
          <w:szCs w:val="24"/>
          <w:lang w:val="es-ES"/>
        </w:rPr>
        <w:t xml:space="preserve">La CMR-23 procedió a importantes modificaciones del concepto de acuerdo implícito a fin de garantizar una </w:t>
      </w:r>
      <w:r>
        <w:rPr>
          <w:rFonts w:asciiTheme="minorHAnsi" w:hAnsiTheme="minorHAnsi" w:cstheme="minorHAnsi"/>
          <w:szCs w:val="24"/>
          <w:lang w:val="es-ES"/>
        </w:rPr>
        <w:t xml:space="preserve">mayor </w:t>
      </w:r>
      <w:r w:rsidRPr="006638D1">
        <w:rPr>
          <w:lang w:val="es-ES"/>
        </w:rPr>
        <w:t>protección</w:t>
      </w:r>
      <w:r>
        <w:rPr>
          <w:rFonts w:asciiTheme="minorHAnsi" w:hAnsiTheme="minorHAnsi" w:cstheme="minorHAnsi"/>
          <w:szCs w:val="24"/>
          <w:lang w:val="es-ES"/>
        </w:rPr>
        <w:t xml:space="preserve"> de la situación de referencia de las adjudicaciones del Plan del Apéndice</w:t>
      </w:r>
      <w:r w:rsidRPr="00104175">
        <w:rPr>
          <w:rFonts w:asciiTheme="minorHAnsi" w:hAnsiTheme="minorHAnsi" w:cstheme="minorHAnsi"/>
          <w:szCs w:val="24"/>
          <w:lang w:val="es-ES"/>
        </w:rPr>
        <w:t xml:space="preserve"> </w:t>
      </w:r>
      <w:r w:rsidRPr="00104175">
        <w:rPr>
          <w:rFonts w:asciiTheme="minorHAnsi" w:hAnsiTheme="minorHAnsi" w:cstheme="minorHAnsi"/>
          <w:b/>
          <w:bCs/>
          <w:szCs w:val="24"/>
          <w:lang w:val="es-ES"/>
        </w:rPr>
        <w:t>30B</w:t>
      </w:r>
      <w:r w:rsidRPr="00104175">
        <w:rPr>
          <w:rFonts w:asciiTheme="minorHAnsi" w:hAnsiTheme="minorHAnsi" w:cstheme="minorHAnsi"/>
          <w:szCs w:val="24"/>
          <w:lang w:val="es-ES"/>
        </w:rPr>
        <w:t xml:space="preserve">. Además, la CMR-23 aprobó la Resolución </w:t>
      </w:r>
      <w:r w:rsidRPr="00104175">
        <w:rPr>
          <w:rFonts w:asciiTheme="minorHAnsi" w:hAnsiTheme="minorHAnsi" w:cstheme="minorHAnsi"/>
          <w:b/>
          <w:bCs/>
          <w:szCs w:val="24"/>
          <w:lang w:val="es-ES"/>
        </w:rPr>
        <w:t>126</w:t>
      </w:r>
      <w:r w:rsidRPr="00104175">
        <w:rPr>
          <w:rFonts w:asciiTheme="minorHAnsi" w:hAnsiTheme="minorHAnsi" w:cstheme="minorHAnsi"/>
          <w:szCs w:val="24"/>
          <w:lang w:val="es-ES"/>
        </w:rPr>
        <w:t xml:space="preserve"> </w:t>
      </w:r>
      <w:r w:rsidRPr="00104175">
        <w:rPr>
          <w:rFonts w:asciiTheme="minorHAnsi" w:hAnsiTheme="minorHAnsi" w:cstheme="minorHAnsi"/>
          <w:b/>
          <w:bCs/>
          <w:szCs w:val="24"/>
          <w:lang w:val="es-ES"/>
        </w:rPr>
        <w:t>(CMR-23)</w:t>
      </w:r>
      <w:r w:rsidRPr="00104175">
        <w:rPr>
          <w:rFonts w:asciiTheme="minorHAnsi" w:hAnsiTheme="minorHAnsi" w:cstheme="minorHAnsi"/>
          <w:szCs w:val="24"/>
          <w:lang w:val="es-ES"/>
        </w:rPr>
        <w:t>, que ofrece a las administraciones la po</w:t>
      </w:r>
      <w:r>
        <w:rPr>
          <w:rFonts w:asciiTheme="minorHAnsi" w:hAnsiTheme="minorHAnsi" w:cstheme="minorHAnsi"/>
          <w:szCs w:val="24"/>
          <w:lang w:val="es-ES"/>
        </w:rPr>
        <w:t>sibilidad de restaurar las situaciones de referencia degradadas de sus adjudicaciones</w:t>
      </w:r>
      <w:r w:rsidRPr="00104175">
        <w:rPr>
          <w:rFonts w:asciiTheme="minorHAnsi" w:hAnsiTheme="minorHAnsi" w:cstheme="minorHAnsi"/>
          <w:szCs w:val="24"/>
          <w:lang w:val="es-ES"/>
        </w:rPr>
        <w:t>.</w:t>
      </w:r>
    </w:p>
    <w:p w14:paraId="433CE981" w14:textId="1108C64F" w:rsidR="0059147E" w:rsidRPr="00104175" w:rsidRDefault="0059147E" w:rsidP="00932516">
      <w:pPr>
        <w:pStyle w:val="Heading1"/>
        <w:rPr>
          <w:rFonts w:asciiTheme="minorHAnsi" w:hAnsiTheme="minorHAnsi" w:cstheme="minorHAnsi"/>
          <w:sz w:val="24"/>
          <w:szCs w:val="24"/>
          <w:lang w:val="es-ES"/>
        </w:rPr>
      </w:pPr>
      <w:r w:rsidRPr="00932516">
        <w:t>2</w:t>
      </w:r>
      <w:r w:rsidRPr="00932516">
        <w:tab/>
        <w:t>Situación de referencia de las adjudicaciones nacionales planificadas</w:t>
      </w:r>
    </w:p>
    <w:p w14:paraId="12D6DC79" w14:textId="77777777" w:rsidR="0059147E" w:rsidRPr="00104175" w:rsidRDefault="0059147E" w:rsidP="0059147E">
      <w:pPr>
        <w:rPr>
          <w:lang w:val="es-ES"/>
        </w:rPr>
      </w:pPr>
      <w:r w:rsidRPr="00104175">
        <w:rPr>
          <w:lang w:val="es-ES"/>
        </w:rPr>
        <w:t xml:space="preserve">La situación de referencia de las adjudicaciones nacionales en el Plan del Apéndice </w:t>
      </w:r>
      <w:r w:rsidRPr="00104175">
        <w:rPr>
          <w:b/>
          <w:bCs/>
          <w:lang w:val="es-ES"/>
        </w:rPr>
        <w:t>30B</w:t>
      </w:r>
      <w:r w:rsidRPr="00104175">
        <w:rPr>
          <w:lang w:val="es-ES"/>
        </w:rPr>
        <w:t xml:space="preserve"> está representada por el valor combinado de </w:t>
      </w:r>
      <w:r w:rsidRPr="00104175">
        <w:rPr>
          <w:i/>
          <w:iCs/>
          <w:lang w:val="es-ES"/>
        </w:rPr>
        <w:t>C/I</w:t>
      </w:r>
      <w:r w:rsidRPr="00104175">
        <w:rPr>
          <w:lang w:val="es-ES"/>
        </w:rPr>
        <w:t xml:space="preserve"> en cada punto de prueba.</w:t>
      </w:r>
    </w:p>
    <w:p w14:paraId="57D4C2EE" w14:textId="77777777" w:rsidR="0059147E" w:rsidRPr="00104175" w:rsidRDefault="0059147E" w:rsidP="006638D1">
      <w:pPr>
        <w:rPr>
          <w:rFonts w:asciiTheme="minorHAnsi" w:hAnsiTheme="minorHAnsi" w:cstheme="minorHAnsi"/>
          <w:szCs w:val="24"/>
          <w:lang w:val="es-ES"/>
        </w:rPr>
      </w:pPr>
      <w:r w:rsidRPr="00104175">
        <w:rPr>
          <w:lang w:val="es-ES"/>
        </w:rPr>
        <w:lastRenderedPageBreak/>
        <w:t xml:space="preserve">Los Cuadros 7 y 8 que figuran a continuación muestran la situación de referencia de las adjudicaciones nacionales conforme a la </w:t>
      </w:r>
      <w:r w:rsidRPr="00104175">
        <w:rPr>
          <w:rFonts w:asciiTheme="minorHAnsi" w:hAnsiTheme="minorHAnsi" w:cstheme="minorHAnsi"/>
          <w:szCs w:val="24"/>
          <w:lang w:val="es-ES"/>
        </w:rPr>
        <w:t xml:space="preserve">BR IFIC 3015 </w:t>
      </w:r>
      <w:r>
        <w:rPr>
          <w:rFonts w:asciiTheme="minorHAnsi" w:hAnsiTheme="minorHAnsi" w:cstheme="minorHAnsi"/>
          <w:szCs w:val="24"/>
          <w:lang w:val="es-ES"/>
        </w:rPr>
        <w:t>de</w:t>
      </w:r>
      <w:r w:rsidRPr="00104175">
        <w:rPr>
          <w:rFonts w:asciiTheme="minorHAnsi" w:hAnsiTheme="minorHAnsi" w:cstheme="minorHAnsi"/>
          <w:szCs w:val="24"/>
          <w:lang w:val="es-ES"/>
        </w:rPr>
        <w:t xml:space="preserve"> 20 </w:t>
      </w:r>
      <w:r>
        <w:rPr>
          <w:rFonts w:asciiTheme="minorHAnsi" w:hAnsiTheme="minorHAnsi" w:cstheme="minorHAnsi"/>
          <w:szCs w:val="24"/>
          <w:lang w:val="es-ES"/>
        </w:rPr>
        <w:t>de febrero de</w:t>
      </w:r>
      <w:r w:rsidRPr="00104175">
        <w:rPr>
          <w:rFonts w:asciiTheme="minorHAnsi" w:hAnsiTheme="minorHAnsi" w:cstheme="minorHAnsi"/>
          <w:szCs w:val="24"/>
          <w:lang w:val="es-ES"/>
        </w:rPr>
        <w:t xml:space="preserve"> 2024. </w:t>
      </w:r>
      <w:r w:rsidRPr="00104175">
        <w:rPr>
          <w:lang w:val="es-ES"/>
        </w:rPr>
        <w:t xml:space="preserve">Como los valores de la situación de referencia de la mayoría de las adjudicaciones no están muy degradados en comparación con el criterio de 21 dB establecido en el Apéndice </w:t>
      </w:r>
      <w:r w:rsidRPr="00104175">
        <w:rPr>
          <w:b/>
          <w:bCs/>
          <w:lang w:val="es-ES"/>
        </w:rPr>
        <w:t>30B</w:t>
      </w:r>
      <w:r w:rsidRPr="00104175">
        <w:rPr>
          <w:lang w:val="es-ES"/>
        </w:rPr>
        <w:t xml:space="preserve">, para cada adjudicación sólo se muestra el valor mínimo </w:t>
      </w:r>
      <w:r>
        <w:rPr>
          <w:lang w:val="es-ES"/>
        </w:rPr>
        <w:t>combinado</w:t>
      </w:r>
      <w:r w:rsidRPr="00104175">
        <w:rPr>
          <w:lang w:val="es-ES"/>
        </w:rPr>
        <w:t xml:space="preserve"> de </w:t>
      </w:r>
      <w:r w:rsidRPr="00104175">
        <w:rPr>
          <w:i/>
          <w:iCs/>
          <w:lang w:val="es-ES"/>
        </w:rPr>
        <w:t>C/I</w:t>
      </w:r>
      <w:r w:rsidRPr="00104175">
        <w:rPr>
          <w:rFonts w:asciiTheme="minorHAnsi" w:hAnsiTheme="minorHAnsi" w:cstheme="minorHAnsi"/>
          <w:szCs w:val="24"/>
          <w:lang w:val="es-ES"/>
        </w:rPr>
        <w:t>.</w:t>
      </w:r>
    </w:p>
    <w:p w14:paraId="18470E6A" w14:textId="77777777" w:rsidR="0059147E" w:rsidRPr="002D2E23" w:rsidRDefault="0059147E" w:rsidP="00BB2A16">
      <w:pPr>
        <w:pStyle w:val="TableNo"/>
        <w:rPr>
          <w:rFonts w:asciiTheme="minorHAnsi" w:hAnsiTheme="minorHAnsi" w:cstheme="minorHAnsi"/>
          <w:szCs w:val="24"/>
          <w:lang w:val="es-ES"/>
        </w:rPr>
      </w:pPr>
      <w:bookmarkStart w:id="9" w:name="_Hlk163662804"/>
      <w:r w:rsidRPr="00BB2A16">
        <w:rPr>
          <w:lang w:val="es-ES"/>
        </w:rPr>
        <w:t>Cuadro</w:t>
      </w:r>
      <w:r w:rsidRPr="002D2E23">
        <w:rPr>
          <w:rFonts w:asciiTheme="minorHAnsi" w:hAnsiTheme="minorHAnsi" w:cstheme="minorHAnsi"/>
          <w:szCs w:val="24"/>
          <w:lang w:val="es-ES"/>
        </w:rPr>
        <w:t xml:space="preserve"> 7</w:t>
      </w:r>
    </w:p>
    <w:p w14:paraId="7900A5D6" w14:textId="77777777" w:rsidR="0059147E" w:rsidRPr="001C6B57" w:rsidRDefault="0059147E" w:rsidP="00BB2A16">
      <w:pPr>
        <w:pStyle w:val="Tabletitle"/>
        <w:rPr>
          <w:lang w:val="es-ES"/>
        </w:rPr>
      </w:pPr>
      <w:r w:rsidRPr="001C6B57">
        <w:rPr>
          <w:lang w:val="es-ES"/>
        </w:rPr>
        <w:t>Situación de referencia de las adjudicaciones nacionales en el Plan del SFS</w:t>
      </w:r>
    </w:p>
    <w:p w14:paraId="28E6FED3" w14:textId="77777777" w:rsidR="0059147E" w:rsidRPr="00104175" w:rsidRDefault="0059147E" w:rsidP="00BB2A16">
      <w:pPr>
        <w:pStyle w:val="Tabletitle"/>
        <w:rPr>
          <w:rFonts w:asciiTheme="minorHAnsi" w:hAnsiTheme="minorHAnsi" w:cstheme="minorHAnsi"/>
          <w:szCs w:val="24"/>
          <w:lang w:val="es-ES"/>
        </w:rPr>
      </w:pPr>
      <w:r w:rsidRPr="001C6B57">
        <w:rPr>
          <w:lang w:val="es-ES"/>
        </w:rPr>
        <w:t>(bandas 4 500-4 800 MHz y 6 725-7 025 MHz)</w:t>
      </w:r>
      <w:bookmarkEnd w:id="9"/>
    </w:p>
    <w:p w14:paraId="40CAB6B3" w14:textId="77777777" w:rsidR="0059147E" w:rsidRPr="00104175" w:rsidRDefault="00D9171F" w:rsidP="0059147E">
      <w:pPr>
        <w:spacing w:after="240"/>
        <w:jc w:val="center"/>
        <w:rPr>
          <w:rFonts w:asciiTheme="minorHAnsi" w:hAnsiTheme="minorHAnsi" w:cstheme="minorHAnsi"/>
          <w:b/>
          <w:bCs/>
          <w:szCs w:val="24"/>
          <w:lang w:val="es-ES"/>
        </w:rPr>
      </w:pPr>
      <w:hyperlink r:id="rId18" w:history="1">
        <w:r w:rsidR="0059147E" w:rsidRPr="00104175">
          <w:rPr>
            <w:rStyle w:val="Hyperlink"/>
            <w:rFonts w:asciiTheme="minorHAnsi" w:hAnsiTheme="minorHAnsi" w:cstheme="minorHAnsi"/>
            <w:b/>
            <w:bCs/>
            <w:szCs w:val="24"/>
            <w:lang w:val="es-ES"/>
          </w:rPr>
          <w:t>Véase el Cuadro 7 aquí</w:t>
        </w:r>
      </w:hyperlink>
    </w:p>
    <w:p w14:paraId="3BCFC6E5" w14:textId="77777777" w:rsidR="0059147E" w:rsidRPr="00E72AC6" w:rsidRDefault="0059147E" w:rsidP="00B36273">
      <w:pPr>
        <w:pStyle w:val="Tablelegend"/>
        <w:rPr>
          <w:lang w:val="es-ES"/>
        </w:rPr>
      </w:pPr>
      <w:bookmarkStart w:id="10" w:name="_Hlk163662959"/>
      <w:r w:rsidRPr="00E72AC6">
        <w:rPr>
          <w:lang w:val="es-ES"/>
        </w:rPr>
        <w:t>LEYENDA PARA LOS CUADROS 7 Y</w:t>
      </w:r>
      <w:r>
        <w:rPr>
          <w:lang w:val="es-ES"/>
        </w:rPr>
        <w:t xml:space="preserve"> 8</w:t>
      </w:r>
    </w:p>
    <w:p w14:paraId="2D0E1F2D" w14:textId="77777777" w:rsidR="0059147E" w:rsidRPr="00104175" w:rsidRDefault="0059147E" w:rsidP="00B36273">
      <w:pPr>
        <w:pStyle w:val="Tablelegend"/>
        <w:rPr>
          <w:lang w:val="es-ES"/>
        </w:rPr>
      </w:pPr>
      <w:r w:rsidRPr="00104175">
        <w:rPr>
          <w:lang w:val="es-ES"/>
        </w:rPr>
        <w:t xml:space="preserve">Adjudicación / Administración /Posición orbital / </w:t>
      </w:r>
      <w:r w:rsidRPr="00104175">
        <w:rPr>
          <w:i/>
          <w:iCs/>
          <w:lang w:val="es-ES"/>
        </w:rPr>
        <w:t>C</w:t>
      </w:r>
      <w:r>
        <w:rPr>
          <w:i/>
          <w:iCs/>
          <w:lang w:val="es-ES"/>
        </w:rPr>
        <w:t>/I</w:t>
      </w:r>
      <w:r>
        <w:rPr>
          <w:lang w:val="es-ES"/>
        </w:rPr>
        <w:t xml:space="preserve"> combinada mínima / Nota</w:t>
      </w:r>
    </w:p>
    <w:p w14:paraId="11CECEFA" w14:textId="77777777" w:rsidR="0059147E" w:rsidRPr="00104175" w:rsidRDefault="0059147E" w:rsidP="00B36273">
      <w:pPr>
        <w:pStyle w:val="Tablelegend"/>
        <w:rPr>
          <w:lang w:val="es-ES"/>
        </w:rPr>
      </w:pPr>
      <w:r w:rsidRPr="00104175">
        <w:rPr>
          <w:lang w:val="es-ES"/>
        </w:rPr>
        <w:t xml:space="preserve">Nota 1: La degradación se debe a la aplicación del </w:t>
      </w:r>
      <w:r>
        <w:rPr>
          <w:lang w:val="es-ES"/>
        </w:rPr>
        <w:t>acuerdo implícito</w:t>
      </w:r>
      <w:r w:rsidRPr="00104175">
        <w:rPr>
          <w:lang w:val="es-ES"/>
        </w:rPr>
        <w:t>.</w:t>
      </w:r>
    </w:p>
    <w:p w14:paraId="45E70730" w14:textId="77777777" w:rsidR="0059147E" w:rsidRPr="00104175" w:rsidRDefault="0059147E" w:rsidP="00B36273">
      <w:pPr>
        <w:pStyle w:val="Tablelegend"/>
        <w:rPr>
          <w:lang w:val="es-ES"/>
        </w:rPr>
      </w:pPr>
      <w:r w:rsidRPr="00104175">
        <w:rPr>
          <w:lang w:val="es-ES"/>
        </w:rPr>
        <w:t>Nota 2: Esta adjudicación se ha convertido en</w:t>
      </w:r>
      <w:r>
        <w:rPr>
          <w:lang w:val="es-ES"/>
        </w:rPr>
        <w:t xml:space="preserve"> asignaciones</w:t>
      </w:r>
      <w:r w:rsidRPr="00104175">
        <w:rPr>
          <w:lang w:val="es-ES"/>
        </w:rPr>
        <w:t>.</w:t>
      </w:r>
    </w:p>
    <w:p w14:paraId="4B0BA962" w14:textId="77777777" w:rsidR="0059147E" w:rsidRPr="00104175" w:rsidRDefault="0059147E" w:rsidP="00B36273">
      <w:pPr>
        <w:pStyle w:val="Tablelegend"/>
        <w:rPr>
          <w:lang w:val="es-ES"/>
        </w:rPr>
      </w:pPr>
      <w:r w:rsidRPr="00104175">
        <w:rPr>
          <w:lang w:val="es-ES"/>
        </w:rPr>
        <w:t>Nota 3: La degradación se debe a la aceptación explícita de interferencia causada por redes de ot</w:t>
      </w:r>
      <w:r>
        <w:rPr>
          <w:lang w:val="es-ES"/>
        </w:rPr>
        <w:t>ras administraciones como resultado del acuerdo mutuo</w:t>
      </w:r>
      <w:r w:rsidRPr="00104175">
        <w:rPr>
          <w:lang w:val="es-ES"/>
        </w:rPr>
        <w:t>.</w:t>
      </w:r>
    </w:p>
    <w:p w14:paraId="196DF27D" w14:textId="77777777" w:rsidR="0059147E" w:rsidRPr="00104175" w:rsidRDefault="0059147E" w:rsidP="00B36273">
      <w:pPr>
        <w:pStyle w:val="Tablelegend"/>
        <w:rPr>
          <w:szCs w:val="24"/>
          <w:lang w:val="es-ES"/>
        </w:rPr>
      </w:pPr>
      <w:r w:rsidRPr="00104175">
        <w:rPr>
          <w:lang w:val="es-ES"/>
        </w:rPr>
        <w:t xml:space="preserve">Nota 4: La CMR-23 aprobó la inscripción en el Plan de esta nueva adjudicación, cuya Sección </w:t>
      </w:r>
      <w:r>
        <w:rPr>
          <w:lang w:val="es-ES"/>
        </w:rPr>
        <w:t xml:space="preserve">Especial correspondiente se publicó en marzo de </w:t>
      </w:r>
      <w:r w:rsidRPr="00104175">
        <w:rPr>
          <w:lang w:val="es-ES"/>
        </w:rPr>
        <w:t>2024.</w:t>
      </w:r>
      <w:bookmarkEnd w:id="10"/>
    </w:p>
    <w:p w14:paraId="545786B1" w14:textId="77777777" w:rsidR="0059147E" w:rsidRPr="002D2E23" w:rsidRDefault="0059147E" w:rsidP="00BB2A16">
      <w:pPr>
        <w:pStyle w:val="TableNo"/>
        <w:rPr>
          <w:rFonts w:asciiTheme="minorHAnsi" w:hAnsiTheme="minorHAnsi" w:cstheme="minorHAnsi"/>
          <w:szCs w:val="24"/>
          <w:lang w:val="es-ES"/>
        </w:rPr>
      </w:pPr>
      <w:bookmarkStart w:id="11" w:name="_Hlk163663021"/>
      <w:r w:rsidRPr="00BB2A16">
        <w:rPr>
          <w:lang w:val="es-ES"/>
        </w:rPr>
        <w:t>Cuadro</w:t>
      </w:r>
      <w:r w:rsidRPr="002D2E23">
        <w:rPr>
          <w:rFonts w:asciiTheme="minorHAnsi" w:hAnsiTheme="minorHAnsi" w:cstheme="minorHAnsi"/>
          <w:szCs w:val="24"/>
          <w:lang w:val="es-ES"/>
        </w:rPr>
        <w:t xml:space="preserve"> 8</w:t>
      </w:r>
    </w:p>
    <w:p w14:paraId="3CD716C2" w14:textId="77777777" w:rsidR="0059147E" w:rsidRPr="001C6B57" w:rsidRDefault="0059147E" w:rsidP="00BB2A16">
      <w:pPr>
        <w:pStyle w:val="Tabletitle"/>
        <w:rPr>
          <w:rFonts w:asciiTheme="minorHAnsi" w:hAnsiTheme="minorHAnsi" w:cstheme="minorHAnsi"/>
          <w:szCs w:val="24"/>
          <w:lang w:val="es-ES"/>
        </w:rPr>
      </w:pPr>
      <w:r w:rsidRPr="001C6B57">
        <w:rPr>
          <w:lang w:val="es-ES"/>
        </w:rPr>
        <w:t xml:space="preserve">Situación de referencia de las adjudicaciones nacionales del Plan del SFS </w:t>
      </w:r>
      <w:r w:rsidRPr="001C6B57">
        <w:rPr>
          <w:lang w:val="es-ES"/>
        </w:rPr>
        <w:br/>
        <w:t>(bandas 10,70-10,95 GHz, 11,20-11,45 GHz y 12,75-13,25 GHz)</w:t>
      </w:r>
      <w:bookmarkEnd w:id="11"/>
    </w:p>
    <w:p w14:paraId="2290DDE1" w14:textId="77777777" w:rsidR="0059147E" w:rsidRPr="00E72AC6" w:rsidRDefault="00D9171F" w:rsidP="0059147E">
      <w:pPr>
        <w:spacing w:before="240" w:after="240"/>
        <w:jc w:val="center"/>
        <w:rPr>
          <w:rFonts w:asciiTheme="minorHAnsi" w:hAnsiTheme="minorHAnsi" w:cstheme="minorHAnsi"/>
          <w:b/>
          <w:bCs/>
          <w:szCs w:val="24"/>
          <w:lang w:val="es-ES"/>
        </w:rPr>
      </w:pPr>
      <w:hyperlink r:id="rId19" w:history="1">
        <w:r w:rsidR="0059147E" w:rsidRPr="00E72AC6">
          <w:rPr>
            <w:rStyle w:val="Hyperlink"/>
            <w:rFonts w:asciiTheme="minorHAnsi" w:hAnsiTheme="minorHAnsi" w:cstheme="minorHAnsi"/>
            <w:b/>
            <w:bCs/>
            <w:szCs w:val="24"/>
            <w:lang w:val="es-ES"/>
          </w:rPr>
          <w:t>Véase el Cuadro 8 aquí</w:t>
        </w:r>
      </w:hyperlink>
    </w:p>
    <w:p w14:paraId="2A9CCC91" w14:textId="77777777" w:rsidR="0059147E" w:rsidRPr="00E72AC6" w:rsidRDefault="0059147E" w:rsidP="0059147E">
      <w:pPr>
        <w:pStyle w:val="Tablelegend"/>
        <w:rPr>
          <w:lang w:val="es-ES"/>
        </w:rPr>
      </w:pPr>
      <w:r w:rsidRPr="00E72AC6">
        <w:rPr>
          <w:lang w:val="es-ES"/>
        </w:rPr>
        <w:t>Nota 1: Esta degradación se debe a la aplicación del acuerdo implícito.</w:t>
      </w:r>
    </w:p>
    <w:p w14:paraId="5C60A99F" w14:textId="77777777" w:rsidR="0059147E" w:rsidRPr="00E72AC6" w:rsidRDefault="0059147E" w:rsidP="0059147E">
      <w:pPr>
        <w:pStyle w:val="Tablelegend"/>
        <w:rPr>
          <w:lang w:val="es-ES"/>
        </w:rPr>
      </w:pPr>
      <w:r w:rsidRPr="00E72AC6">
        <w:rPr>
          <w:lang w:val="es-ES"/>
        </w:rPr>
        <w:t>Nota 2: Esta adjudicación se ha convertido en asignaciones.</w:t>
      </w:r>
    </w:p>
    <w:p w14:paraId="03581587" w14:textId="77777777" w:rsidR="0059147E" w:rsidRPr="001C6B57" w:rsidRDefault="0059147E" w:rsidP="001C6B57">
      <w:pPr>
        <w:pStyle w:val="Tablelegend"/>
        <w:rPr>
          <w:lang w:val="es-ES"/>
        </w:rPr>
      </w:pPr>
      <w:r w:rsidRPr="00E72AC6">
        <w:rPr>
          <w:lang w:val="es-ES"/>
        </w:rPr>
        <w:t>Nota 3: La degradación se debe a la interferencia causada por las redes de la propia administración, o bien a la aceptación explícita de interferencia causada por las redes de otras administraciones como resultado del acuerdo mutuo</w:t>
      </w:r>
      <w:r w:rsidRPr="001C6B57">
        <w:rPr>
          <w:lang w:val="es-ES"/>
        </w:rPr>
        <w:t>.</w:t>
      </w:r>
    </w:p>
    <w:p w14:paraId="653E8A92" w14:textId="77777777" w:rsidR="0059147E" w:rsidRPr="00E72AC6" w:rsidRDefault="0059147E" w:rsidP="001C6B57">
      <w:pPr>
        <w:pStyle w:val="Tablelegend"/>
        <w:rPr>
          <w:rFonts w:asciiTheme="minorHAnsi" w:hAnsiTheme="minorHAnsi" w:cstheme="minorHAnsi"/>
          <w:szCs w:val="24"/>
          <w:lang w:val="es-ES"/>
        </w:rPr>
      </w:pPr>
      <w:r w:rsidRPr="001C6B57">
        <w:rPr>
          <w:lang w:val="es-ES"/>
        </w:rPr>
        <w:t>Nota 4: La CMR-23 aprobó la inscripción en el Plan de esta nueva adjudicación, cuya Sección Especial correspondiente se publicó en marzo de 2024.</w:t>
      </w:r>
    </w:p>
    <w:p w14:paraId="2B56FB86" w14:textId="3F74E5E9" w:rsidR="0059147E" w:rsidRPr="002D2E23" w:rsidRDefault="0059147E" w:rsidP="00932516">
      <w:pPr>
        <w:pStyle w:val="Heading1"/>
        <w:rPr>
          <w:lang w:val="es-ES"/>
        </w:rPr>
      </w:pPr>
      <w:r w:rsidRPr="002D2E23">
        <w:rPr>
          <w:lang w:val="es-ES"/>
        </w:rPr>
        <w:t>3</w:t>
      </w:r>
      <w:r w:rsidRPr="002D2E23">
        <w:rPr>
          <w:lang w:val="es-ES"/>
        </w:rPr>
        <w:tab/>
        <w:t>Resumen de la situación de sistemas adicionales en la Lista</w:t>
      </w:r>
    </w:p>
    <w:p w14:paraId="42FC2084" w14:textId="6378203E" w:rsidR="0059147E" w:rsidRPr="00E72AC6" w:rsidRDefault="0059147E" w:rsidP="00932516">
      <w:pPr>
        <w:rPr>
          <w:rFonts w:asciiTheme="minorHAnsi" w:hAnsiTheme="minorHAnsi" w:cstheme="minorHAnsi"/>
          <w:szCs w:val="24"/>
          <w:lang w:val="es-ES"/>
        </w:rPr>
      </w:pPr>
      <w:r w:rsidRPr="00E72AC6">
        <w:rPr>
          <w:lang w:val="es-ES"/>
        </w:rPr>
        <w:t xml:space="preserve">El Cuadro 9 resume el número de redes que figuran en la Lista del Apéndice </w:t>
      </w:r>
      <w:r w:rsidRPr="00932516">
        <w:rPr>
          <w:b/>
          <w:bCs/>
          <w:lang w:val="es-ES"/>
        </w:rPr>
        <w:t>30B</w:t>
      </w:r>
      <w:r w:rsidRPr="00E72AC6">
        <w:rPr>
          <w:lang w:val="es-ES"/>
        </w:rPr>
        <w:t>. Proceden de la conversión de una adjudicación, de sistemas "existentes" (véase la Resolución 148</w:t>
      </w:r>
      <w:r w:rsidR="001C6B57">
        <w:rPr>
          <w:lang w:val="es-ES"/>
        </w:rPr>
        <w:t> </w:t>
      </w:r>
      <w:r w:rsidRPr="00E72AC6">
        <w:rPr>
          <w:lang w:val="es-ES"/>
        </w:rPr>
        <w:t xml:space="preserve">(Rev.CMR-15)) o de sistemas adicionales. Las cifras se basan en los datos de la </w:t>
      </w:r>
      <w:r w:rsidRPr="00E72AC6">
        <w:rPr>
          <w:rFonts w:asciiTheme="minorHAnsi" w:hAnsiTheme="minorHAnsi" w:cstheme="minorHAnsi"/>
          <w:szCs w:val="24"/>
          <w:lang w:val="es-ES"/>
        </w:rPr>
        <w:t xml:space="preserve">BR IFIC 3015 </w:t>
      </w:r>
      <w:r>
        <w:rPr>
          <w:rFonts w:asciiTheme="minorHAnsi" w:hAnsiTheme="minorHAnsi" w:cstheme="minorHAnsi"/>
          <w:szCs w:val="24"/>
          <w:lang w:val="es-ES"/>
        </w:rPr>
        <w:t>de</w:t>
      </w:r>
      <w:r w:rsidRPr="00E72AC6">
        <w:rPr>
          <w:rFonts w:asciiTheme="minorHAnsi" w:hAnsiTheme="minorHAnsi" w:cstheme="minorHAnsi"/>
          <w:szCs w:val="24"/>
          <w:lang w:val="es-ES"/>
        </w:rPr>
        <w:t xml:space="preserve"> 20 </w:t>
      </w:r>
      <w:r>
        <w:rPr>
          <w:rFonts w:asciiTheme="minorHAnsi" w:hAnsiTheme="minorHAnsi" w:cstheme="minorHAnsi"/>
          <w:szCs w:val="24"/>
          <w:lang w:val="es-ES"/>
        </w:rPr>
        <w:t>de febrero de</w:t>
      </w:r>
      <w:r w:rsidRPr="00E72AC6">
        <w:rPr>
          <w:rFonts w:asciiTheme="minorHAnsi" w:hAnsiTheme="minorHAnsi" w:cstheme="minorHAnsi"/>
          <w:szCs w:val="24"/>
          <w:lang w:val="es-ES"/>
        </w:rPr>
        <w:t xml:space="preserve"> 2024.</w:t>
      </w:r>
    </w:p>
    <w:p w14:paraId="69CE76ED" w14:textId="77777777" w:rsidR="0059147E" w:rsidRPr="00E629C4" w:rsidRDefault="0059147E" w:rsidP="00BB2A16">
      <w:pPr>
        <w:pStyle w:val="TableNo"/>
        <w:rPr>
          <w:rFonts w:asciiTheme="minorHAnsi" w:hAnsiTheme="minorHAnsi" w:cstheme="minorHAnsi"/>
          <w:szCs w:val="24"/>
          <w:lang w:val="es-ES"/>
        </w:rPr>
      </w:pPr>
      <w:bookmarkStart w:id="12" w:name="_Hlk163663154"/>
      <w:r w:rsidRPr="00E629C4">
        <w:rPr>
          <w:rFonts w:asciiTheme="minorHAnsi" w:hAnsiTheme="minorHAnsi" w:cstheme="minorHAnsi"/>
          <w:szCs w:val="24"/>
          <w:lang w:val="es-ES"/>
        </w:rPr>
        <w:lastRenderedPageBreak/>
        <w:t>Cuadro 9</w:t>
      </w:r>
    </w:p>
    <w:bookmarkEnd w:id="12"/>
    <w:p w14:paraId="30B53F4F" w14:textId="798B378E" w:rsidR="0059147E" w:rsidRPr="00E629C4" w:rsidRDefault="00E629C4" w:rsidP="00BB2A16">
      <w:pPr>
        <w:pStyle w:val="Tabletitle"/>
        <w:rPr>
          <w:rFonts w:asciiTheme="minorHAnsi" w:hAnsiTheme="minorHAnsi" w:cstheme="minorHAnsi"/>
          <w:szCs w:val="24"/>
          <w:lang w:val="es-ES"/>
        </w:rPr>
      </w:pPr>
      <w:r>
        <w:rPr>
          <w:lang w:val="es-ES"/>
        </w:rPr>
        <w:t>Número de redes incluidas en la Lista del Apéndice 30B</w:t>
      </w:r>
    </w:p>
    <w:p w14:paraId="344A920A" w14:textId="21CE9750" w:rsidR="0059147E" w:rsidRPr="002D2E23" w:rsidRDefault="00D9171F" w:rsidP="0059147E">
      <w:pPr>
        <w:spacing w:after="240"/>
        <w:jc w:val="center"/>
        <w:rPr>
          <w:rFonts w:asciiTheme="minorHAnsi" w:hAnsiTheme="minorHAnsi" w:cstheme="minorHAnsi"/>
          <w:b/>
          <w:bCs/>
          <w:szCs w:val="24"/>
          <w:lang w:val="es-ES"/>
        </w:rPr>
      </w:pPr>
      <w:hyperlink r:id="rId20" w:history="1">
        <w:r w:rsidR="00E629C4">
          <w:rPr>
            <w:rStyle w:val="Hyperlink"/>
            <w:rFonts w:asciiTheme="minorHAnsi" w:hAnsiTheme="minorHAnsi" w:cstheme="minorHAnsi"/>
            <w:b/>
            <w:bCs/>
            <w:szCs w:val="24"/>
            <w:lang w:val="es-ES"/>
          </w:rPr>
          <w:t>Véase el Cuadro 9 aquí</w:t>
        </w:r>
      </w:hyperlink>
    </w:p>
    <w:p w14:paraId="2BD16965" w14:textId="77777777" w:rsidR="0059147E" w:rsidRPr="001C6B57" w:rsidRDefault="0059147E" w:rsidP="00E51B05">
      <w:pPr>
        <w:pStyle w:val="Tablelegend"/>
        <w:rPr>
          <w:lang w:val="es-ES"/>
        </w:rPr>
      </w:pPr>
      <w:r w:rsidRPr="001C6B57">
        <w:rPr>
          <w:lang w:val="es-ES"/>
        </w:rPr>
        <w:t>LEYENDA</w:t>
      </w:r>
    </w:p>
    <w:p w14:paraId="1BC5006A" w14:textId="77777777" w:rsidR="0059147E" w:rsidRPr="00E72AC6" w:rsidRDefault="0059147E" w:rsidP="00E51B05">
      <w:pPr>
        <w:pStyle w:val="Tablelegend"/>
      </w:pPr>
      <w:r w:rsidRPr="001C6B57">
        <w:rPr>
          <w:lang w:val="es-ES"/>
        </w:rPr>
        <w:t>Administración/organización / número de redes</w:t>
      </w:r>
    </w:p>
    <w:p w14:paraId="6FADA93D" w14:textId="774F303B" w:rsidR="0059147E" w:rsidRPr="00E72AC6" w:rsidRDefault="0059147E" w:rsidP="00E51B05">
      <w:pPr>
        <w:pStyle w:val="Heading1"/>
        <w:rPr>
          <w:lang w:val="es-ES"/>
        </w:rPr>
      </w:pPr>
      <w:r w:rsidRPr="00E72AC6">
        <w:rPr>
          <w:lang w:val="es-ES"/>
        </w:rPr>
        <w:t>4</w:t>
      </w:r>
      <w:r w:rsidRPr="00E72AC6">
        <w:rPr>
          <w:lang w:val="es-ES"/>
        </w:rPr>
        <w:tab/>
        <w:t>Administraciones que carecen de adjudicaciones nacionales en el Pl</w:t>
      </w:r>
      <w:r>
        <w:rPr>
          <w:lang w:val="es-ES"/>
        </w:rPr>
        <w:t>an</w:t>
      </w:r>
    </w:p>
    <w:p w14:paraId="744274FB" w14:textId="77777777" w:rsidR="0059147E" w:rsidRPr="00E72AC6" w:rsidRDefault="0059147E" w:rsidP="005C071D">
      <w:pPr>
        <w:rPr>
          <w:rFonts w:asciiTheme="minorHAnsi" w:hAnsiTheme="minorHAnsi" w:cstheme="minorHAnsi"/>
          <w:szCs w:val="24"/>
          <w:lang w:val="es-ES"/>
        </w:rPr>
      </w:pPr>
      <w:r w:rsidRPr="00E72AC6">
        <w:rPr>
          <w:lang w:val="es-ES"/>
        </w:rPr>
        <w:t xml:space="preserve">Algunas Administraciones no disponen de una adjudicación en el Plan del Apéndice </w:t>
      </w:r>
      <w:r w:rsidRPr="00E72AC6">
        <w:rPr>
          <w:b/>
          <w:bCs/>
          <w:lang w:val="es-ES"/>
        </w:rPr>
        <w:t>30B</w:t>
      </w:r>
      <w:r w:rsidRPr="00E72AC6">
        <w:rPr>
          <w:lang w:val="es-ES"/>
        </w:rPr>
        <w:t xml:space="preserve"> ni de asignaciones en la Lista, debido fundamentalmente a que se adhirieron a la Unión después de 1988</w:t>
      </w:r>
      <w:r w:rsidRPr="00E72AC6">
        <w:rPr>
          <w:rFonts w:asciiTheme="minorHAnsi" w:hAnsiTheme="minorHAnsi" w:cstheme="minorHAnsi"/>
          <w:szCs w:val="24"/>
          <w:lang w:val="es-ES"/>
        </w:rPr>
        <w:t xml:space="preserve">. El </w:t>
      </w:r>
      <w:r w:rsidRPr="005C071D">
        <w:rPr>
          <w:lang w:val="es-ES"/>
        </w:rPr>
        <w:t>Artículo</w:t>
      </w:r>
      <w:r w:rsidRPr="00E72AC6">
        <w:rPr>
          <w:rFonts w:asciiTheme="minorHAnsi" w:hAnsiTheme="minorHAnsi" w:cstheme="minorHAnsi"/>
          <w:szCs w:val="24"/>
          <w:lang w:val="es-ES"/>
        </w:rPr>
        <w:t xml:space="preserve"> 7 del Apéndice </w:t>
      </w:r>
      <w:r w:rsidRPr="00E72AC6">
        <w:rPr>
          <w:rFonts w:asciiTheme="minorHAnsi" w:hAnsiTheme="minorHAnsi" w:cstheme="minorHAnsi"/>
          <w:b/>
          <w:bCs/>
          <w:szCs w:val="24"/>
          <w:lang w:val="es-ES"/>
        </w:rPr>
        <w:t xml:space="preserve">30B </w:t>
      </w:r>
      <w:r w:rsidRPr="00E72AC6">
        <w:rPr>
          <w:rFonts w:asciiTheme="minorHAnsi" w:hAnsiTheme="minorHAnsi" w:cstheme="minorHAnsi"/>
          <w:szCs w:val="24"/>
          <w:lang w:val="es-ES"/>
        </w:rPr>
        <w:t>ofrece a esos nuevos Estado</w:t>
      </w:r>
      <w:r>
        <w:rPr>
          <w:rFonts w:asciiTheme="minorHAnsi" w:hAnsiTheme="minorHAnsi" w:cstheme="minorHAnsi"/>
          <w:szCs w:val="24"/>
          <w:lang w:val="es-ES"/>
        </w:rPr>
        <w:t xml:space="preserve">s Miembros los medios para solicitar </w:t>
      </w:r>
      <w:r w:rsidRPr="006638D1">
        <w:rPr>
          <w:lang w:val="es-ES"/>
        </w:rPr>
        <w:t>adjudicaciones</w:t>
      </w:r>
      <w:r>
        <w:rPr>
          <w:rFonts w:asciiTheme="minorHAnsi" w:hAnsiTheme="minorHAnsi" w:cstheme="minorHAnsi"/>
          <w:szCs w:val="24"/>
          <w:lang w:val="es-ES"/>
        </w:rPr>
        <w:t xml:space="preserve"> nacionales. </w:t>
      </w:r>
      <w:r w:rsidRPr="00E72AC6">
        <w:rPr>
          <w:rFonts w:asciiTheme="minorHAnsi" w:hAnsiTheme="minorHAnsi" w:cstheme="minorHAnsi"/>
          <w:szCs w:val="24"/>
          <w:lang w:val="es-ES"/>
        </w:rPr>
        <w:t xml:space="preserve">La CMR-23 aprobó medidas concretas para ayudar a los nuevos </w:t>
      </w:r>
      <w:r>
        <w:rPr>
          <w:rFonts w:asciiTheme="minorHAnsi" w:hAnsiTheme="minorHAnsi" w:cstheme="minorHAnsi"/>
          <w:szCs w:val="24"/>
          <w:lang w:val="es-ES"/>
        </w:rPr>
        <w:t>Estados Miembros de la UIT a superar las dificultades encontradas a la hora de aplicar dicho Artículo a fin de obtener una adjudicación nacional</w:t>
      </w:r>
      <w:r w:rsidRPr="00E72AC6">
        <w:rPr>
          <w:rFonts w:asciiTheme="minorHAnsi" w:hAnsiTheme="minorHAnsi" w:cstheme="minorHAnsi"/>
          <w:szCs w:val="24"/>
          <w:lang w:val="es-ES"/>
        </w:rPr>
        <w:t>.</w:t>
      </w:r>
    </w:p>
    <w:p w14:paraId="348EA9B6" w14:textId="0A45929C" w:rsidR="0059147E" w:rsidRPr="00E72AC6" w:rsidRDefault="0059147E" w:rsidP="005C071D">
      <w:pPr>
        <w:rPr>
          <w:rFonts w:asciiTheme="minorHAnsi" w:hAnsiTheme="minorHAnsi" w:cstheme="minorHAnsi"/>
          <w:szCs w:val="24"/>
          <w:lang w:val="es-ES"/>
        </w:rPr>
      </w:pPr>
      <w:r w:rsidRPr="00E72AC6">
        <w:rPr>
          <w:rFonts w:asciiTheme="minorHAnsi" w:hAnsiTheme="minorHAnsi" w:cstheme="minorHAnsi"/>
          <w:szCs w:val="24"/>
          <w:lang w:val="es-ES"/>
        </w:rPr>
        <w:t>De conformidad con las decisiones de la CMR</w:t>
      </w:r>
      <w:r w:rsidR="00E51B05">
        <w:rPr>
          <w:rFonts w:asciiTheme="minorHAnsi" w:hAnsiTheme="minorHAnsi" w:cstheme="minorHAnsi"/>
          <w:szCs w:val="24"/>
          <w:lang w:val="es-ES"/>
        </w:rPr>
        <w:t>-</w:t>
      </w:r>
      <w:r w:rsidRPr="00E72AC6">
        <w:rPr>
          <w:rFonts w:asciiTheme="minorHAnsi" w:hAnsiTheme="minorHAnsi" w:cstheme="minorHAnsi"/>
          <w:szCs w:val="24"/>
          <w:lang w:val="es-ES"/>
        </w:rPr>
        <w:t xml:space="preserve">23, nueve (9) nuevos Estados Miembros de la UIT, a saber, Bosnia </w:t>
      </w:r>
      <w:r>
        <w:rPr>
          <w:rFonts w:asciiTheme="minorHAnsi" w:hAnsiTheme="minorHAnsi" w:cstheme="minorHAnsi"/>
          <w:szCs w:val="24"/>
          <w:lang w:val="es-ES"/>
        </w:rPr>
        <w:t>y</w:t>
      </w:r>
      <w:r w:rsidRPr="00E72AC6">
        <w:rPr>
          <w:rFonts w:asciiTheme="minorHAnsi" w:hAnsiTheme="minorHAnsi" w:cstheme="minorHAnsi"/>
          <w:szCs w:val="24"/>
          <w:lang w:val="es-ES"/>
        </w:rPr>
        <w:t xml:space="preserve"> </w:t>
      </w:r>
      <w:r w:rsidRPr="005C071D">
        <w:rPr>
          <w:lang w:val="es-ES"/>
        </w:rPr>
        <w:t>Herzegovina</w:t>
      </w:r>
      <w:r w:rsidRPr="00E72AC6">
        <w:rPr>
          <w:rFonts w:asciiTheme="minorHAnsi" w:hAnsiTheme="minorHAnsi" w:cstheme="minorHAnsi"/>
          <w:szCs w:val="24"/>
          <w:lang w:val="es-ES"/>
        </w:rPr>
        <w:t>, Croa</w:t>
      </w:r>
      <w:r>
        <w:rPr>
          <w:rFonts w:asciiTheme="minorHAnsi" w:hAnsiTheme="minorHAnsi" w:cstheme="minorHAnsi"/>
          <w:szCs w:val="24"/>
          <w:lang w:val="es-ES"/>
        </w:rPr>
        <w:t>c</w:t>
      </w:r>
      <w:r w:rsidRPr="00E72AC6">
        <w:rPr>
          <w:rFonts w:asciiTheme="minorHAnsi" w:hAnsiTheme="minorHAnsi" w:cstheme="minorHAnsi"/>
          <w:szCs w:val="24"/>
          <w:lang w:val="es-ES"/>
        </w:rPr>
        <w:t>ia (Rep</w:t>
      </w:r>
      <w:r>
        <w:rPr>
          <w:rFonts w:asciiTheme="minorHAnsi" w:hAnsiTheme="minorHAnsi" w:cstheme="minorHAnsi"/>
          <w:szCs w:val="24"/>
          <w:lang w:val="es-ES"/>
        </w:rPr>
        <w:t>ública de</w:t>
      </w:r>
      <w:r w:rsidRPr="00E72AC6">
        <w:rPr>
          <w:rFonts w:asciiTheme="minorHAnsi" w:hAnsiTheme="minorHAnsi" w:cstheme="minorHAnsi"/>
          <w:szCs w:val="24"/>
          <w:lang w:val="es-ES"/>
        </w:rPr>
        <w:t xml:space="preserve">), Georgia, Macedonia </w:t>
      </w:r>
      <w:r>
        <w:rPr>
          <w:rFonts w:asciiTheme="minorHAnsi" w:hAnsiTheme="minorHAnsi" w:cstheme="minorHAnsi"/>
          <w:szCs w:val="24"/>
          <w:lang w:val="es-ES"/>
        </w:rPr>
        <w:t xml:space="preserve">del Norte </w:t>
      </w:r>
      <w:r w:rsidRPr="00E72AC6">
        <w:rPr>
          <w:rFonts w:asciiTheme="minorHAnsi" w:hAnsiTheme="minorHAnsi" w:cstheme="minorHAnsi"/>
          <w:szCs w:val="24"/>
          <w:lang w:val="es-ES"/>
        </w:rPr>
        <w:t>(Rep</w:t>
      </w:r>
      <w:r>
        <w:rPr>
          <w:rFonts w:asciiTheme="minorHAnsi" w:hAnsiTheme="minorHAnsi" w:cstheme="minorHAnsi"/>
          <w:szCs w:val="24"/>
          <w:lang w:val="es-ES"/>
        </w:rPr>
        <w:t>ública de</w:t>
      </w:r>
      <w:r w:rsidRPr="00E72AC6">
        <w:rPr>
          <w:rFonts w:asciiTheme="minorHAnsi" w:hAnsiTheme="minorHAnsi" w:cstheme="minorHAnsi"/>
          <w:szCs w:val="24"/>
          <w:lang w:val="es-ES"/>
        </w:rPr>
        <w:t>), Moldova (</w:t>
      </w:r>
      <w:r w:rsidRPr="006638D1">
        <w:rPr>
          <w:lang w:val="es-ES"/>
        </w:rPr>
        <w:t>República</w:t>
      </w:r>
      <w:r>
        <w:rPr>
          <w:rFonts w:asciiTheme="minorHAnsi" w:hAnsiTheme="minorHAnsi" w:cstheme="minorHAnsi"/>
          <w:szCs w:val="24"/>
          <w:lang w:val="es-ES"/>
        </w:rPr>
        <w:t xml:space="preserve"> de</w:t>
      </w:r>
      <w:r w:rsidRPr="00E72AC6">
        <w:rPr>
          <w:rFonts w:asciiTheme="minorHAnsi" w:hAnsiTheme="minorHAnsi" w:cstheme="minorHAnsi"/>
          <w:szCs w:val="24"/>
          <w:lang w:val="es-ES"/>
        </w:rPr>
        <w:t xml:space="preserve">), Montenegro, Serbia, </w:t>
      </w:r>
      <w:r>
        <w:rPr>
          <w:rFonts w:asciiTheme="minorHAnsi" w:hAnsiTheme="minorHAnsi" w:cstheme="minorHAnsi"/>
          <w:szCs w:val="24"/>
          <w:lang w:val="es-ES"/>
        </w:rPr>
        <w:t>Es</w:t>
      </w:r>
      <w:r w:rsidRPr="00E72AC6">
        <w:rPr>
          <w:rFonts w:asciiTheme="minorHAnsi" w:hAnsiTheme="minorHAnsi" w:cstheme="minorHAnsi"/>
          <w:szCs w:val="24"/>
          <w:lang w:val="es-ES"/>
        </w:rPr>
        <w:t xml:space="preserve">lovenia </w:t>
      </w:r>
      <w:r>
        <w:rPr>
          <w:rFonts w:asciiTheme="minorHAnsi" w:hAnsiTheme="minorHAnsi" w:cstheme="minorHAnsi"/>
          <w:szCs w:val="24"/>
          <w:lang w:val="es-ES"/>
        </w:rPr>
        <w:t>y Sudán del Sur</w:t>
      </w:r>
      <w:r w:rsidRPr="00E72AC6">
        <w:rPr>
          <w:rFonts w:asciiTheme="minorHAnsi" w:hAnsiTheme="minorHAnsi" w:cstheme="minorHAnsi"/>
          <w:szCs w:val="24"/>
          <w:lang w:val="es-ES"/>
        </w:rPr>
        <w:t xml:space="preserve"> (Rep</w:t>
      </w:r>
      <w:r>
        <w:rPr>
          <w:rFonts w:asciiTheme="minorHAnsi" w:hAnsiTheme="minorHAnsi" w:cstheme="minorHAnsi"/>
          <w:szCs w:val="24"/>
          <w:lang w:val="es-ES"/>
        </w:rPr>
        <w:t>ública de</w:t>
      </w:r>
      <w:r w:rsidRPr="00E72AC6">
        <w:rPr>
          <w:rFonts w:asciiTheme="minorHAnsi" w:hAnsiTheme="minorHAnsi" w:cstheme="minorHAnsi"/>
          <w:szCs w:val="24"/>
          <w:lang w:val="es-ES"/>
        </w:rPr>
        <w:t>)</w:t>
      </w:r>
      <w:r>
        <w:rPr>
          <w:rFonts w:asciiTheme="minorHAnsi" w:hAnsiTheme="minorHAnsi" w:cstheme="minorHAnsi"/>
          <w:szCs w:val="24"/>
          <w:lang w:val="es-ES"/>
        </w:rPr>
        <w:t>, obtuvieron sus adjudicaciones nacionales en el Plan del Apéndice</w:t>
      </w:r>
      <w:r w:rsidRPr="00E72AC6">
        <w:rPr>
          <w:rFonts w:asciiTheme="minorHAnsi" w:hAnsiTheme="minorHAnsi" w:cstheme="minorHAnsi"/>
          <w:szCs w:val="24"/>
          <w:lang w:val="es-ES"/>
        </w:rPr>
        <w:t xml:space="preserve"> </w:t>
      </w:r>
      <w:r w:rsidRPr="00E72AC6">
        <w:rPr>
          <w:rFonts w:asciiTheme="minorHAnsi" w:hAnsiTheme="minorHAnsi" w:cstheme="minorHAnsi"/>
          <w:b/>
          <w:bCs/>
          <w:szCs w:val="24"/>
          <w:lang w:val="es-ES"/>
        </w:rPr>
        <w:t>30B</w:t>
      </w:r>
      <w:r w:rsidRPr="00E72AC6">
        <w:rPr>
          <w:rFonts w:asciiTheme="minorHAnsi" w:hAnsiTheme="minorHAnsi" w:cstheme="minorHAnsi"/>
          <w:szCs w:val="24"/>
          <w:lang w:val="es-ES"/>
        </w:rPr>
        <w:t>.</w:t>
      </w:r>
    </w:p>
    <w:p w14:paraId="60116D94" w14:textId="273787B6" w:rsidR="0059147E" w:rsidRPr="00E72AC6" w:rsidRDefault="0059147E" w:rsidP="005C071D">
      <w:pPr>
        <w:rPr>
          <w:rFonts w:asciiTheme="minorHAnsi" w:hAnsiTheme="minorHAnsi" w:cstheme="minorBidi"/>
          <w:lang w:val="es-ES"/>
        </w:rPr>
      </w:pPr>
      <w:r w:rsidRPr="00E72AC6">
        <w:rPr>
          <w:rFonts w:asciiTheme="minorHAnsi" w:hAnsiTheme="minorHAnsi" w:cstheme="minorBidi"/>
          <w:lang w:val="es-ES"/>
        </w:rPr>
        <w:t>En el momento de preparar este Informe había siete (7</w:t>
      </w:r>
      <w:r>
        <w:rPr>
          <w:rFonts w:asciiTheme="minorHAnsi" w:hAnsiTheme="minorHAnsi" w:cstheme="minorBidi"/>
          <w:lang w:val="es-ES"/>
        </w:rPr>
        <w:t>) administraciones sin adjudicaciones en el Plan del Apéndice</w:t>
      </w:r>
      <w:r w:rsidRPr="00E72AC6">
        <w:rPr>
          <w:rFonts w:asciiTheme="minorHAnsi" w:hAnsiTheme="minorHAnsi" w:cstheme="minorBidi"/>
          <w:lang w:val="es-ES"/>
        </w:rPr>
        <w:t xml:space="preserve"> </w:t>
      </w:r>
      <w:r w:rsidRPr="00E72AC6">
        <w:rPr>
          <w:rFonts w:asciiTheme="minorHAnsi" w:hAnsiTheme="minorHAnsi" w:cstheme="minorBidi"/>
          <w:b/>
          <w:bCs/>
          <w:lang w:val="es-ES"/>
        </w:rPr>
        <w:t>30B</w:t>
      </w:r>
      <w:r w:rsidRPr="00E72AC6">
        <w:rPr>
          <w:rFonts w:asciiTheme="minorHAnsi" w:hAnsiTheme="minorHAnsi" w:cstheme="minorBidi"/>
          <w:lang w:val="es-ES"/>
        </w:rPr>
        <w:t>: Eritrea, Estonia, L</w:t>
      </w:r>
      <w:r>
        <w:rPr>
          <w:rFonts w:asciiTheme="minorHAnsi" w:hAnsiTheme="minorHAnsi" w:cstheme="minorBidi"/>
          <w:lang w:val="es-ES"/>
        </w:rPr>
        <w:t>etonia</w:t>
      </w:r>
      <w:r w:rsidRPr="00E72AC6">
        <w:rPr>
          <w:rFonts w:asciiTheme="minorHAnsi" w:hAnsiTheme="minorHAnsi" w:cstheme="minorBidi"/>
          <w:lang w:val="es-ES"/>
        </w:rPr>
        <w:t>, Sa</w:t>
      </w:r>
      <w:r>
        <w:rPr>
          <w:rFonts w:asciiTheme="minorHAnsi" w:hAnsiTheme="minorHAnsi" w:cstheme="minorBidi"/>
          <w:lang w:val="es-ES"/>
        </w:rPr>
        <w:t>nta</w:t>
      </w:r>
      <w:r w:rsidRPr="00E72AC6">
        <w:rPr>
          <w:rFonts w:asciiTheme="minorHAnsi" w:hAnsiTheme="minorHAnsi" w:cstheme="minorBidi"/>
          <w:lang w:val="es-ES"/>
        </w:rPr>
        <w:t xml:space="preserve"> Luc</w:t>
      </w:r>
      <w:r>
        <w:rPr>
          <w:rFonts w:asciiTheme="minorHAnsi" w:hAnsiTheme="minorHAnsi" w:cstheme="minorBidi"/>
          <w:lang w:val="es-ES"/>
        </w:rPr>
        <w:t>í</w:t>
      </w:r>
      <w:r w:rsidRPr="00E72AC6">
        <w:rPr>
          <w:rFonts w:asciiTheme="minorHAnsi" w:hAnsiTheme="minorHAnsi" w:cstheme="minorBidi"/>
          <w:lang w:val="es-ES"/>
        </w:rPr>
        <w:t>a, Ta</w:t>
      </w:r>
      <w:r>
        <w:rPr>
          <w:rFonts w:asciiTheme="minorHAnsi" w:hAnsiTheme="minorHAnsi" w:cstheme="minorBidi"/>
          <w:lang w:val="es-ES"/>
        </w:rPr>
        <w:t>y</w:t>
      </w:r>
      <w:r w:rsidRPr="00E72AC6">
        <w:rPr>
          <w:rFonts w:asciiTheme="minorHAnsi" w:hAnsiTheme="minorHAnsi" w:cstheme="minorBidi"/>
          <w:lang w:val="es-ES"/>
        </w:rPr>
        <w:t>ikist</w:t>
      </w:r>
      <w:r>
        <w:rPr>
          <w:rFonts w:asciiTheme="minorHAnsi" w:hAnsiTheme="minorHAnsi" w:cstheme="minorBidi"/>
          <w:lang w:val="es-ES"/>
        </w:rPr>
        <w:t>á</w:t>
      </w:r>
      <w:r w:rsidRPr="00E72AC6">
        <w:rPr>
          <w:rFonts w:asciiTheme="minorHAnsi" w:hAnsiTheme="minorHAnsi" w:cstheme="minorBidi"/>
          <w:lang w:val="es-ES"/>
        </w:rPr>
        <w:t>n, Timor-Leste (</w:t>
      </w:r>
      <w:r>
        <w:rPr>
          <w:rFonts w:asciiTheme="minorHAnsi" w:hAnsiTheme="minorHAnsi" w:cstheme="minorBidi"/>
          <w:lang w:val="es-ES"/>
        </w:rPr>
        <w:t>República Democrática de</w:t>
      </w:r>
      <w:r w:rsidRPr="00E72AC6">
        <w:rPr>
          <w:rFonts w:asciiTheme="minorHAnsi" w:hAnsiTheme="minorHAnsi" w:cstheme="minorBidi"/>
          <w:lang w:val="es-ES"/>
        </w:rPr>
        <w:t>) y Turkmenist</w:t>
      </w:r>
      <w:r>
        <w:rPr>
          <w:rFonts w:asciiTheme="minorHAnsi" w:hAnsiTheme="minorHAnsi" w:cstheme="minorBidi"/>
          <w:lang w:val="es-ES"/>
        </w:rPr>
        <w:t>á</w:t>
      </w:r>
      <w:r w:rsidRPr="00E72AC6">
        <w:rPr>
          <w:rFonts w:asciiTheme="minorHAnsi" w:hAnsiTheme="minorHAnsi" w:cstheme="minorBidi"/>
          <w:lang w:val="es-ES"/>
        </w:rPr>
        <w:t>n. Por otra parte, el Estado de Palestina</w:t>
      </w:r>
      <w:r w:rsidR="00E51B05">
        <w:rPr>
          <w:rStyle w:val="FootnoteReference"/>
          <w:rFonts w:asciiTheme="minorHAnsi" w:hAnsiTheme="minorHAnsi" w:cstheme="minorBidi"/>
          <w:lang w:val="es-ES"/>
        </w:rPr>
        <w:footnoteReference w:customMarkFollows="1" w:id="1"/>
        <w:t>1</w:t>
      </w:r>
      <w:r w:rsidRPr="00E72AC6">
        <w:rPr>
          <w:rFonts w:asciiTheme="minorHAnsi" w:hAnsiTheme="minorHAnsi" w:cstheme="minorBidi"/>
          <w:lang w:val="es-ES"/>
        </w:rPr>
        <w:t xml:space="preserve"> no tiene ninguna adjudicación en el Plan del Apéndice </w:t>
      </w:r>
      <w:r w:rsidRPr="00E72AC6">
        <w:rPr>
          <w:rFonts w:asciiTheme="minorHAnsi" w:hAnsiTheme="minorHAnsi" w:cstheme="minorBidi"/>
          <w:b/>
          <w:bCs/>
          <w:lang w:val="es-ES"/>
        </w:rPr>
        <w:t>30B</w:t>
      </w:r>
      <w:r w:rsidRPr="00E72AC6">
        <w:rPr>
          <w:rFonts w:asciiTheme="minorHAnsi" w:hAnsiTheme="minorHAnsi" w:cstheme="minorBidi"/>
          <w:lang w:val="es-ES"/>
        </w:rPr>
        <w:t>,</w:t>
      </w:r>
      <w:r>
        <w:rPr>
          <w:rFonts w:asciiTheme="minorHAnsi" w:hAnsiTheme="minorHAnsi" w:cstheme="minorBidi"/>
          <w:lang w:val="es-ES"/>
        </w:rPr>
        <w:t xml:space="preserve"> mientras que tiene asignaciones de frecuencia planificadas en los Planes </w:t>
      </w:r>
      <w:r w:rsidRPr="006638D1">
        <w:rPr>
          <w:lang w:val="es-ES"/>
        </w:rPr>
        <w:t>de</w:t>
      </w:r>
      <w:r>
        <w:rPr>
          <w:rFonts w:asciiTheme="minorHAnsi" w:hAnsiTheme="minorHAnsi" w:cstheme="minorBidi"/>
          <w:lang w:val="es-ES"/>
        </w:rPr>
        <w:t xml:space="preserve"> los Apéndices</w:t>
      </w:r>
      <w:r w:rsidRPr="00E72AC6">
        <w:rPr>
          <w:rFonts w:asciiTheme="minorHAnsi" w:hAnsiTheme="minorHAnsi" w:cstheme="minorBidi"/>
          <w:lang w:val="es-ES"/>
        </w:rPr>
        <w:t xml:space="preserve"> </w:t>
      </w:r>
      <w:r w:rsidRPr="00E72AC6">
        <w:rPr>
          <w:rFonts w:asciiTheme="minorHAnsi" w:hAnsiTheme="minorHAnsi" w:cstheme="minorBidi"/>
          <w:b/>
          <w:bCs/>
          <w:lang w:val="es-ES"/>
        </w:rPr>
        <w:t>30</w:t>
      </w:r>
      <w:r w:rsidRPr="00E72AC6">
        <w:rPr>
          <w:rFonts w:asciiTheme="minorHAnsi" w:hAnsiTheme="minorHAnsi" w:cstheme="minorBidi"/>
          <w:lang w:val="es-ES"/>
        </w:rPr>
        <w:t xml:space="preserve"> </w:t>
      </w:r>
      <w:r>
        <w:rPr>
          <w:rFonts w:asciiTheme="minorHAnsi" w:hAnsiTheme="minorHAnsi" w:cstheme="minorBidi"/>
          <w:lang w:val="es-ES"/>
        </w:rPr>
        <w:t>y</w:t>
      </w:r>
      <w:r w:rsidRPr="00E72AC6">
        <w:rPr>
          <w:rFonts w:asciiTheme="minorHAnsi" w:hAnsiTheme="minorHAnsi" w:cstheme="minorBidi"/>
          <w:lang w:val="es-ES"/>
        </w:rPr>
        <w:t xml:space="preserve"> </w:t>
      </w:r>
      <w:r w:rsidRPr="00E72AC6">
        <w:rPr>
          <w:rFonts w:asciiTheme="minorHAnsi" w:hAnsiTheme="minorHAnsi" w:cstheme="minorBidi"/>
          <w:b/>
          <w:bCs/>
          <w:lang w:val="es-ES"/>
        </w:rPr>
        <w:t>30A</w:t>
      </w:r>
      <w:r w:rsidRPr="00E72AC6">
        <w:rPr>
          <w:rFonts w:asciiTheme="minorHAnsi" w:hAnsiTheme="minorHAnsi" w:cstheme="minorBidi"/>
          <w:lang w:val="es-ES"/>
        </w:rPr>
        <w:t>. Siguiendo los consejos de la Junta del Reglamento de Radiocomunicaciones, la CMR-23 encargó a la Oficina que se pusiese en contac</w:t>
      </w:r>
      <w:r>
        <w:rPr>
          <w:rFonts w:asciiTheme="minorHAnsi" w:hAnsiTheme="minorHAnsi" w:cstheme="minorBidi"/>
          <w:lang w:val="es-ES"/>
        </w:rPr>
        <w:t>to con esas siete administraciones y el Estado de Palestina a fin de identificar los recursos orbitales en caso de que quisieran iniciar el procedimiento del Artículo 7 del Apéndice</w:t>
      </w:r>
      <w:r w:rsidRPr="00E72AC6">
        <w:rPr>
          <w:rFonts w:asciiTheme="minorHAnsi" w:hAnsiTheme="minorHAnsi" w:cstheme="minorBidi"/>
          <w:lang w:val="es-ES"/>
        </w:rPr>
        <w:t xml:space="preserve"> </w:t>
      </w:r>
      <w:r w:rsidRPr="00E72AC6">
        <w:rPr>
          <w:rFonts w:asciiTheme="minorHAnsi" w:hAnsiTheme="minorHAnsi" w:cstheme="minorBidi"/>
          <w:b/>
          <w:bCs/>
          <w:lang w:val="es-ES"/>
        </w:rPr>
        <w:t>30B</w:t>
      </w:r>
      <w:r w:rsidRPr="00E72AC6">
        <w:rPr>
          <w:rFonts w:asciiTheme="minorHAnsi" w:hAnsiTheme="minorHAnsi" w:cstheme="minorBidi"/>
          <w:lang w:val="es-ES"/>
        </w:rPr>
        <w:t>.</w:t>
      </w:r>
    </w:p>
    <w:p w14:paraId="17A5A507" w14:textId="05D28F8E" w:rsidR="0059147E" w:rsidRPr="008E1B3A" w:rsidRDefault="0059147E" w:rsidP="00E51B05">
      <w:pPr>
        <w:pStyle w:val="Heading1"/>
        <w:rPr>
          <w:lang w:val="es-ES"/>
        </w:rPr>
      </w:pPr>
      <w:r w:rsidRPr="008E1B3A">
        <w:rPr>
          <w:lang w:val="es-ES"/>
        </w:rPr>
        <w:t>5</w:t>
      </w:r>
      <w:r w:rsidRPr="008E1B3A">
        <w:rPr>
          <w:lang w:val="es-ES"/>
        </w:rPr>
        <w:tab/>
        <w:t xml:space="preserve">Dificultades para explotar </w:t>
      </w:r>
      <w:r w:rsidRPr="00E51B05">
        <w:rPr>
          <w:lang w:val="es-ES"/>
        </w:rPr>
        <w:t>sistemas</w:t>
      </w:r>
      <w:r w:rsidRPr="008E1B3A">
        <w:rPr>
          <w:lang w:val="es-ES"/>
        </w:rPr>
        <w:t xml:space="preserve"> del SFS modernos con los</w:t>
      </w:r>
      <w:r>
        <w:rPr>
          <w:lang w:val="es-ES"/>
        </w:rPr>
        <w:t xml:space="preserve"> parámetros del Apéndice</w:t>
      </w:r>
      <w:r w:rsidRPr="008E1B3A">
        <w:rPr>
          <w:lang w:val="es-ES"/>
        </w:rPr>
        <w:t xml:space="preserve"> </w:t>
      </w:r>
      <w:r w:rsidRPr="008E1B3A">
        <w:rPr>
          <w:szCs w:val="28"/>
          <w:lang w:val="es-ES"/>
        </w:rPr>
        <w:t>30B</w:t>
      </w:r>
    </w:p>
    <w:p w14:paraId="48B8C45A" w14:textId="77777777" w:rsidR="0059147E" w:rsidRPr="008E1B3A" w:rsidRDefault="0059147E" w:rsidP="0059147E">
      <w:pPr>
        <w:rPr>
          <w:lang w:val="es-ES"/>
        </w:rPr>
      </w:pPr>
      <w:r w:rsidRPr="008E1B3A">
        <w:rPr>
          <w:lang w:val="es-ES"/>
        </w:rPr>
        <w:t xml:space="preserve">A pesar de que la CMR-07 revisó las características técnicas básicas de las adjudicaciones del Plan SFS basándose en la tecnología entonces disponible, algunos de estos parámetros técnicos han quedado obsoletos. </w:t>
      </w:r>
    </w:p>
    <w:p w14:paraId="73517D1F" w14:textId="77777777" w:rsidR="0059147E" w:rsidRPr="008E1B3A" w:rsidRDefault="0059147E" w:rsidP="006638D1">
      <w:pPr>
        <w:rPr>
          <w:lang w:val="es-ES"/>
        </w:rPr>
      </w:pPr>
      <w:r w:rsidRPr="008E1B3A">
        <w:rPr>
          <w:lang w:val="es-ES"/>
        </w:rPr>
        <w:t>En particular, el Plan supone que se utilizarían estaciones terrenas con un diámetro de antena de 5,5 m en las bandas de 6/4 GHz y de 2,7 m en las bandas de 12-13/10-11 GHz. Esas antenas tan grandes no se corresponden con las de las estaciones VSAT tan utilizadas y podrían no satisfacer la demanda de muchas de las nuevas aplicaciones por satélite</w:t>
      </w:r>
      <w:r w:rsidRPr="008E1B3A">
        <w:rPr>
          <w:rFonts w:asciiTheme="minorHAnsi" w:hAnsiTheme="minorHAnsi" w:cstheme="minorHAnsi"/>
          <w:szCs w:val="24"/>
          <w:lang w:val="es-ES"/>
        </w:rPr>
        <w:t xml:space="preserve">. </w:t>
      </w:r>
      <w:r w:rsidRPr="008E1B3A">
        <w:rPr>
          <w:lang w:val="es-ES"/>
        </w:rPr>
        <w:br w:type="page"/>
      </w:r>
    </w:p>
    <w:p w14:paraId="1839F298" w14:textId="77777777" w:rsidR="0059147E" w:rsidRPr="002D2E23" w:rsidRDefault="0059147E" w:rsidP="0059147E">
      <w:pPr>
        <w:pStyle w:val="AnnexNo"/>
        <w:rPr>
          <w:lang w:val="es-ES"/>
        </w:rPr>
      </w:pPr>
      <w:bookmarkStart w:id="13" w:name="Annex2"/>
      <w:r w:rsidRPr="002D2E23">
        <w:rPr>
          <w:lang w:val="es-ES"/>
        </w:rPr>
        <w:lastRenderedPageBreak/>
        <w:t>AnexO 2</w:t>
      </w:r>
      <w:bookmarkEnd w:id="13"/>
    </w:p>
    <w:p w14:paraId="021C6D17" w14:textId="6216AAFE" w:rsidR="0059147E" w:rsidRPr="000321F2" w:rsidRDefault="0059147E" w:rsidP="0059147E">
      <w:pPr>
        <w:pStyle w:val="Annextitle"/>
        <w:rPr>
          <w:lang w:val="es-ES"/>
        </w:rPr>
      </w:pPr>
      <w:r w:rsidRPr="000321F2">
        <w:rPr>
          <w:lang w:val="es-ES"/>
        </w:rPr>
        <w:t>Función de la UIT en la aplicación de la Ag</w:t>
      </w:r>
      <w:r>
        <w:rPr>
          <w:lang w:val="es-ES"/>
        </w:rPr>
        <w:t xml:space="preserve">enda </w:t>
      </w:r>
      <w:r w:rsidR="001C6B57">
        <w:rPr>
          <w:lang w:val="es-ES"/>
        </w:rPr>
        <w:t>"</w:t>
      </w:r>
      <w:r>
        <w:rPr>
          <w:lang w:val="es-ES"/>
        </w:rPr>
        <w:t>Espacio2030</w:t>
      </w:r>
      <w:r w:rsidR="001C6B57">
        <w:rPr>
          <w:lang w:val="es-ES"/>
        </w:rPr>
        <w:t>"</w:t>
      </w:r>
    </w:p>
    <w:p w14:paraId="1791C3DB" w14:textId="1AAABF99" w:rsidR="0059147E" w:rsidRPr="002D2E23" w:rsidRDefault="0059147E" w:rsidP="00E51B05">
      <w:pPr>
        <w:pStyle w:val="Heading1"/>
        <w:rPr>
          <w:rFonts w:asciiTheme="minorHAnsi" w:hAnsiTheme="minorHAnsi" w:cstheme="minorHAnsi"/>
          <w:b w:val="0"/>
          <w:bCs/>
          <w:szCs w:val="24"/>
          <w:lang w:val="es-ES"/>
        </w:rPr>
      </w:pPr>
      <w:r w:rsidRPr="002D2E23">
        <w:rPr>
          <w:rFonts w:asciiTheme="minorHAnsi" w:hAnsiTheme="minorHAnsi" w:cstheme="minorHAnsi"/>
          <w:bCs/>
          <w:szCs w:val="24"/>
          <w:lang w:val="es-ES"/>
        </w:rPr>
        <w:t>1</w:t>
      </w:r>
      <w:r w:rsidRPr="002D2E23">
        <w:rPr>
          <w:rFonts w:asciiTheme="minorHAnsi" w:hAnsiTheme="minorHAnsi" w:cstheme="minorHAnsi"/>
          <w:bCs/>
          <w:szCs w:val="24"/>
          <w:lang w:val="es-ES"/>
        </w:rPr>
        <w:tab/>
      </w:r>
      <w:r w:rsidRPr="00E51B05">
        <w:rPr>
          <w:lang w:val="es-ES"/>
        </w:rPr>
        <w:t>Introducción</w:t>
      </w:r>
    </w:p>
    <w:p w14:paraId="4E135A63" w14:textId="5066D267" w:rsidR="0059147E" w:rsidRPr="000321F2" w:rsidRDefault="0059147E" w:rsidP="006638D1">
      <w:pPr>
        <w:rPr>
          <w:rFonts w:asciiTheme="minorHAnsi" w:hAnsiTheme="minorHAnsi" w:cstheme="minorHAnsi"/>
          <w:szCs w:val="24"/>
          <w:lang w:val="es-ES"/>
        </w:rPr>
      </w:pPr>
      <w:r w:rsidRPr="000321F2">
        <w:rPr>
          <w:rFonts w:asciiTheme="minorHAnsi" w:hAnsiTheme="minorHAnsi" w:cstheme="minorHAnsi"/>
          <w:szCs w:val="24"/>
          <w:lang w:val="es-ES"/>
        </w:rPr>
        <w:t xml:space="preserve">La </w:t>
      </w:r>
      <w:hyperlink r:id="rId21" w:history="1">
        <w:r w:rsidRPr="000321F2">
          <w:rPr>
            <w:rStyle w:val="Hyperlink"/>
            <w:b/>
            <w:bCs/>
            <w:lang w:val="es-ES"/>
          </w:rPr>
          <w:t>Agenda "Esp</w:t>
        </w:r>
        <w:r w:rsidRPr="000321F2">
          <w:rPr>
            <w:rStyle w:val="Hyperlink"/>
            <w:b/>
            <w:bCs/>
            <w:lang w:val="es-ES"/>
          </w:rPr>
          <w:t>a</w:t>
        </w:r>
        <w:r w:rsidRPr="000321F2">
          <w:rPr>
            <w:rStyle w:val="Hyperlink"/>
            <w:b/>
            <w:bCs/>
            <w:lang w:val="es-ES"/>
          </w:rPr>
          <w:t>cio2030"</w:t>
        </w:r>
      </w:hyperlink>
      <w:r w:rsidRPr="000321F2">
        <w:rPr>
          <w:rFonts w:asciiTheme="minorHAnsi" w:hAnsiTheme="minorHAnsi" w:cstheme="minorHAnsi"/>
          <w:szCs w:val="24"/>
          <w:lang w:val="es-ES"/>
        </w:rPr>
        <w:t xml:space="preserve"> es una "</w:t>
      </w:r>
      <w:r w:rsidRPr="000321F2">
        <w:rPr>
          <w:lang w:val="es-ES"/>
        </w:rPr>
        <w:t xml:space="preserve">estrategia orientada al futuro para reafirmar y fortalecer la contribución de las </w:t>
      </w:r>
      <w:proofErr w:type="gramStart"/>
      <w:r w:rsidRPr="000321F2">
        <w:rPr>
          <w:lang w:val="es-ES"/>
        </w:rPr>
        <w:t>actividades espaciales y las herramientas espaciales</w:t>
      </w:r>
      <w:proofErr w:type="gramEnd"/>
      <w:r w:rsidRPr="000321F2">
        <w:rPr>
          <w:lang w:val="es-ES"/>
        </w:rPr>
        <w:t xml:space="preserve"> al logro de las agendas mundiales</w:t>
      </w:r>
      <w:r w:rsidR="006638D1">
        <w:rPr>
          <w:rStyle w:val="FootnoteReference"/>
          <w:lang w:val="es-ES"/>
        </w:rPr>
        <w:footnoteReference w:customMarkFollows="1" w:id="2"/>
        <w:t>2</w:t>
      </w:r>
      <w:r w:rsidRPr="000321F2">
        <w:rPr>
          <w:lang w:val="es-ES"/>
        </w:rPr>
        <w:t xml:space="preserve"> , y para abordar preocupaciones de la humanidad sobre el desarrollo sostenible a largo plazo</w:t>
      </w:r>
      <w:r w:rsidR="00D9171F">
        <w:rPr>
          <w:lang w:val="es-ES"/>
        </w:rPr>
        <w:t>"</w:t>
      </w:r>
      <w:r w:rsidRPr="000321F2">
        <w:rPr>
          <w:rFonts w:asciiTheme="minorHAnsi" w:hAnsiTheme="minorHAnsi" w:cstheme="minorHAnsi"/>
          <w:szCs w:val="24"/>
          <w:lang w:val="es-ES"/>
        </w:rPr>
        <w:t>.</w:t>
      </w:r>
      <w:r w:rsidR="00D9171F">
        <w:rPr>
          <w:rFonts w:asciiTheme="minorHAnsi" w:hAnsiTheme="minorHAnsi" w:cstheme="minorHAnsi"/>
          <w:szCs w:val="24"/>
          <w:lang w:val="es-ES"/>
        </w:rPr>
        <w:t xml:space="preserve"> </w:t>
      </w:r>
      <w:r w:rsidRPr="000321F2">
        <w:rPr>
          <w:rFonts w:asciiTheme="minorHAnsi" w:hAnsiTheme="minorHAnsi" w:cstheme="minorHAnsi"/>
          <w:szCs w:val="24"/>
          <w:lang w:val="es-ES"/>
        </w:rPr>
        <w:t xml:space="preserve">(Véase el § 6 de la Agenda). </w:t>
      </w:r>
    </w:p>
    <w:p w14:paraId="577F70CA" w14:textId="77777777" w:rsidR="0059147E" w:rsidRPr="000321F2" w:rsidRDefault="0059147E" w:rsidP="006638D1">
      <w:pPr>
        <w:rPr>
          <w:rFonts w:asciiTheme="minorHAnsi" w:hAnsiTheme="minorHAnsi" w:cstheme="minorBidi"/>
          <w:lang w:val="es-ES"/>
        </w:rPr>
      </w:pPr>
      <w:r w:rsidRPr="000321F2">
        <w:rPr>
          <w:lang w:val="es-ES"/>
        </w:rPr>
        <w:t>La Agenda "Espacio2030" consta de una serie de objetivos que los Estados miembros de las Naciones Unidas han comprometido a perseguir</w:t>
      </w:r>
      <w:r w:rsidRPr="000321F2">
        <w:rPr>
          <w:rFonts w:asciiTheme="minorHAnsi" w:hAnsiTheme="minorHAnsi" w:cstheme="minorBidi"/>
          <w:lang w:val="es-ES"/>
        </w:rPr>
        <w:t xml:space="preserve">. </w:t>
      </w:r>
    </w:p>
    <w:p w14:paraId="4F16D3A4" w14:textId="64E04271" w:rsidR="0059147E" w:rsidRPr="000321F2" w:rsidRDefault="0059147E" w:rsidP="006638D1">
      <w:pPr>
        <w:rPr>
          <w:rFonts w:asciiTheme="minorHAnsi" w:hAnsiTheme="minorHAnsi" w:cstheme="minorHAnsi"/>
          <w:szCs w:val="24"/>
          <w:lang w:val="es-ES"/>
        </w:rPr>
      </w:pPr>
      <w:r w:rsidRPr="000321F2">
        <w:rPr>
          <w:lang w:val="es-ES"/>
        </w:rPr>
        <w:t xml:space="preserve">La aplicación de la Agenda "Espacio2030" por los Estados Miembros resultará más fácil gracias a la creación de alianzas y su contribución a una serie de mecanismos, programas, proyectos y plataformas internacionales y regionales descritos en la sección II de la Parte B de la Agenda. La UIT coopera con varias de estas entidades o programas, o contribuye a ellos, como se describe en el documento del Consejo sobre la colaboración con el sistema de las Naciones Unidas (véase el Documento </w:t>
      </w:r>
      <w:hyperlink r:id="rId22" w:history="1">
        <w:r w:rsidRPr="000321F2">
          <w:rPr>
            <w:rStyle w:val="Hyperlink"/>
            <w:rFonts w:asciiTheme="minorHAnsi" w:hAnsiTheme="minorHAnsi" w:cstheme="minorHAnsi"/>
            <w:szCs w:val="24"/>
            <w:lang w:val="es-ES"/>
          </w:rPr>
          <w:t>C24/</w:t>
        </w:r>
        <w:r w:rsidRPr="000321F2">
          <w:rPr>
            <w:rStyle w:val="Hyperlink"/>
            <w:rFonts w:asciiTheme="minorHAnsi" w:hAnsiTheme="minorHAnsi" w:cstheme="minorHAnsi"/>
            <w:szCs w:val="24"/>
            <w:lang w:val="es-ES"/>
          </w:rPr>
          <w:t>5</w:t>
        </w:r>
        <w:r w:rsidRPr="000321F2">
          <w:rPr>
            <w:rStyle w:val="Hyperlink"/>
            <w:rFonts w:asciiTheme="minorHAnsi" w:hAnsiTheme="minorHAnsi" w:cstheme="minorHAnsi"/>
            <w:szCs w:val="24"/>
            <w:lang w:val="es-ES"/>
          </w:rPr>
          <w:t>5</w:t>
        </w:r>
      </w:hyperlink>
      <w:r w:rsidRPr="000321F2">
        <w:rPr>
          <w:rFonts w:asciiTheme="minorHAnsi" w:hAnsiTheme="minorHAnsi" w:cstheme="minorHAnsi"/>
          <w:szCs w:val="24"/>
          <w:lang w:val="es-ES"/>
        </w:rPr>
        <w:t>).</w:t>
      </w:r>
    </w:p>
    <w:p w14:paraId="39C227C0" w14:textId="7676382B" w:rsidR="0059147E" w:rsidRPr="002D2E23" w:rsidRDefault="0059147E" w:rsidP="006638D1">
      <w:pPr>
        <w:pStyle w:val="Heading1"/>
        <w:rPr>
          <w:b w:val="0"/>
          <w:lang w:val="es-ES"/>
        </w:rPr>
      </w:pPr>
      <w:r w:rsidRPr="002D2E23">
        <w:rPr>
          <w:lang w:val="es-ES"/>
        </w:rPr>
        <w:t>2</w:t>
      </w:r>
      <w:r w:rsidRPr="002D2E23">
        <w:rPr>
          <w:lang w:val="es-ES"/>
        </w:rPr>
        <w:tab/>
      </w:r>
      <w:r w:rsidRPr="00E51B05">
        <w:rPr>
          <w:lang w:val="es-ES"/>
        </w:rPr>
        <w:t>Estructura</w:t>
      </w:r>
      <w:r w:rsidRPr="002D2E23">
        <w:rPr>
          <w:lang w:val="es-ES"/>
        </w:rPr>
        <w:t xml:space="preserve"> de la Agenda </w:t>
      </w:r>
      <w:r w:rsidR="006638D1">
        <w:rPr>
          <w:lang w:val="es-ES"/>
        </w:rPr>
        <w:t>"</w:t>
      </w:r>
      <w:r w:rsidRPr="002D2E23">
        <w:rPr>
          <w:lang w:val="es-ES"/>
        </w:rPr>
        <w:t>Espacio2030</w:t>
      </w:r>
      <w:r w:rsidR="006638D1">
        <w:rPr>
          <w:lang w:val="es-ES"/>
        </w:rPr>
        <w:t>"</w:t>
      </w:r>
    </w:p>
    <w:p w14:paraId="687BBD2D" w14:textId="77777777" w:rsidR="0059147E" w:rsidRPr="000321F2" w:rsidRDefault="0059147E" w:rsidP="006638D1">
      <w:pPr>
        <w:rPr>
          <w:rFonts w:asciiTheme="minorHAnsi" w:hAnsiTheme="minorHAnsi" w:cstheme="minorHAnsi"/>
          <w:szCs w:val="24"/>
          <w:lang w:val="es-ES"/>
        </w:rPr>
      </w:pPr>
      <w:r w:rsidRPr="000321F2">
        <w:rPr>
          <w:lang w:val="es-ES"/>
        </w:rPr>
        <w:t>Los cuatro objetivos generales de la Agenda "se estructuran en torno a los cuatro pilares de la economía espacial, la sociedad espacial, la accesibilidad espacial y la diplomacia espacial. Esos cuatro pilares son complementarios y se refuerzan mutuamente". (Véase el § 19 de la Agenda)</w:t>
      </w:r>
      <w:r w:rsidRPr="000321F2">
        <w:rPr>
          <w:rFonts w:asciiTheme="minorHAnsi" w:hAnsiTheme="minorHAnsi" w:cstheme="minorHAnsi"/>
          <w:szCs w:val="24"/>
          <w:lang w:val="es-ES"/>
        </w:rPr>
        <w:t>:</w:t>
      </w:r>
    </w:p>
    <w:p w14:paraId="6E154BAD" w14:textId="77777777" w:rsidR="0059147E" w:rsidRPr="000321F2" w:rsidRDefault="0059147E" w:rsidP="0059147E">
      <w:pPr>
        <w:pStyle w:val="enumlev1"/>
        <w:rPr>
          <w:lang w:val="es-ES"/>
        </w:rPr>
      </w:pPr>
      <w:r w:rsidRPr="000321F2">
        <w:rPr>
          <w:lang w:val="es-ES"/>
        </w:rPr>
        <w:t>•</w:t>
      </w:r>
      <w:r w:rsidRPr="000321F2">
        <w:rPr>
          <w:lang w:val="es-ES"/>
        </w:rPr>
        <w:tab/>
        <w:t>Objetivo general 1: Aumentar los beneficios económicos derivados del espacio y reforzar el papel del sector espacial como motor importante del desarrollo sostenible (esta parte contiene 8 objetivos específicos).</w:t>
      </w:r>
    </w:p>
    <w:p w14:paraId="42050E01" w14:textId="77777777" w:rsidR="0059147E" w:rsidRPr="000321F2" w:rsidRDefault="0059147E" w:rsidP="0059147E">
      <w:pPr>
        <w:pStyle w:val="enumlev1"/>
        <w:rPr>
          <w:lang w:val="es-ES"/>
        </w:rPr>
      </w:pPr>
      <w:r w:rsidRPr="000321F2">
        <w:rPr>
          <w:lang w:val="es-ES"/>
        </w:rPr>
        <w:t>•</w:t>
      </w:r>
      <w:r w:rsidRPr="000321F2">
        <w:rPr>
          <w:lang w:val="es-ES"/>
        </w:rPr>
        <w:tab/>
        <w:t>Objetivo general 2: Utilizar el potencial del espacio para resolver los problemas cotidianos y aprovechar las innovaciones relacionadas con el espacio para mejorar la calidad de vida (esta parte contiene 8 objetivos).</w:t>
      </w:r>
    </w:p>
    <w:p w14:paraId="56F71467" w14:textId="64A866C8" w:rsidR="0059147E" w:rsidRPr="000321F2" w:rsidRDefault="0059147E" w:rsidP="0059147E">
      <w:pPr>
        <w:pStyle w:val="enumlev1"/>
        <w:rPr>
          <w:lang w:val="es-ES"/>
        </w:rPr>
      </w:pPr>
      <w:r w:rsidRPr="000321F2">
        <w:rPr>
          <w:lang w:val="es-ES"/>
        </w:rPr>
        <w:t>•</w:t>
      </w:r>
      <w:r w:rsidRPr="000321F2">
        <w:rPr>
          <w:lang w:val="es-ES"/>
        </w:rPr>
        <w:tab/>
        <w:t xml:space="preserve">Objetivo general 3: Aumentar el acceso al espacio para todos y garantizar que todos los países puedan beneficiarse socioeconómicamente de las aplicaciones de la ciencia y la tecnología espaciales, y de los datos, la información y los productos basados en el espacio, contribuyendo con ello al logro de los Objetivos de Desarrollo Sostenible (esta parte contiene 10 objetivos y se destaca en el </w:t>
      </w:r>
      <w:r w:rsidRPr="000321F2">
        <w:rPr>
          <w:i/>
          <w:iCs/>
          <w:lang w:val="es-ES"/>
        </w:rPr>
        <w:t>resuelve 1</w:t>
      </w:r>
      <w:r w:rsidRPr="000321F2">
        <w:rPr>
          <w:lang w:val="es-ES"/>
        </w:rPr>
        <w:t xml:space="preserve"> de la Resolución 218</w:t>
      </w:r>
      <w:r w:rsidR="006638D1">
        <w:rPr>
          <w:lang w:val="es-ES"/>
        </w:rPr>
        <w:t> </w:t>
      </w:r>
      <w:r w:rsidRPr="000321F2">
        <w:rPr>
          <w:lang w:val="es-ES"/>
        </w:rPr>
        <w:t xml:space="preserve">(Bucarest, 2022)). </w:t>
      </w:r>
    </w:p>
    <w:p w14:paraId="5FD69DAA" w14:textId="77777777" w:rsidR="0059147E" w:rsidRPr="000321F2" w:rsidRDefault="0059147E" w:rsidP="0059147E">
      <w:pPr>
        <w:pStyle w:val="enumlev1"/>
        <w:rPr>
          <w:lang w:val="es-ES"/>
        </w:rPr>
      </w:pPr>
      <w:r w:rsidRPr="000321F2">
        <w:rPr>
          <w:lang w:val="es-ES"/>
        </w:rPr>
        <w:t>•</w:t>
      </w:r>
      <w:r w:rsidRPr="000321F2">
        <w:rPr>
          <w:lang w:val="es-ES"/>
        </w:rPr>
        <w:tab/>
        <w:t xml:space="preserve">Objetivo general 4: Establecer alianzas y fortalecer la cooperación internacional para la utilización del espacio ultraterrestre con fines pacíficos y para la gobernanza global de las actividades en el espacio ultraterrestre (esta parte contiene 10 objetivos y se menciona en el </w:t>
      </w:r>
      <w:r w:rsidRPr="000321F2">
        <w:rPr>
          <w:i/>
          <w:iCs/>
          <w:lang w:val="es-ES"/>
        </w:rPr>
        <w:t>recordando c)</w:t>
      </w:r>
      <w:r w:rsidRPr="000321F2">
        <w:rPr>
          <w:lang w:val="es-ES"/>
        </w:rPr>
        <w:t xml:space="preserve"> de la Resolución 218 (Bucarest, 2022)).</w:t>
      </w:r>
    </w:p>
    <w:p w14:paraId="476B7253" w14:textId="2EDCD900" w:rsidR="0059147E" w:rsidRPr="000321F2" w:rsidRDefault="0059147E" w:rsidP="006638D1">
      <w:pPr>
        <w:pStyle w:val="Heading1"/>
        <w:rPr>
          <w:b w:val="0"/>
          <w:lang w:val="es-ES"/>
        </w:rPr>
      </w:pPr>
      <w:r w:rsidRPr="000321F2">
        <w:rPr>
          <w:lang w:val="es-ES"/>
        </w:rPr>
        <w:lastRenderedPageBreak/>
        <w:t>3</w:t>
      </w:r>
      <w:r w:rsidRPr="000321F2">
        <w:rPr>
          <w:lang w:val="es-ES"/>
        </w:rPr>
        <w:tab/>
      </w:r>
      <w:r w:rsidRPr="00E51B05">
        <w:rPr>
          <w:lang w:val="es-ES"/>
        </w:rPr>
        <w:t>Contribución</w:t>
      </w:r>
      <w:r w:rsidRPr="000321F2">
        <w:rPr>
          <w:lang w:val="es-ES"/>
        </w:rPr>
        <w:t xml:space="preserve"> de las </w:t>
      </w:r>
      <w:r w:rsidRPr="006638D1">
        <w:t>prioridades</w:t>
      </w:r>
      <w:r w:rsidRPr="000321F2">
        <w:rPr>
          <w:lang w:val="es-ES"/>
        </w:rPr>
        <w:t xml:space="preserve"> temáticas de la UIT </w:t>
      </w:r>
      <w:r>
        <w:rPr>
          <w:lang w:val="es-ES"/>
        </w:rPr>
        <w:t xml:space="preserve">en la ejecución de la Agenda </w:t>
      </w:r>
      <w:r w:rsidR="006638D1">
        <w:rPr>
          <w:lang w:val="es-ES"/>
        </w:rPr>
        <w:t>"</w:t>
      </w:r>
      <w:r>
        <w:rPr>
          <w:lang w:val="es-ES"/>
        </w:rPr>
        <w:t>Espacio2030</w:t>
      </w:r>
      <w:r w:rsidR="006638D1">
        <w:rPr>
          <w:lang w:val="es-ES"/>
        </w:rPr>
        <w:t>"</w:t>
      </w:r>
    </w:p>
    <w:p w14:paraId="000DC5C1" w14:textId="573FC467" w:rsidR="0059147E" w:rsidRPr="000321F2" w:rsidRDefault="0059147E" w:rsidP="006638D1">
      <w:pPr>
        <w:rPr>
          <w:rFonts w:asciiTheme="minorHAnsi" w:hAnsiTheme="minorHAnsi" w:cstheme="minorHAnsi"/>
          <w:szCs w:val="24"/>
          <w:lang w:val="es-ES"/>
        </w:rPr>
      </w:pPr>
      <w:r w:rsidRPr="000321F2">
        <w:rPr>
          <w:lang w:val="es-ES"/>
        </w:rPr>
        <w:t>Las actividades de la UIT relacionadas con el espacio contribuyen a la mayoría de los 36</w:t>
      </w:r>
      <w:r w:rsidR="006638D1">
        <w:rPr>
          <w:lang w:val="es-ES"/>
        </w:rPr>
        <w:t> </w:t>
      </w:r>
      <w:r w:rsidRPr="000321F2">
        <w:rPr>
          <w:lang w:val="es-ES"/>
        </w:rPr>
        <w:t>objetivos de la Agenda "Espacio2030" a través de las cinco prioridades temáticas descritas en la sección 2.6 del Anexo 1 del Plan Estratégico de la Unión para 2024-2027, contenido en la Resolución 71 (Rev. Bucarest, 2022)</w:t>
      </w:r>
      <w:r w:rsidRPr="000321F2">
        <w:rPr>
          <w:rFonts w:asciiTheme="minorHAnsi" w:hAnsiTheme="minorHAnsi" w:cstheme="minorHAnsi"/>
          <w:szCs w:val="24"/>
          <w:lang w:val="es-ES"/>
        </w:rPr>
        <w:t xml:space="preserve">. </w:t>
      </w:r>
    </w:p>
    <w:p w14:paraId="2B682A4C" w14:textId="77777777" w:rsidR="0059147E" w:rsidRPr="000321F2" w:rsidRDefault="0059147E" w:rsidP="006638D1">
      <w:pPr>
        <w:pStyle w:val="Heading2"/>
        <w:rPr>
          <w:lang w:val="es-ES"/>
        </w:rPr>
      </w:pPr>
      <w:r w:rsidRPr="000321F2">
        <w:rPr>
          <w:lang w:val="es-ES"/>
        </w:rPr>
        <w:t>3.1</w:t>
      </w:r>
      <w:r w:rsidRPr="000321F2">
        <w:rPr>
          <w:lang w:val="es-ES"/>
        </w:rPr>
        <w:tab/>
        <w:t>Prioridad temática 1 – Utilización de</w:t>
      </w:r>
      <w:r>
        <w:rPr>
          <w:lang w:val="es-ES"/>
        </w:rPr>
        <w:t>l espectro para los servicios terrenales y espaciales</w:t>
      </w:r>
    </w:p>
    <w:p w14:paraId="562B6D64" w14:textId="77777777" w:rsidR="0059147E" w:rsidRPr="000321F2" w:rsidRDefault="0059147E" w:rsidP="006638D1">
      <w:pPr>
        <w:rPr>
          <w:rFonts w:asciiTheme="minorHAnsi" w:hAnsiTheme="minorHAnsi" w:cstheme="minorHAnsi"/>
          <w:szCs w:val="24"/>
          <w:lang w:val="es-ES"/>
        </w:rPr>
      </w:pPr>
      <w:r>
        <w:rPr>
          <w:lang w:val="es-ES"/>
        </w:rPr>
        <w:t>E</w:t>
      </w:r>
      <w:r w:rsidRPr="000321F2">
        <w:rPr>
          <w:lang w:val="es-ES"/>
        </w:rPr>
        <w:t>n el contexto de los servicios espaciales, esta prioridad temática tiene por objeto mejorar la utilización del espectro/los recursos en órbita por los servicios de radiocomunicaciones y, a su vez, coordinar las actividades encaminadas a evitar y resolver las interferencias perjudiciales entre las estaciones espaciales y las estaciones terrenas de los Estados Miembros de la UIT, garantizando así un entorno con interferencias controladas para el funcionamiento de los sistemas espaciales basados en la utilización de radiofrecuencias</w:t>
      </w:r>
      <w:r w:rsidRPr="000321F2">
        <w:rPr>
          <w:rFonts w:asciiTheme="minorHAnsi" w:hAnsiTheme="minorHAnsi" w:cstheme="minorHAnsi"/>
          <w:szCs w:val="24"/>
          <w:lang w:val="es-ES"/>
        </w:rPr>
        <w:t xml:space="preserve">. </w:t>
      </w:r>
    </w:p>
    <w:p w14:paraId="5B107D41" w14:textId="3BCB1B64" w:rsidR="0059147E" w:rsidRPr="000321F2" w:rsidRDefault="0059147E" w:rsidP="006638D1">
      <w:pPr>
        <w:rPr>
          <w:lang w:val="es-ES"/>
        </w:rPr>
      </w:pPr>
      <w:r w:rsidRPr="000321F2">
        <w:rPr>
          <w:lang w:val="es-ES"/>
        </w:rPr>
        <w:t xml:space="preserve">En el marco de esta prioridad temática, la mayoría de las actividades emprendidas en 2023 estaban relacionadas con los objetivos 1.5, </w:t>
      </w:r>
      <w:r w:rsidR="006638D1">
        <w:rPr>
          <w:lang w:val="es-ES"/>
        </w:rPr>
        <w:t>"</w:t>
      </w:r>
      <w:r w:rsidRPr="000321F2">
        <w:rPr>
          <w:lang w:val="es-ES"/>
        </w:rPr>
        <w:t xml:space="preserve">Posibilitar las actividades espaciales para todos, de conformidad con el derecho </w:t>
      </w:r>
      <w:r w:rsidRPr="006638D1">
        <w:rPr>
          <w:lang w:val="es-ES"/>
        </w:rPr>
        <w:t>internacional</w:t>
      </w:r>
      <w:r w:rsidRPr="000321F2">
        <w:rPr>
          <w:lang w:val="es-ES"/>
        </w:rPr>
        <w:t xml:space="preserve">, promoviendo un marco internacional que facilite la igualdad de acceso al espacio para todos, incluidos los </w:t>
      </w:r>
      <w:r w:rsidRPr="006638D1">
        <w:rPr>
          <w:lang w:val="es-ES"/>
        </w:rPr>
        <w:t>países</w:t>
      </w:r>
      <w:r>
        <w:rPr>
          <w:lang w:val="es-ES"/>
        </w:rPr>
        <w:t xml:space="preserve"> sin capacidad espacial, y fomente la seguridad y la </w:t>
      </w:r>
      <w:r w:rsidRPr="006638D1">
        <w:rPr>
          <w:lang w:val="es-ES"/>
        </w:rPr>
        <w:t>innovación</w:t>
      </w:r>
      <w:r w:rsidR="006638D1">
        <w:rPr>
          <w:lang w:val="es-ES"/>
        </w:rPr>
        <w:t>"</w:t>
      </w:r>
      <w:r>
        <w:rPr>
          <w:lang w:val="es-ES"/>
        </w:rPr>
        <w:t xml:space="preserve">, y 3.6, </w:t>
      </w:r>
      <w:r w:rsidR="006638D1">
        <w:rPr>
          <w:lang w:val="es-ES"/>
        </w:rPr>
        <w:t>"</w:t>
      </w:r>
      <w:r>
        <w:rPr>
          <w:lang w:val="es-ES"/>
        </w:rPr>
        <w:t>Promover y apoyar la utilización de las tecnologías espaciales para mejorar el acceso a los datos y las tecnologías de banda ancha en todo el mundo, prestando especial atención a los países en desarrollo y a las zonas con infraestructuras menos desarrolladas</w:t>
      </w:r>
      <w:r w:rsidR="006638D1">
        <w:rPr>
          <w:lang w:val="es-ES"/>
        </w:rPr>
        <w:t>"</w:t>
      </w:r>
      <w:r>
        <w:rPr>
          <w:lang w:val="es-ES"/>
        </w:rPr>
        <w:t xml:space="preserve">, de la Agenda </w:t>
      </w:r>
      <w:r w:rsidR="006638D1">
        <w:rPr>
          <w:lang w:val="es-ES"/>
        </w:rPr>
        <w:t>"</w:t>
      </w:r>
      <w:r>
        <w:rPr>
          <w:lang w:val="es-ES"/>
        </w:rPr>
        <w:t>Espacio2030</w:t>
      </w:r>
      <w:r w:rsidR="006638D1">
        <w:rPr>
          <w:lang w:val="es-ES"/>
        </w:rPr>
        <w:t>"</w:t>
      </w:r>
      <w:r w:rsidRPr="000321F2">
        <w:rPr>
          <w:lang w:val="es-ES"/>
        </w:rPr>
        <w:t xml:space="preserve">: </w:t>
      </w:r>
    </w:p>
    <w:p w14:paraId="22A1FDFB" w14:textId="322DB79B" w:rsidR="0059147E" w:rsidRPr="004642F1" w:rsidRDefault="006638D1" w:rsidP="006638D1">
      <w:pPr>
        <w:pStyle w:val="enumlev1"/>
        <w:rPr>
          <w:lang w:val="es-ES"/>
        </w:rPr>
      </w:pPr>
      <w:r>
        <w:rPr>
          <w:lang w:val="es-ES"/>
        </w:rPr>
        <w:sym w:font="Symbol" w:char="F0B7"/>
      </w:r>
      <w:r>
        <w:rPr>
          <w:lang w:val="es-ES"/>
        </w:rPr>
        <w:tab/>
      </w:r>
      <w:r w:rsidR="0059147E" w:rsidRPr="004642F1">
        <w:rPr>
          <w:lang w:val="es-ES"/>
        </w:rPr>
        <w:t xml:space="preserve">Además de la aplicar de la Resolución </w:t>
      </w:r>
      <w:r w:rsidR="0059147E" w:rsidRPr="004642F1">
        <w:rPr>
          <w:b/>
          <w:bCs/>
          <w:lang w:val="es-ES"/>
        </w:rPr>
        <w:t>559</w:t>
      </w:r>
      <w:r w:rsidR="0059147E" w:rsidRPr="004642F1">
        <w:rPr>
          <w:lang w:val="es-ES"/>
        </w:rPr>
        <w:t xml:space="preserve"> </w:t>
      </w:r>
      <w:r w:rsidR="0059147E" w:rsidRPr="004642F1">
        <w:rPr>
          <w:b/>
          <w:bCs/>
          <w:lang w:val="es-ES"/>
        </w:rPr>
        <w:t>(CMR-19)</w:t>
      </w:r>
      <w:r w:rsidR="0059147E" w:rsidRPr="004642F1">
        <w:rPr>
          <w:lang w:val="es-ES"/>
        </w:rPr>
        <w:t xml:space="preserve"> y de solic</w:t>
      </w:r>
      <w:r w:rsidR="0059147E">
        <w:rPr>
          <w:lang w:val="es-ES"/>
        </w:rPr>
        <w:t>itar la</w:t>
      </w:r>
      <w:r w:rsidR="0059147E" w:rsidRPr="004642F1">
        <w:rPr>
          <w:lang w:val="es-ES"/>
        </w:rPr>
        <w:t xml:space="preserve"> asistencia a siete Estados Miembros para que obtengan sus propias adjudicaciones en el Plan del SFS (Anexo 1), la CMR-23</w:t>
      </w:r>
      <w:r w:rsidR="0059147E">
        <w:rPr>
          <w:lang w:val="es-ES"/>
        </w:rPr>
        <w:t xml:space="preserve"> modificó el Artículo 7 del Apéndice</w:t>
      </w:r>
      <w:r w:rsidR="0059147E" w:rsidRPr="004642F1">
        <w:rPr>
          <w:lang w:val="es-ES"/>
        </w:rPr>
        <w:t xml:space="preserve"> </w:t>
      </w:r>
      <w:r w:rsidR="0059147E" w:rsidRPr="004642F1">
        <w:rPr>
          <w:b/>
          <w:bCs/>
          <w:lang w:val="es-ES"/>
        </w:rPr>
        <w:t>30B</w:t>
      </w:r>
      <w:r w:rsidR="0059147E" w:rsidRPr="004642F1">
        <w:rPr>
          <w:lang w:val="es-ES"/>
        </w:rPr>
        <w:t xml:space="preserve"> </w:t>
      </w:r>
      <w:r w:rsidR="0059147E">
        <w:rPr>
          <w:lang w:val="es-ES"/>
        </w:rPr>
        <w:t>para facilitar que los nuevos Estados Miembros obtengan adjudicaciones en el futuro</w:t>
      </w:r>
      <w:r w:rsidR="0059147E" w:rsidRPr="004642F1">
        <w:rPr>
          <w:lang w:val="es-ES"/>
        </w:rPr>
        <w:t>.</w:t>
      </w:r>
    </w:p>
    <w:p w14:paraId="3B995815" w14:textId="5EC6EADA" w:rsidR="0059147E" w:rsidRPr="004642F1" w:rsidRDefault="006638D1" w:rsidP="006638D1">
      <w:pPr>
        <w:pStyle w:val="enumlev1"/>
        <w:rPr>
          <w:rFonts w:asciiTheme="minorHAnsi" w:hAnsiTheme="minorHAnsi" w:cstheme="minorHAnsi"/>
          <w:szCs w:val="28"/>
          <w:lang w:val="es-ES"/>
        </w:rPr>
      </w:pPr>
      <w:r>
        <w:rPr>
          <w:lang w:val="es-ES"/>
        </w:rPr>
        <w:sym w:font="Symbol" w:char="F0B7"/>
      </w:r>
      <w:r>
        <w:rPr>
          <w:lang w:val="es-ES"/>
        </w:rPr>
        <w:tab/>
      </w:r>
      <w:r w:rsidR="0059147E" w:rsidRPr="004642F1">
        <w:rPr>
          <w:rFonts w:asciiTheme="minorHAnsi" w:hAnsiTheme="minorHAnsi" w:cstheme="minorHAnsi"/>
          <w:szCs w:val="28"/>
          <w:lang w:val="es-ES"/>
        </w:rPr>
        <w:t>La UIT prestó asistencia a varios Estados Miembros para completar el proceso reglament</w:t>
      </w:r>
      <w:r w:rsidR="0059147E">
        <w:rPr>
          <w:rFonts w:asciiTheme="minorHAnsi" w:hAnsiTheme="minorHAnsi" w:cstheme="minorHAnsi"/>
          <w:szCs w:val="28"/>
          <w:lang w:val="es-ES"/>
        </w:rPr>
        <w:t>a</w:t>
      </w:r>
      <w:r w:rsidR="0059147E" w:rsidRPr="004642F1">
        <w:rPr>
          <w:rFonts w:asciiTheme="minorHAnsi" w:hAnsiTheme="minorHAnsi" w:cstheme="minorHAnsi"/>
          <w:szCs w:val="28"/>
          <w:lang w:val="es-ES"/>
        </w:rPr>
        <w:t xml:space="preserve">rio de coordinación y notificación de las redes de satélites de </w:t>
      </w:r>
      <w:r w:rsidR="0059147E">
        <w:rPr>
          <w:rFonts w:asciiTheme="minorHAnsi" w:hAnsiTheme="minorHAnsi" w:cstheme="minorHAnsi"/>
          <w:szCs w:val="28"/>
          <w:lang w:val="es-ES"/>
        </w:rPr>
        <w:t>servicios no planificados a fin de que puedan iniciar con éxito sus operaciones</w:t>
      </w:r>
      <w:r w:rsidR="0059147E" w:rsidRPr="004642F1">
        <w:rPr>
          <w:rFonts w:asciiTheme="minorHAnsi" w:hAnsiTheme="minorHAnsi" w:cstheme="minorHAnsi"/>
          <w:szCs w:val="28"/>
          <w:lang w:val="es-ES"/>
        </w:rPr>
        <w:t>.</w:t>
      </w:r>
    </w:p>
    <w:p w14:paraId="04D4E590" w14:textId="102C8ED5" w:rsidR="0059147E" w:rsidRPr="004642F1" w:rsidRDefault="006638D1" w:rsidP="006638D1">
      <w:pPr>
        <w:pStyle w:val="enumlev1"/>
        <w:rPr>
          <w:rFonts w:asciiTheme="minorHAnsi" w:hAnsiTheme="minorHAnsi" w:cstheme="minorHAnsi"/>
          <w:szCs w:val="28"/>
          <w:lang w:val="es-ES"/>
        </w:rPr>
      </w:pPr>
      <w:r>
        <w:rPr>
          <w:lang w:val="es-ES"/>
        </w:rPr>
        <w:sym w:font="Symbol" w:char="F0B7"/>
      </w:r>
      <w:r>
        <w:rPr>
          <w:lang w:val="es-ES"/>
        </w:rPr>
        <w:tab/>
      </w:r>
      <w:r w:rsidR="0059147E" w:rsidRPr="004642F1">
        <w:rPr>
          <w:rFonts w:asciiTheme="minorHAnsi" w:hAnsiTheme="minorHAnsi" w:cstheme="minorHAnsi"/>
          <w:szCs w:val="28"/>
          <w:lang w:val="es-ES"/>
        </w:rPr>
        <w:t xml:space="preserve">La </w:t>
      </w:r>
      <w:r w:rsidR="0059147E" w:rsidRPr="006638D1">
        <w:rPr>
          <w:lang w:val="es-ES"/>
        </w:rPr>
        <w:t>UIT</w:t>
      </w:r>
      <w:r w:rsidR="0059147E" w:rsidRPr="004642F1">
        <w:rPr>
          <w:rFonts w:asciiTheme="minorHAnsi" w:hAnsiTheme="minorHAnsi" w:cstheme="minorHAnsi"/>
          <w:szCs w:val="28"/>
          <w:lang w:val="es-ES"/>
        </w:rPr>
        <w:t xml:space="preserve"> prestó asistencia a administraciones y operadores de satélite a fin de resolver los </w:t>
      </w:r>
      <w:r w:rsidR="0059147E">
        <w:rPr>
          <w:rFonts w:asciiTheme="minorHAnsi" w:hAnsiTheme="minorHAnsi" w:cstheme="minorHAnsi"/>
          <w:szCs w:val="28"/>
          <w:lang w:val="es-ES"/>
        </w:rPr>
        <w:t>casos de interferencia perjudicial que impedían el funcionamiento normal</w:t>
      </w:r>
      <w:r w:rsidR="0059147E" w:rsidRPr="004642F1">
        <w:rPr>
          <w:rFonts w:asciiTheme="minorHAnsi" w:hAnsiTheme="minorHAnsi" w:cstheme="minorHAnsi"/>
          <w:szCs w:val="28"/>
          <w:lang w:val="es-ES"/>
        </w:rPr>
        <w:t>.</w:t>
      </w:r>
    </w:p>
    <w:p w14:paraId="7677872C" w14:textId="1870287F" w:rsidR="0059147E" w:rsidRPr="004642F1" w:rsidRDefault="006638D1" w:rsidP="006638D1">
      <w:pPr>
        <w:pStyle w:val="enumlev1"/>
        <w:rPr>
          <w:rFonts w:asciiTheme="minorHAnsi" w:hAnsiTheme="minorHAnsi" w:cstheme="minorHAnsi"/>
          <w:szCs w:val="24"/>
          <w:lang w:val="es-ES"/>
        </w:rPr>
      </w:pPr>
      <w:r>
        <w:rPr>
          <w:lang w:val="es-ES"/>
        </w:rPr>
        <w:sym w:font="Symbol" w:char="F0B7"/>
      </w:r>
      <w:r>
        <w:rPr>
          <w:lang w:val="es-ES"/>
        </w:rPr>
        <w:tab/>
      </w:r>
      <w:r w:rsidR="0059147E" w:rsidRPr="002D2E23">
        <w:rPr>
          <w:rFonts w:asciiTheme="minorHAnsi" w:hAnsiTheme="minorHAnsi" w:cstheme="minorHAnsi"/>
          <w:szCs w:val="28"/>
          <w:lang w:val="es-ES"/>
        </w:rPr>
        <w:t xml:space="preserve">Un </w:t>
      </w:r>
      <w:r w:rsidR="0059147E" w:rsidRPr="006638D1">
        <w:rPr>
          <w:lang w:val="es-ES"/>
        </w:rPr>
        <w:t>gran</w:t>
      </w:r>
      <w:r w:rsidR="0059147E" w:rsidRPr="002D2E23">
        <w:rPr>
          <w:rFonts w:asciiTheme="minorHAnsi" w:hAnsiTheme="minorHAnsi" w:cstheme="minorHAnsi"/>
          <w:szCs w:val="28"/>
          <w:lang w:val="es-ES"/>
        </w:rPr>
        <w:t xml:space="preserve"> número de administraciones han notificado redes de satélites para servicios no planificados. </w:t>
      </w:r>
      <w:r w:rsidR="0059147E" w:rsidRPr="004642F1">
        <w:rPr>
          <w:rFonts w:asciiTheme="minorHAnsi" w:hAnsiTheme="minorHAnsi" w:cstheme="minorHAnsi"/>
          <w:szCs w:val="28"/>
          <w:lang w:val="es-ES"/>
        </w:rPr>
        <w:t>En el momento de preparar este Informe, 116 de los</w:t>
      </w:r>
      <w:r w:rsidR="0059147E" w:rsidRPr="004642F1">
        <w:rPr>
          <w:rFonts w:asciiTheme="minorHAnsi" w:hAnsiTheme="minorHAnsi" w:cstheme="minorHAnsi"/>
          <w:szCs w:val="24"/>
          <w:lang w:val="es-ES"/>
        </w:rPr>
        <w:t xml:space="preserve"> 193 Estados</w:t>
      </w:r>
      <w:r w:rsidR="0059147E">
        <w:rPr>
          <w:rFonts w:asciiTheme="minorHAnsi" w:hAnsiTheme="minorHAnsi" w:cstheme="minorHAnsi"/>
          <w:szCs w:val="24"/>
          <w:lang w:val="es-ES"/>
        </w:rPr>
        <w:t xml:space="preserve"> Miembros de la UIT habían presentado notificaciones de satélites a la UIT. </w:t>
      </w:r>
      <w:r w:rsidR="0059147E" w:rsidRPr="004642F1">
        <w:rPr>
          <w:rFonts w:asciiTheme="minorHAnsi" w:hAnsiTheme="minorHAnsi" w:cstheme="minorHAnsi"/>
          <w:szCs w:val="24"/>
          <w:lang w:val="es-ES"/>
        </w:rPr>
        <w:t xml:space="preserve">En 2023 se </w:t>
      </w:r>
      <w:r w:rsidR="0059147E" w:rsidRPr="006638D1">
        <w:rPr>
          <w:lang w:val="es-ES"/>
        </w:rPr>
        <w:t>batió</w:t>
      </w:r>
      <w:r w:rsidR="0059147E" w:rsidRPr="004642F1">
        <w:rPr>
          <w:rFonts w:asciiTheme="minorHAnsi" w:hAnsiTheme="minorHAnsi" w:cstheme="minorHAnsi"/>
          <w:szCs w:val="24"/>
          <w:lang w:val="es-ES"/>
        </w:rPr>
        <w:t xml:space="preserve"> el récord de informaciones de publicación anticipada (464 en total), recibidas de 48 a</w:t>
      </w:r>
      <w:r w:rsidR="0059147E">
        <w:rPr>
          <w:rFonts w:asciiTheme="minorHAnsi" w:hAnsiTheme="minorHAnsi" w:cstheme="minorHAnsi"/>
          <w:szCs w:val="24"/>
          <w:lang w:val="es-ES"/>
        </w:rPr>
        <w:t>dministraciones; se recibieron</w:t>
      </w:r>
      <w:r w:rsidR="0059147E" w:rsidRPr="004642F1">
        <w:rPr>
          <w:rFonts w:asciiTheme="minorHAnsi" w:hAnsiTheme="minorHAnsi" w:cstheme="minorHAnsi"/>
          <w:szCs w:val="24"/>
          <w:lang w:val="es-ES"/>
        </w:rPr>
        <w:t xml:space="preserve"> 248 </w:t>
      </w:r>
      <w:r w:rsidR="0059147E">
        <w:rPr>
          <w:rFonts w:asciiTheme="minorHAnsi" w:hAnsiTheme="minorHAnsi" w:cstheme="minorHAnsi"/>
          <w:szCs w:val="24"/>
          <w:lang w:val="es-ES"/>
        </w:rPr>
        <w:t>solicitudes de coordinación de</w:t>
      </w:r>
      <w:r w:rsidR="0059147E" w:rsidRPr="004642F1">
        <w:rPr>
          <w:rFonts w:asciiTheme="minorHAnsi" w:hAnsiTheme="minorHAnsi" w:cstheme="minorHAnsi"/>
          <w:szCs w:val="24"/>
          <w:lang w:val="es-ES"/>
        </w:rPr>
        <w:t xml:space="preserve"> 38 </w:t>
      </w:r>
      <w:r w:rsidR="0059147E">
        <w:rPr>
          <w:rFonts w:asciiTheme="minorHAnsi" w:hAnsiTheme="minorHAnsi" w:cstheme="minorHAnsi"/>
          <w:szCs w:val="24"/>
          <w:lang w:val="es-ES"/>
        </w:rPr>
        <w:t xml:space="preserve">administraciones y 129 notificaciones de 32 administraciones. </w:t>
      </w:r>
      <w:r w:rsidR="0059147E" w:rsidRPr="004642F1">
        <w:rPr>
          <w:rFonts w:asciiTheme="minorHAnsi" w:hAnsiTheme="minorHAnsi" w:cstheme="minorHAnsi"/>
          <w:szCs w:val="24"/>
          <w:lang w:val="es-ES"/>
        </w:rPr>
        <w:t>Totalizando todos los procedimientos, se recibieron en 2023 notificaci</w:t>
      </w:r>
      <w:r w:rsidR="0059147E">
        <w:rPr>
          <w:rFonts w:asciiTheme="minorHAnsi" w:hAnsiTheme="minorHAnsi" w:cstheme="minorHAnsi"/>
          <w:szCs w:val="24"/>
          <w:lang w:val="es-ES"/>
        </w:rPr>
        <w:t>ones de satélites de un total de 60 administraciones</w:t>
      </w:r>
      <w:r w:rsidR="0059147E" w:rsidRPr="004642F1">
        <w:rPr>
          <w:rFonts w:asciiTheme="minorHAnsi" w:hAnsiTheme="minorHAnsi" w:cstheme="minorHAnsi"/>
          <w:szCs w:val="24"/>
          <w:lang w:val="es-ES"/>
        </w:rPr>
        <w:t>.</w:t>
      </w:r>
    </w:p>
    <w:p w14:paraId="62899639" w14:textId="3B65BA40" w:rsidR="0059147E" w:rsidRPr="000D7797" w:rsidRDefault="006638D1" w:rsidP="006638D1">
      <w:pPr>
        <w:pStyle w:val="enumlev1"/>
        <w:rPr>
          <w:rFonts w:asciiTheme="minorHAnsi" w:hAnsiTheme="minorHAnsi" w:cstheme="minorHAnsi"/>
          <w:szCs w:val="24"/>
          <w:lang w:val="es-ES"/>
        </w:rPr>
      </w:pPr>
      <w:r>
        <w:rPr>
          <w:lang w:val="es-ES"/>
        </w:rPr>
        <w:sym w:font="Symbol" w:char="F0B7"/>
      </w:r>
      <w:r>
        <w:rPr>
          <w:lang w:val="es-ES"/>
        </w:rPr>
        <w:tab/>
      </w:r>
      <w:r w:rsidR="0059147E" w:rsidRPr="004642F1">
        <w:rPr>
          <w:rFonts w:asciiTheme="minorHAnsi" w:hAnsiTheme="minorHAnsi" w:cstheme="minorHAnsi"/>
          <w:szCs w:val="28"/>
          <w:lang w:val="es-ES"/>
        </w:rPr>
        <w:t xml:space="preserve">Para </w:t>
      </w:r>
      <w:r w:rsidR="0059147E" w:rsidRPr="006638D1">
        <w:rPr>
          <w:lang w:val="es-ES"/>
        </w:rPr>
        <w:t>colmar</w:t>
      </w:r>
      <w:r w:rsidR="0059147E" w:rsidRPr="004642F1">
        <w:rPr>
          <w:rFonts w:asciiTheme="minorHAnsi" w:hAnsiTheme="minorHAnsi" w:cstheme="minorHAnsi"/>
          <w:szCs w:val="28"/>
          <w:lang w:val="es-ES"/>
        </w:rPr>
        <w:t xml:space="preserve"> las crecientes necesidades de la industria el UIT-R preparó el </w:t>
      </w:r>
      <w:hyperlink r:id="rId23" w:history="1">
        <w:r w:rsidR="0059147E" w:rsidRPr="004642F1">
          <w:rPr>
            <w:rStyle w:val="Hyperlink"/>
            <w:rFonts w:asciiTheme="minorHAnsi" w:hAnsiTheme="minorHAnsi" w:cstheme="minorHAnsi"/>
            <w:szCs w:val="28"/>
            <w:lang w:val="es-ES"/>
          </w:rPr>
          <w:t>Ma</w:t>
        </w:r>
        <w:r w:rsidR="0059147E" w:rsidRPr="004642F1">
          <w:rPr>
            <w:rStyle w:val="Hyperlink"/>
            <w:rFonts w:asciiTheme="minorHAnsi" w:hAnsiTheme="minorHAnsi" w:cstheme="minorHAnsi"/>
            <w:szCs w:val="28"/>
            <w:lang w:val="es-ES"/>
          </w:rPr>
          <w:t>n</w:t>
        </w:r>
        <w:r w:rsidR="0059147E" w:rsidRPr="004642F1">
          <w:rPr>
            <w:rStyle w:val="Hyperlink"/>
            <w:rFonts w:asciiTheme="minorHAnsi" w:hAnsiTheme="minorHAnsi" w:cstheme="minorHAnsi"/>
            <w:szCs w:val="28"/>
            <w:lang w:val="es-ES"/>
          </w:rPr>
          <w:t>ual sobre satélites pequeños</w:t>
        </w:r>
      </w:hyperlink>
      <w:r w:rsidR="0059147E">
        <w:rPr>
          <w:rFonts w:asciiTheme="minorHAnsi" w:hAnsiTheme="minorHAnsi" w:cstheme="minorHAnsi"/>
          <w:szCs w:val="28"/>
          <w:lang w:val="es-ES"/>
        </w:rPr>
        <w:t>,</w:t>
      </w:r>
      <w:r w:rsidR="0059147E" w:rsidRPr="004642F1">
        <w:rPr>
          <w:rFonts w:asciiTheme="minorHAnsi" w:hAnsiTheme="minorHAnsi" w:cstheme="minorHAnsi"/>
          <w:szCs w:val="28"/>
          <w:lang w:val="es-ES"/>
        </w:rPr>
        <w:t xml:space="preserve"> </w:t>
      </w:r>
      <w:r w:rsidR="0059147E">
        <w:rPr>
          <w:rFonts w:asciiTheme="minorHAnsi" w:hAnsiTheme="minorHAnsi" w:cstheme="minorHAnsi"/>
          <w:szCs w:val="28"/>
          <w:lang w:val="es-ES"/>
        </w:rPr>
        <w:t>que es de dominio público y puede descargarse gratuitamente desde el sitio web de la UIT</w:t>
      </w:r>
      <w:r w:rsidR="0059147E" w:rsidRPr="000D7797">
        <w:rPr>
          <w:rFonts w:asciiTheme="minorHAnsi" w:hAnsiTheme="minorHAnsi" w:cstheme="minorHAnsi"/>
          <w:szCs w:val="28"/>
          <w:lang w:val="es-ES"/>
        </w:rPr>
        <w:t>.</w:t>
      </w:r>
    </w:p>
    <w:p w14:paraId="5354F0A2" w14:textId="366FE726" w:rsidR="0059147E" w:rsidRPr="000D7797" w:rsidRDefault="0059147E" w:rsidP="00671E25">
      <w:pPr>
        <w:rPr>
          <w:lang w:val="es-ES"/>
        </w:rPr>
      </w:pPr>
      <w:r w:rsidRPr="000D7797">
        <w:rPr>
          <w:lang w:val="es-ES"/>
        </w:rPr>
        <w:lastRenderedPageBreak/>
        <w:t xml:space="preserve">En relación con el objetivo 3.3, </w:t>
      </w:r>
      <w:r w:rsidR="00671E25">
        <w:rPr>
          <w:lang w:val="es-ES"/>
        </w:rPr>
        <w:t>"</w:t>
      </w:r>
      <w:r w:rsidRPr="000D7797">
        <w:rPr>
          <w:lang w:val="es-ES"/>
        </w:rPr>
        <w:t>Promover la exploración más allá de la órbita terrestre baja, ya que las contribuciones científicas, tecnológicas, económicas e inspiradoras de esas misiones beneficiarán a la humanidad</w:t>
      </w:r>
      <w:r w:rsidR="00671E25">
        <w:rPr>
          <w:lang w:val="es-ES"/>
        </w:rPr>
        <w:t>"</w:t>
      </w:r>
      <w:r w:rsidRPr="000D7797">
        <w:rPr>
          <w:lang w:val="es-ES"/>
        </w:rPr>
        <w:t xml:space="preserve"> de la Agenda </w:t>
      </w:r>
      <w:r w:rsidR="00671E25">
        <w:rPr>
          <w:lang w:val="es-ES"/>
        </w:rPr>
        <w:t>"</w:t>
      </w:r>
      <w:r w:rsidRPr="000D7797">
        <w:rPr>
          <w:lang w:val="es-ES"/>
        </w:rPr>
        <w:t>Espacio2030</w:t>
      </w:r>
      <w:r w:rsidR="00671E25">
        <w:rPr>
          <w:lang w:val="es-ES"/>
        </w:rPr>
        <w:t>"</w:t>
      </w:r>
      <w:r w:rsidRPr="000D7797">
        <w:rPr>
          <w:lang w:val="es-ES"/>
        </w:rPr>
        <w:t>, l</w:t>
      </w:r>
      <w:r>
        <w:rPr>
          <w:lang w:val="es-ES"/>
        </w:rPr>
        <w:t>a CMR</w:t>
      </w:r>
      <w:r w:rsidRPr="000D7797">
        <w:rPr>
          <w:lang w:val="es-ES"/>
        </w:rPr>
        <w:t>-23 decid</w:t>
      </w:r>
      <w:r>
        <w:rPr>
          <w:lang w:val="es-ES"/>
        </w:rPr>
        <w:t>ió incluir en el orden del día de la CMR</w:t>
      </w:r>
      <w:r w:rsidRPr="000D7797">
        <w:rPr>
          <w:lang w:val="es-ES"/>
        </w:rPr>
        <w:t xml:space="preserve">-27 </w:t>
      </w:r>
      <w:r>
        <w:rPr>
          <w:lang w:val="es-ES"/>
        </w:rPr>
        <w:t>la consideración de estudios sobre asuntos relacionados con las frecuencias, incluida la posibilidad de otorgar nuevas atribuciones al servicio de investigación espacial (espacio-espacio), o de modificar las existentes, para el futuro desarrollo de las comunicaciones en la superficie lunar y entre la órbita lunar y la superficie lunar, de conformidad con la Resolución</w:t>
      </w:r>
      <w:r w:rsidRPr="000D7797">
        <w:rPr>
          <w:lang w:val="es-ES"/>
        </w:rPr>
        <w:t xml:space="preserve"> </w:t>
      </w:r>
      <w:r w:rsidRPr="000D7797">
        <w:rPr>
          <w:b/>
          <w:bCs/>
          <w:lang w:val="es-ES"/>
        </w:rPr>
        <w:t>680 (</w:t>
      </w:r>
      <w:r>
        <w:rPr>
          <w:b/>
          <w:bCs/>
          <w:lang w:val="es-ES"/>
        </w:rPr>
        <w:t>CMR</w:t>
      </w:r>
      <w:r w:rsidRPr="000D7797">
        <w:rPr>
          <w:b/>
          <w:bCs/>
          <w:lang w:val="es-ES"/>
        </w:rPr>
        <w:t>-23)</w:t>
      </w:r>
      <w:r w:rsidRPr="000D7797">
        <w:rPr>
          <w:lang w:val="es-ES"/>
        </w:rPr>
        <w:t>.</w:t>
      </w:r>
    </w:p>
    <w:p w14:paraId="7CA04E37" w14:textId="27BD556C" w:rsidR="0059147E" w:rsidRPr="000D7797" w:rsidRDefault="0059147E" w:rsidP="00671E25">
      <w:pPr>
        <w:rPr>
          <w:rFonts w:asciiTheme="minorHAnsi" w:hAnsiTheme="minorHAnsi" w:cstheme="minorHAnsi"/>
          <w:szCs w:val="24"/>
          <w:lang w:val="es-ES"/>
        </w:rPr>
      </w:pPr>
      <w:r w:rsidRPr="000D7797">
        <w:rPr>
          <w:rFonts w:asciiTheme="minorHAnsi" w:hAnsiTheme="minorHAnsi" w:cstheme="minorHAnsi"/>
          <w:szCs w:val="24"/>
          <w:lang w:val="es-ES"/>
        </w:rPr>
        <w:t xml:space="preserve">En relación con el objetivo 3.8, </w:t>
      </w:r>
      <w:r w:rsidR="00671E25">
        <w:rPr>
          <w:rFonts w:asciiTheme="minorHAnsi" w:hAnsiTheme="minorHAnsi" w:cstheme="minorHAnsi"/>
          <w:szCs w:val="24"/>
          <w:lang w:val="es-ES"/>
        </w:rPr>
        <w:t>"</w:t>
      </w:r>
      <w:r w:rsidRPr="000D7797">
        <w:rPr>
          <w:rFonts w:asciiTheme="minorHAnsi" w:hAnsiTheme="minorHAnsi" w:cstheme="minorHAnsi"/>
          <w:szCs w:val="24"/>
          <w:lang w:val="es-ES"/>
        </w:rPr>
        <w:t>Sensibilizar sobre los riesgos de los fenómenos meteorológicos espaciales adversos y mitigar esos riesgos, a fin de asegurar una mayor resiliencia mundial frente a los efectos del clima espacial, y mejorar la coordinación internacional</w:t>
      </w:r>
      <w:r>
        <w:rPr>
          <w:rFonts w:asciiTheme="minorHAnsi" w:hAnsiTheme="minorHAnsi" w:cstheme="minorHAnsi"/>
          <w:szCs w:val="24"/>
          <w:lang w:val="es-ES"/>
        </w:rPr>
        <w:t xml:space="preserve"> </w:t>
      </w:r>
      <w:r w:rsidRPr="000D7797">
        <w:rPr>
          <w:rFonts w:asciiTheme="minorHAnsi" w:hAnsiTheme="minorHAnsi" w:cstheme="minorHAnsi"/>
          <w:szCs w:val="24"/>
          <w:lang w:val="es-ES"/>
        </w:rPr>
        <w:t>de las actividades relacionadas con el clima espacial, como la divulgación, la comunicación y el fomento de la capacidad, así como el establecimiento de un mecanismo internacional con el que promover una mayor coordinación de alto nivel con relación al clima espacial y una mayor resiliencia mundial frente a los efectos de est</w:t>
      </w:r>
      <w:r>
        <w:rPr>
          <w:rFonts w:asciiTheme="minorHAnsi" w:hAnsiTheme="minorHAnsi" w:cstheme="minorHAnsi"/>
          <w:szCs w:val="24"/>
          <w:lang w:val="es-ES"/>
        </w:rPr>
        <w:t>e</w:t>
      </w:r>
      <w:r w:rsidR="00671E25">
        <w:rPr>
          <w:rFonts w:asciiTheme="minorHAnsi" w:hAnsiTheme="minorHAnsi" w:cstheme="minorHAnsi"/>
          <w:szCs w:val="24"/>
          <w:lang w:val="es-ES"/>
        </w:rPr>
        <w:t>"</w:t>
      </w:r>
      <w:r>
        <w:rPr>
          <w:rFonts w:asciiTheme="minorHAnsi" w:hAnsiTheme="minorHAnsi" w:cstheme="minorHAnsi"/>
          <w:szCs w:val="24"/>
          <w:lang w:val="es-ES"/>
        </w:rPr>
        <w:t xml:space="preserve">, de la Agenda </w:t>
      </w:r>
      <w:r w:rsidR="00671E25">
        <w:rPr>
          <w:rFonts w:asciiTheme="minorHAnsi" w:hAnsiTheme="minorHAnsi" w:cstheme="minorHAnsi"/>
          <w:szCs w:val="24"/>
          <w:lang w:val="es-ES"/>
        </w:rPr>
        <w:t>"</w:t>
      </w:r>
      <w:r>
        <w:rPr>
          <w:rFonts w:asciiTheme="minorHAnsi" w:hAnsiTheme="minorHAnsi" w:cstheme="minorHAnsi"/>
          <w:szCs w:val="24"/>
          <w:lang w:val="es-ES"/>
        </w:rPr>
        <w:t>Espacio</w:t>
      </w:r>
      <w:r w:rsidR="00671E25">
        <w:rPr>
          <w:rFonts w:asciiTheme="minorHAnsi" w:hAnsiTheme="minorHAnsi" w:cstheme="minorHAnsi"/>
          <w:szCs w:val="24"/>
          <w:lang w:val="es-ES"/>
        </w:rPr>
        <w:t> </w:t>
      </w:r>
      <w:r>
        <w:rPr>
          <w:rFonts w:asciiTheme="minorHAnsi" w:hAnsiTheme="minorHAnsi" w:cstheme="minorHAnsi"/>
          <w:szCs w:val="24"/>
          <w:lang w:val="es-ES"/>
        </w:rPr>
        <w:t>2030</w:t>
      </w:r>
      <w:r w:rsidR="00671E25">
        <w:rPr>
          <w:rFonts w:asciiTheme="minorHAnsi" w:hAnsiTheme="minorHAnsi" w:cstheme="minorHAnsi"/>
          <w:szCs w:val="24"/>
          <w:lang w:val="es-ES"/>
        </w:rPr>
        <w:t>"</w:t>
      </w:r>
      <w:r>
        <w:rPr>
          <w:rFonts w:asciiTheme="minorHAnsi" w:hAnsiTheme="minorHAnsi" w:cstheme="minorHAnsi"/>
          <w:szCs w:val="24"/>
          <w:lang w:val="es-ES"/>
        </w:rPr>
        <w:t>, la CMR</w:t>
      </w:r>
      <w:r w:rsidRPr="000D7797">
        <w:rPr>
          <w:rFonts w:asciiTheme="minorHAnsi" w:hAnsiTheme="minorHAnsi" w:cstheme="minorHAnsi"/>
          <w:szCs w:val="24"/>
          <w:lang w:val="es-ES"/>
        </w:rPr>
        <w:t>-23 introdu</w:t>
      </w:r>
      <w:r>
        <w:rPr>
          <w:rFonts w:asciiTheme="minorHAnsi" w:hAnsiTheme="minorHAnsi" w:cstheme="minorHAnsi"/>
          <w:szCs w:val="24"/>
          <w:lang w:val="es-ES"/>
        </w:rPr>
        <w:t>jo en el Reglamento de Radiocomunicaciones una definición de meteorología espacial y adoptó la Resolución</w:t>
      </w:r>
      <w:r w:rsidRPr="000D7797">
        <w:rPr>
          <w:rFonts w:asciiTheme="minorHAnsi" w:hAnsiTheme="minorHAnsi" w:cstheme="minorHAnsi"/>
          <w:szCs w:val="24"/>
          <w:lang w:val="es-ES"/>
        </w:rPr>
        <w:t xml:space="preserve"> </w:t>
      </w:r>
      <w:r w:rsidRPr="000D7797">
        <w:rPr>
          <w:rFonts w:asciiTheme="minorHAnsi" w:hAnsiTheme="minorHAnsi" w:cstheme="minorHAnsi"/>
          <w:b/>
          <w:bCs/>
          <w:szCs w:val="24"/>
          <w:lang w:val="es-ES"/>
        </w:rPr>
        <w:t>675 (</w:t>
      </w:r>
      <w:r>
        <w:rPr>
          <w:rFonts w:asciiTheme="minorHAnsi" w:hAnsiTheme="minorHAnsi" w:cstheme="minorHAnsi"/>
          <w:b/>
          <w:bCs/>
          <w:szCs w:val="24"/>
          <w:lang w:val="es-ES"/>
        </w:rPr>
        <w:t>CMR</w:t>
      </w:r>
      <w:r w:rsidRPr="000D7797">
        <w:rPr>
          <w:rFonts w:asciiTheme="minorHAnsi" w:hAnsiTheme="minorHAnsi" w:cstheme="minorHAnsi"/>
          <w:b/>
          <w:bCs/>
          <w:szCs w:val="24"/>
          <w:lang w:val="es-ES"/>
        </w:rPr>
        <w:t>-23)</w:t>
      </w:r>
      <w:r w:rsidRPr="000D7797">
        <w:rPr>
          <w:rFonts w:asciiTheme="minorHAnsi" w:hAnsiTheme="minorHAnsi" w:cstheme="minorHAnsi"/>
          <w:szCs w:val="24"/>
          <w:lang w:val="es-ES"/>
        </w:rPr>
        <w:t xml:space="preserve"> </w:t>
      </w:r>
      <w:r>
        <w:rPr>
          <w:rFonts w:asciiTheme="minorHAnsi" w:hAnsiTheme="minorHAnsi" w:cstheme="minorHAnsi"/>
          <w:szCs w:val="24"/>
          <w:lang w:val="es-ES"/>
        </w:rPr>
        <w:t>sobre la importancia de las aplicaciones del servicio de ayudas a la meteorología (meteorología espacial), y decidió encargar a la CMR</w:t>
      </w:r>
      <w:r w:rsidRPr="000D7797">
        <w:rPr>
          <w:rFonts w:asciiTheme="minorHAnsi" w:hAnsiTheme="minorHAnsi" w:cstheme="minorHAnsi"/>
          <w:szCs w:val="24"/>
          <w:lang w:val="es-ES"/>
        </w:rPr>
        <w:t xml:space="preserve">-27 </w:t>
      </w:r>
      <w:r>
        <w:rPr>
          <w:rFonts w:asciiTheme="minorHAnsi" w:hAnsiTheme="minorHAnsi" w:cstheme="minorHAnsi"/>
          <w:szCs w:val="24"/>
          <w:lang w:val="es-ES"/>
        </w:rPr>
        <w:t>que considere las disposiciones reglamentarias para los sensores de meteorología espacial de sólo recepción y su protección en el Reglamento de Radiocomunicaciones, teniendo en cuenta los resultados de los estudios del Sector de Radiocomunicaciones de la UIT de conformidad con la Resolución</w:t>
      </w:r>
      <w:r w:rsidRPr="000D7797">
        <w:rPr>
          <w:rFonts w:asciiTheme="minorHAnsi" w:hAnsiTheme="minorHAnsi" w:cstheme="minorHAnsi"/>
          <w:spacing w:val="-2"/>
          <w:szCs w:val="24"/>
          <w:lang w:val="es-ES"/>
        </w:rPr>
        <w:t xml:space="preserve"> </w:t>
      </w:r>
      <w:r w:rsidRPr="000D7797">
        <w:rPr>
          <w:rFonts w:asciiTheme="minorHAnsi" w:hAnsiTheme="minorHAnsi" w:cstheme="minorHAnsi"/>
          <w:b/>
          <w:bCs/>
          <w:spacing w:val="-2"/>
          <w:szCs w:val="24"/>
          <w:lang w:val="es-ES"/>
        </w:rPr>
        <w:t>682 (</w:t>
      </w:r>
      <w:r>
        <w:rPr>
          <w:rFonts w:asciiTheme="minorHAnsi" w:hAnsiTheme="minorHAnsi" w:cstheme="minorHAnsi"/>
          <w:b/>
          <w:bCs/>
          <w:spacing w:val="-2"/>
          <w:szCs w:val="24"/>
          <w:lang w:val="es-ES"/>
        </w:rPr>
        <w:t>CMR</w:t>
      </w:r>
      <w:r w:rsidRPr="000D7797">
        <w:rPr>
          <w:rFonts w:asciiTheme="minorHAnsi" w:hAnsiTheme="minorHAnsi" w:cstheme="minorHAnsi"/>
          <w:b/>
          <w:bCs/>
          <w:spacing w:val="-2"/>
          <w:szCs w:val="24"/>
          <w:lang w:val="es-ES"/>
        </w:rPr>
        <w:t>-23)</w:t>
      </w:r>
      <w:r w:rsidRPr="000D7797">
        <w:rPr>
          <w:rFonts w:asciiTheme="minorHAnsi" w:hAnsiTheme="minorHAnsi" w:cstheme="minorHAnsi"/>
          <w:spacing w:val="-2"/>
          <w:szCs w:val="24"/>
          <w:lang w:val="es-ES"/>
        </w:rPr>
        <w:t>.</w:t>
      </w:r>
    </w:p>
    <w:p w14:paraId="2CE58C3E" w14:textId="092480AE" w:rsidR="0059147E" w:rsidRPr="007A5539" w:rsidRDefault="0059147E" w:rsidP="00671E25">
      <w:pPr>
        <w:rPr>
          <w:rFonts w:asciiTheme="minorHAnsi" w:hAnsiTheme="minorHAnsi" w:cstheme="minorHAnsi"/>
          <w:szCs w:val="24"/>
          <w:lang w:val="es-ES"/>
        </w:rPr>
      </w:pPr>
      <w:r w:rsidRPr="000D7797">
        <w:rPr>
          <w:rFonts w:asciiTheme="minorHAnsi" w:hAnsiTheme="minorHAnsi" w:cstheme="minorHAnsi"/>
          <w:szCs w:val="24"/>
          <w:lang w:val="es-ES"/>
        </w:rPr>
        <w:t xml:space="preserve">En relación con el objetivo 4.5, </w:t>
      </w:r>
      <w:r w:rsidR="00671E25">
        <w:rPr>
          <w:rFonts w:asciiTheme="minorHAnsi" w:hAnsiTheme="minorHAnsi" w:cstheme="minorHAnsi"/>
          <w:szCs w:val="24"/>
          <w:lang w:val="es-ES"/>
        </w:rPr>
        <w:t>"</w:t>
      </w:r>
      <w:r w:rsidRPr="000D7797">
        <w:rPr>
          <w:rFonts w:asciiTheme="minorHAnsi" w:hAnsiTheme="minorHAnsi" w:cstheme="minorHAnsi"/>
          <w:szCs w:val="24"/>
          <w:lang w:val="es-ES"/>
        </w:rPr>
        <w:t>Garantizar la sostenibilidad a largo plazo de las actividades en el espacio ultraterrestre y la preservación del medio espacial para usos pacíficos, por medios como la aplicación voluntaria de las directrices aprobadas relativas a la sostenibilidad a largo plazo de las actividades en el espacio ultraterrestre y su preámbulo, y mediante el intercambio de experiencias al respecto y hacer frente a los nuevos desa</w:t>
      </w:r>
      <w:r>
        <w:rPr>
          <w:rFonts w:asciiTheme="minorHAnsi" w:hAnsiTheme="minorHAnsi" w:cstheme="minorHAnsi"/>
          <w:szCs w:val="24"/>
          <w:lang w:val="es-ES"/>
        </w:rPr>
        <w:t>fíos, riesgos y amenazas que afectan a la sostenibilidad a largo plazo de las actividades en el espacio ultraterrestre</w:t>
      </w:r>
      <w:r w:rsidR="00671E25">
        <w:rPr>
          <w:rFonts w:asciiTheme="minorHAnsi" w:hAnsiTheme="minorHAnsi" w:cstheme="minorHAnsi"/>
          <w:szCs w:val="24"/>
          <w:lang w:val="es-ES"/>
        </w:rPr>
        <w:t>"</w:t>
      </w:r>
      <w:r>
        <w:rPr>
          <w:rFonts w:asciiTheme="minorHAnsi" w:hAnsiTheme="minorHAnsi" w:cstheme="minorHAnsi"/>
          <w:szCs w:val="24"/>
          <w:lang w:val="es-ES"/>
        </w:rPr>
        <w:t xml:space="preserve">, de la Agenda </w:t>
      </w:r>
      <w:r w:rsidR="00671E25">
        <w:rPr>
          <w:rFonts w:asciiTheme="minorHAnsi" w:hAnsiTheme="minorHAnsi" w:cstheme="minorHAnsi"/>
          <w:szCs w:val="24"/>
          <w:lang w:val="es-ES"/>
        </w:rPr>
        <w:t>"Espacio 2030"</w:t>
      </w:r>
      <w:r w:rsidRPr="000D7797">
        <w:rPr>
          <w:rFonts w:asciiTheme="minorHAnsi" w:hAnsiTheme="minorHAnsi" w:cstheme="minorHAnsi"/>
          <w:szCs w:val="24"/>
          <w:lang w:val="es-ES"/>
        </w:rPr>
        <w:t xml:space="preserve">, </w:t>
      </w:r>
      <w:r>
        <w:rPr>
          <w:rFonts w:asciiTheme="minorHAnsi" w:hAnsiTheme="minorHAnsi" w:cstheme="minorHAnsi"/>
          <w:szCs w:val="24"/>
          <w:lang w:val="es-ES"/>
        </w:rPr>
        <w:t>la Asamblea de Radiocomunicaciones de</w:t>
      </w:r>
      <w:r w:rsidRPr="000D7797">
        <w:rPr>
          <w:rFonts w:asciiTheme="minorHAnsi" w:hAnsiTheme="minorHAnsi" w:cstheme="minorHAnsi"/>
          <w:szCs w:val="24"/>
          <w:lang w:val="es-ES"/>
        </w:rPr>
        <w:t xml:space="preserve"> 2023 </w:t>
      </w:r>
      <w:r>
        <w:rPr>
          <w:rFonts w:asciiTheme="minorHAnsi" w:hAnsiTheme="minorHAnsi" w:cstheme="minorHAnsi"/>
          <w:szCs w:val="24"/>
          <w:lang w:val="es-ES"/>
        </w:rPr>
        <w:t>adoptó la</w:t>
      </w:r>
      <w:r w:rsidRPr="000D7797">
        <w:rPr>
          <w:rFonts w:asciiTheme="minorHAnsi" w:hAnsiTheme="minorHAnsi" w:cstheme="minorHAnsi"/>
          <w:szCs w:val="24"/>
          <w:lang w:val="es-ES"/>
        </w:rPr>
        <w:t xml:space="preserve"> </w:t>
      </w:r>
      <w:hyperlink r:id="rId24" w:history="1">
        <w:r w:rsidRPr="000D7797">
          <w:rPr>
            <w:rStyle w:val="Hyperlink"/>
            <w:rFonts w:asciiTheme="minorHAnsi" w:hAnsiTheme="minorHAnsi" w:cstheme="minorHAnsi"/>
            <w:szCs w:val="24"/>
            <w:lang w:val="es-ES"/>
          </w:rPr>
          <w:t>Resolu</w:t>
        </w:r>
        <w:r>
          <w:rPr>
            <w:rStyle w:val="Hyperlink"/>
            <w:rFonts w:asciiTheme="minorHAnsi" w:hAnsiTheme="minorHAnsi" w:cstheme="minorHAnsi"/>
            <w:szCs w:val="24"/>
            <w:lang w:val="es-ES"/>
          </w:rPr>
          <w:t>ción</w:t>
        </w:r>
        <w:r w:rsidRPr="000D7797">
          <w:rPr>
            <w:rStyle w:val="Hyperlink"/>
            <w:rFonts w:asciiTheme="minorHAnsi" w:hAnsiTheme="minorHAnsi" w:cstheme="minorHAnsi"/>
            <w:szCs w:val="24"/>
            <w:lang w:val="es-ES"/>
          </w:rPr>
          <w:t xml:space="preserve"> U</w:t>
        </w:r>
        <w:r>
          <w:rPr>
            <w:rStyle w:val="Hyperlink"/>
            <w:rFonts w:asciiTheme="minorHAnsi" w:hAnsiTheme="minorHAnsi" w:cstheme="minorHAnsi"/>
            <w:szCs w:val="24"/>
            <w:lang w:val="es-ES"/>
          </w:rPr>
          <w:t>IT</w:t>
        </w:r>
        <w:r w:rsidRPr="000D7797">
          <w:rPr>
            <w:rStyle w:val="Hyperlink"/>
            <w:rFonts w:asciiTheme="minorHAnsi" w:hAnsiTheme="minorHAnsi" w:cstheme="minorHAnsi"/>
            <w:szCs w:val="24"/>
            <w:lang w:val="es-ES"/>
          </w:rPr>
          <w:t>-R 7</w:t>
        </w:r>
        <w:r w:rsidRPr="000D7797">
          <w:rPr>
            <w:rStyle w:val="Hyperlink"/>
            <w:rFonts w:asciiTheme="minorHAnsi" w:hAnsiTheme="minorHAnsi" w:cstheme="minorHAnsi"/>
            <w:szCs w:val="24"/>
            <w:lang w:val="es-ES"/>
          </w:rPr>
          <w:t>4</w:t>
        </w:r>
      </w:hyperlink>
      <w:r w:rsidRPr="007A5539">
        <w:rPr>
          <w:rStyle w:val="Hyperlink"/>
          <w:rFonts w:asciiTheme="minorHAnsi" w:hAnsiTheme="minorHAnsi" w:cstheme="minorHAnsi"/>
          <w:szCs w:val="24"/>
          <w:lang w:val="es-ES"/>
        </w:rPr>
        <w:t>,</w:t>
      </w:r>
      <w:r w:rsidRPr="000D7797">
        <w:rPr>
          <w:rFonts w:asciiTheme="minorHAnsi" w:hAnsiTheme="minorHAnsi" w:cstheme="minorHAnsi"/>
          <w:szCs w:val="24"/>
          <w:lang w:val="es-ES"/>
        </w:rPr>
        <w:t xml:space="preserve"> </w:t>
      </w:r>
      <w:r w:rsidR="00671E25">
        <w:rPr>
          <w:rFonts w:asciiTheme="minorHAnsi" w:hAnsiTheme="minorHAnsi" w:cstheme="minorHAnsi"/>
          <w:szCs w:val="24"/>
          <w:lang w:val="es-ES"/>
        </w:rPr>
        <w:t>"</w:t>
      </w:r>
      <w:r w:rsidRPr="000D7797">
        <w:rPr>
          <w:rFonts w:asciiTheme="minorHAnsi" w:hAnsiTheme="minorHAnsi" w:cstheme="minorHAnsi"/>
          <w:szCs w:val="24"/>
          <w:lang w:val="es-ES"/>
        </w:rPr>
        <w:t>Activi</w:t>
      </w:r>
      <w:r>
        <w:rPr>
          <w:rFonts w:asciiTheme="minorHAnsi" w:hAnsiTheme="minorHAnsi" w:cstheme="minorHAnsi"/>
          <w:szCs w:val="24"/>
          <w:lang w:val="es-ES"/>
        </w:rPr>
        <w:t>dades relacionadas con la utilización sostenible del espectro de frecuencias radioeléctricas y los recursos de órbita de satélite conexos utilizados por los servicios espaciales</w:t>
      </w:r>
      <w:r w:rsidR="00671E25">
        <w:rPr>
          <w:rFonts w:asciiTheme="minorHAnsi" w:hAnsiTheme="minorHAnsi" w:cstheme="minorHAnsi"/>
          <w:szCs w:val="24"/>
          <w:lang w:val="es-ES"/>
        </w:rPr>
        <w:t>"</w:t>
      </w:r>
      <w:r w:rsidRPr="000D7797">
        <w:rPr>
          <w:rFonts w:asciiTheme="minorHAnsi" w:hAnsiTheme="minorHAnsi" w:cstheme="minorHAnsi"/>
          <w:szCs w:val="24"/>
          <w:lang w:val="es-ES"/>
        </w:rPr>
        <w:t xml:space="preserve">. </w:t>
      </w:r>
      <w:r w:rsidRPr="007A5539">
        <w:rPr>
          <w:rFonts w:asciiTheme="minorHAnsi" w:hAnsiTheme="minorHAnsi" w:cstheme="minorHAnsi"/>
          <w:szCs w:val="24"/>
          <w:lang w:val="es-ES"/>
        </w:rPr>
        <w:t>Asimismo, la UIT organizó una mesa redonda espacial en diciembre de 2023 en Dubái, que contó con la participación de líderes de agencias espaciales, operadores de satélites, UNOOSA, l</w:t>
      </w:r>
      <w:r>
        <w:rPr>
          <w:rFonts w:asciiTheme="minorHAnsi" w:hAnsiTheme="minorHAnsi" w:cstheme="minorHAnsi"/>
          <w:szCs w:val="24"/>
          <w:lang w:val="es-ES"/>
        </w:rPr>
        <w:t xml:space="preserve">a Organización Meteorológica Mundial (OMM), Instituciones Académicas y demás partes interesadas a fin de abordar los retos a que se enfrenta la comunidad espacial y proponer soluciones acordes con la Agenda </w:t>
      </w:r>
      <w:r w:rsidR="00671E25">
        <w:rPr>
          <w:rFonts w:asciiTheme="minorHAnsi" w:hAnsiTheme="minorHAnsi" w:cstheme="minorHAnsi"/>
          <w:szCs w:val="24"/>
          <w:lang w:val="es-ES"/>
        </w:rPr>
        <w:t>"Espacio 2030"</w:t>
      </w:r>
      <w:r w:rsidRPr="007A5539">
        <w:rPr>
          <w:rFonts w:asciiTheme="minorHAnsi" w:hAnsiTheme="minorHAnsi" w:cstheme="minorHAnsi"/>
          <w:szCs w:val="24"/>
          <w:lang w:val="es-ES"/>
        </w:rPr>
        <w:t>.</w:t>
      </w:r>
    </w:p>
    <w:p w14:paraId="7D41EE87" w14:textId="77777777" w:rsidR="0059147E" w:rsidRPr="007A5539" w:rsidRDefault="0059147E" w:rsidP="00D346E8">
      <w:pPr>
        <w:pStyle w:val="Heading2"/>
        <w:rPr>
          <w:rFonts w:asciiTheme="minorHAnsi" w:hAnsiTheme="minorHAnsi" w:cstheme="minorHAnsi"/>
          <w:b w:val="0"/>
          <w:bCs/>
          <w:szCs w:val="24"/>
          <w:lang w:val="es-ES"/>
        </w:rPr>
      </w:pPr>
      <w:r w:rsidRPr="007A5539">
        <w:rPr>
          <w:rFonts w:asciiTheme="minorHAnsi" w:hAnsiTheme="minorHAnsi" w:cstheme="minorHAnsi"/>
          <w:bCs/>
          <w:szCs w:val="24"/>
          <w:lang w:val="es-ES"/>
        </w:rPr>
        <w:t>3.2</w:t>
      </w:r>
      <w:r w:rsidRPr="007A5539">
        <w:rPr>
          <w:rFonts w:asciiTheme="minorHAnsi" w:hAnsiTheme="minorHAnsi" w:cstheme="minorHAnsi"/>
          <w:bCs/>
          <w:szCs w:val="24"/>
          <w:lang w:val="es-ES"/>
        </w:rPr>
        <w:tab/>
      </w:r>
      <w:r w:rsidRPr="00D346E8">
        <w:rPr>
          <w:lang w:val="es-ES"/>
        </w:rPr>
        <w:t>Prioridad</w:t>
      </w:r>
      <w:r w:rsidRPr="007A5539">
        <w:rPr>
          <w:rFonts w:asciiTheme="minorHAnsi" w:hAnsiTheme="minorHAnsi" w:cstheme="minorHAnsi"/>
          <w:bCs/>
          <w:szCs w:val="24"/>
          <w:lang w:val="es-ES"/>
        </w:rPr>
        <w:t xml:space="preserve"> temática 2 – Recursos de nu</w:t>
      </w:r>
      <w:r>
        <w:rPr>
          <w:rFonts w:asciiTheme="minorHAnsi" w:hAnsiTheme="minorHAnsi" w:cstheme="minorHAnsi"/>
          <w:bCs/>
          <w:szCs w:val="24"/>
          <w:lang w:val="es-ES"/>
        </w:rPr>
        <w:t>meración de las telecomunicaciones internacionales</w:t>
      </w:r>
    </w:p>
    <w:p w14:paraId="6568A03C" w14:textId="77777777" w:rsidR="0059147E" w:rsidRPr="007A5539" w:rsidRDefault="0059147E" w:rsidP="00D346E8">
      <w:pPr>
        <w:rPr>
          <w:rFonts w:asciiTheme="minorHAnsi" w:hAnsiTheme="minorHAnsi"/>
          <w:lang w:val="es-ES"/>
        </w:rPr>
      </w:pPr>
      <w:r>
        <w:rPr>
          <w:lang w:val="es-ES"/>
        </w:rPr>
        <w:t>E</w:t>
      </w:r>
      <w:r w:rsidRPr="007A5539">
        <w:rPr>
          <w:lang w:val="es-ES"/>
        </w:rPr>
        <w:t xml:space="preserve">sta prioridad temática tiene por objeto facilitar el acceso de los sistemas de comunicación por </w:t>
      </w:r>
      <w:r w:rsidRPr="00D346E8">
        <w:rPr>
          <w:rFonts w:asciiTheme="minorHAnsi" w:hAnsiTheme="minorHAnsi"/>
          <w:lang w:val="es-ES"/>
        </w:rPr>
        <w:t>satélite</w:t>
      </w:r>
      <w:r w:rsidRPr="007A5539">
        <w:rPr>
          <w:lang w:val="es-ES"/>
        </w:rPr>
        <w:t>, que son intrínsecamente internacionales, a los indispensables recursos de numeración de las telecomunicaciones internacionales, de los que dependen para prestar servicios de comunicación internacionales</w:t>
      </w:r>
      <w:r w:rsidRPr="007A5539">
        <w:rPr>
          <w:rFonts w:asciiTheme="minorHAnsi" w:hAnsiTheme="minorHAnsi"/>
          <w:lang w:val="es-ES"/>
        </w:rPr>
        <w:t xml:space="preserve">. </w:t>
      </w:r>
    </w:p>
    <w:p w14:paraId="79D80CEA" w14:textId="77777777" w:rsidR="0059147E" w:rsidRPr="007A5539" w:rsidRDefault="0059147E" w:rsidP="00D346E8">
      <w:pPr>
        <w:rPr>
          <w:lang w:val="es-ES"/>
        </w:rPr>
      </w:pPr>
      <w:r w:rsidRPr="007A5539">
        <w:rPr>
          <w:lang w:val="es-ES"/>
        </w:rPr>
        <w:t>Además de los satélites geoestacionarios, en los últimos años se ha</w:t>
      </w:r>
      <w:r>
        <w:rPr>
          <w:lang w:val="es-ES"/>
        </w:rPr>
        <w:t xml:space="preserve"> visto un aumento del número de asignaciones a servicios prestados mediante satélites en órbita terrestre baja</w:t>
      </w:r>
      <w:r w:rsidRPr="007A5539">
        <w:rPr>
          <w:lang w:val="es-ES"/>
        </w:rPr>
        <w:t xml:space="preserve"> </w:t>
      </w:r>
      <w:r w:rsidRPr="007A5539">
        <w:rPr>
          <w:lang w:val="es-ES"/>
        </w:rPr>
        <w:lastRenderedPageBreak/>
        <w:t>(LEO)</w:t>
      </w:r>
      <w:r>
        <w:rPr>
          <w:lang w:val="es-ES"/>
        </w:rPr>
        <w:t>. El acceso a la conectividad por satélite es fundamental para facilitar servicios de comunicación en los ámbitos marítimo y aéreo, así como a zonas remotas y geográficamente difíciles de acceso, que no cuentan con cobertura de redes móviles terrestres. Se garantiza así que esos dominios y zonas permanecen conectados, subrayando la importancia vital que revisten los recursos de numeración en la prestación fluida de servicios de telecomunicación internacionales a través de diversas plataformas y entornos</w:t>
      </w:r>
      <w:r w:rsidRPr="007A5539">
        <w:rPr>
          <w:lang w:val="es-ES"/>
        </w:rPr>
        <w:t>.</w:t>
      </w:r>
    </w:p>
    <w:p w14:paraId="70745528" w14:textId="77777777" w:rsidR="0059147E" w:rsidRPr="002B4BC4" w:rsidRDefault="0059147E" w:rsidP="00D346E8">
      <w:pPr>
        <w:pStyle w:val="Heading2"/>
        <w:rPr>
          <w:b w:val="0"/>
          <w:lang w:val="es-ES"/>
        </w:rPr>
      </w:pPr>
      <w:r w:rsidRPr="002B4BC4">
        <w:rPr>
          <w:lang w:val="es-ES"/>
        </w:rPr>
        <w:t>3.3</w:t>
      </w:r>
      <w:r w:rsidRPr="002B4BC4">
        <w:rPr>
          <w:lang w:val="es-ES"/>
        </w:rPr>
        <w:tab/>
      </w:r>
      <w:r w:rsidRPr="00D346E8">
        <w:rPr>
          <w:lang w:val="es-ES"/>
        </w:rPr>
        <w:t>Prioridad</w:t>
      </w:r>
      <w:r w:rsidRPr="002B4BC4">
        <w:rPr>
          <w:lang w:val="es-ES"/>
        </w:rPr>
        <w:t xml:space="preserve"> temática 3 – Infraestructura y </w:t>
      </w:r>
      <w:r w:rsidRPr="00D346E8">
        <w:t>servicios</w:t>
      </w:r>
      <w:r w:rsidRPr="002B4BC4">
        <w:rPr>
          <w:lang w:val="es-ES"/>
        </w:rPr>
        <w:t xml:space="preserve"> de telecomunica</w:t>
      </w:r>
      <w:r>
        <w:rPr>
          <w:lang w:val="es-ES"/>
        </w:rPr>
        <w:t>ciones/TIC inclusivos y seguros</w:t>
      </w:r>
    </w:p>
    <w:p w14:paraId="39F3CBF4" w14:textId="77777777" w:rsidR="0059147E" w:rsidRPr="002B4BC4" w:rsidRDefault="0059147E" w:rsidP="00D96FAA">
      <w:pPr>
        <w:rPr>
          <w:lang w:val="es-ES"/>
        </w:rPr>
      </w:pPr>
      <w:r w:rsidRPr="002B4BC4">
        <w:rPr>
          <w:lang w:val="es-ES"/>
        </w:rPr>
        <w:t xml:space="preserve">En el contexto de la Agenda esta prioridad temática tiene por objetivo mejorar la conectividad y el acceso a los </w:t>
      </w:r>
      <w:r w:rsidRPr="00D346E8">
        <w:rPr>
          <w:lang w:val="es-ES"/>
        </w:rPr>
        <w:t>servicios</w:t>
      </w:r>
      <w:r w:rsidRPr="002B4BC4">
        <w:rPr>
          <w:lang w:val="es-ES"/>
        </w:rPr>
        <w:t xml:space="preserve"> fijos y móviles de banda ancha para todos a través de sistemas de comunicación</w:t>
      </w:r>
      <w:r>
        <w:rPr>
          <w:lang w:val="es-ES"/>
        </w:rPr>
        <w:t xml:space="preserve"> por satélite, cuando éstos son los más adecuados para prestar tales servicios de manera inclusiva, segura y resiliente</w:t>
      </w:r>
      <w:r w:rsidRPr="002B4BC4">
        <w:rPr>
          <w:lang w:val="es-ES"/>
        </w:rPr>
        <w:t>.</w:t>
      </w:r>
    </w:p>
    <w:p w14:paraId="58E4232F" w14:textId="77777777" w:rsidR="0059147E" w:rsidRPr="002B4BC4" w:rsidRDefault="0059147E" w:rsidP="00D346E8">
      <w:pPr>
        <w:rPr>
          <w:rFonts w:asciiTheme="minorHAnsi" w:hAnsiTheme="minorHAnsi" w:cstheme="minorBidi"/>
          <w:lang w:val="es-ES"/>
        </w:rPr>
      </w:pPr>
      <w:r w:rsidRPr="002B4BC4">
        <w:rPr>
          <w:rFonts w:asciiTheme="minorHAnsi" w:hAnsiTheme="minorHAnsi" w:cstheme="minorBidi"/>
          <w:lang w:val="es-ES"/>
        </w:rPr>
        <w:t xml:space="preserve">La convergencia de las redes fijas y móviles terrenales y de los sistemas de satélites hace necesario </w:t>
      </w:r>
      <w:r w:rsidRPr="00D346E8">
        <w:rPr>
          <w:lang w:val="es-ES"/>
        </w:rPr>
        <w:t>considerar</w:t>
      </w:r>
      <w:r w:rsidRPr="002B4BC4">
        <w:rPr>
          <w:rFonts w:asciiTheme="minorHAnsi" w:hAnsiTheme="minorHAnsi" w:cstheme="minorBidi"/>
          <w:lang w:val="es-ES"/>
        </w:rPr>
        <w:t xml:space="preserve"> los r</w:t>
      </w:r>
      <w:r>
        <w:rPr>
          <w:rFonts w:asciiTheme="minorHAnsi" w:hAnsiTheme="minorHAnsi" w:cstheme="minorBidi"/>
          <w:lang w:val="es-ES"/>
        </w:rPr>
        <w:t>equisitos en términos de equipos de usuario, capacidades de red y aplicaciones</w:t>
      </w:r>
      <w:r w:rsidRPr="002B4BC4">
        <w:rPr>
          <w:rFonts w:asciiTheme="minorHAnsi" w:hAnsiTheme="minorHAnsi" w:cstheme="minorBidi"/>
          <w:lang w:val="es-ES"/>
        </w:rPr>
        <w:t>. Se trata de un paso indispensable para ofrecer un acceso pleno a una mejor conectividad y casos d</w:t>
      </w:r>
      <w:r>
        <w:rPr>
          <w:rFonts w:asciiTheme="minorHAnsi" w:hAnsiTheme="minorHAnsi" w:cstheme="minorBidi"/>
          <w:lang w:val="es-ES"/>
        </w:rPr>
        <w:t>e uso y servicios innovadores</w:t>
      </w:r>
      <w:r w:rsidRPr="002B4BC4">
        <w:rPr>
          <w:rFonts w:asciiTheme="minorHAnsi" w:hAnsiTheme="minorHAnsi" w:cstheme="minorBidi"/>
          <w:lang w:val="es-ES"/>
        </w:rPr>
        <w:t>.</w:t>
      </w:r>
    </w:p>
    <w:p w14:paraId="4326B038" w14:textId="03B7D0E2" w:rsidR="0059147E" w:rsidRPr="00AD1CAC" w:rsidRDefault="0059147E" w:rsidP="00D96FAA">
      <w:pPr>
        <w:rPr>
          <w:szCs w:val="22"/>
          <w:shd w:val="clear" w:color="auto" w:fill="FFFFFF"/>
          <w:lang w:val="es-ES"/>
        </w:rPr>
      </w:pPr>
      <w:r w:rsidRPr="002B4BC4">
        <w:rPr>
          <w:szCs w:val="22"/>
          <w:shd w:val="clear" w:color="auto" w:fill="FFFFFF"/>
          <w:lang w:val="es-ES"/>
        </w:rPr>
        <w:t xml:space="preserve">La UIT está especialmente implicada en la Iniciativa de las Naciones Unidas </w:t>
      </w:r>
      <w:hyperlink r:id="rId25" w:tooltip="http://earlywarningsforall.org/" w:history="1">
        <w:r w:rsidRPr="002B4BC4">
          <w:rPr>
            <w:rStyle w:val="Hyperlink"/>
            <w:lang w:val="es-ES"/>
          </w:rPr>
          <w:t>Ale</w:t>
        </w:r>
        <w:r w:rsidRPr="002B4BC4">
          <w:rPr>
            <w:rStyle w:val="Hyperlink"/>
            <w:lang w:val="es-ES"/>
          </w:rPr>
          <w:t>r</w:t>
        </w:r>
        <w:r w:rsidRPr="002B4BC4">
          <w:rPr>
            <w:rStyle w:val="Hyperlink"/>
            <w:lang w:val="es-ES"/>
          </w:rPr>
          <w:t>tas Tempranas par</w:t>
        </w:r>
        <w:r w:rsidRPr="002B4BC4">
          <w:rPr>
            <w:rStyle w:val="Hyperlink"/>
            <w:lang w:val="es-ES"/>
          </w:rPr>
          <w:t>a</w:t>
        </w:r>
        <w:r w:rsidRPr="002B4BC4">
          <w:rPr>
            <w:rStyle w:val="Hyperlink"/>
            <w:lang w:val="es-ES"/>
          </w:rPr>
          <w:t xml:space="preserve"> Tod</w:t>
        </w:r>
        <w:r w:rsidRPr="002B4BC4">
          <w:rPr>
            <w:rStyle w:val="Hyperlink"/>
            <w:lang w:val="es-ES"/>
          </w:rPr>
          <w:t>o</w:t>
        </w:r>
        <w:r w:rsidRPr="002B4BC4">
          <w:rPr>
            <w:rStyle w:val="Hyperlink"/>
            <w:lang w:val="es-ES"/>
          </w:rPr>
          <w:t>s</w:t>
        </w:r>
        <w:r w:rsidRPr="002B4BC4">
          <w:rPr>
            <w:rStyle w:val="Hyperlink"/>
            <w:lang w:val="es-ES"/>
          </w:rPr>
          <w:t xml:space="preserve"> (EW4All)</w:t>
        </w:r>
      </w:hyperlink>
      <w:r w:rsidRPr="002B4BC4">
        <w:rPr>
          <w:rFonts w:hint="eastAsia"/>
          <w:szCs w:val="22"/>
          <w:shd w:val="clear" w:color="auto" w:fill="FFFFFF"/>
          <w:lang w:val="es-ES"/>
        </w:rPr>
        <w:t xml:space="preserve"> </w:t>
      </w:r>
      <w:r w:rsidRPr="002B4BC4">
        <w:rPr>
          <w:szCs w:val="22"/>
          <w:shd w:val="clear" w:color="auto" w:fill="FFFFFF"/>
          <w:lang w:val="es-ES"/>
        </w:rPr>
        <w:t>y</w:t>
      </w:r>
      <w:r>
        <w:rPr>
          <w:szCs w:val="22"/>
          <w:shd w:val="clear" w:color="auto" w:fill="FFFFFF"/>
          <w:lang w:val="es-ES"/>
        </w:rPr>
        <w:t>, de conformidad con la Resolución</w:t>
      </w:r>
      <w:r w:rsidRPr="002B4BC4">
        <w:rPr>
          <w:szCs w:val="22"/>
          <w:shd w:val="clear" w:color="auto" w:fill="FFFFFF"/>
          <w:lang w:val="es-ES"/>
        </w:rPr>
        <w:t xml:space="preserve"> 136</w:t>
      </w:r>
      <w:r w:rsidRPr="002B4BC4">
        <w:rPr>
          <w:color w:val="444444"/>
          <w:szCs w:val="22"/>
          <w:lang w:val="es-ES"/>
        </w:rPr>
        <w:t xml:space="preserve"> (</w:t>
      </w:r>
      <w:hyperlink r:id="rId26" w:tgtFrame="_blank" w:history="1">
        <w:r w:rsidRPr="002B4BC4">
          <w:rPr>
            <w:rStyle w:val="Hyperlink"/>
            <w:color w:val="3789BD"/>
            <w:szCs w:val="22"/>
            <w:bdr w:val="none" w:sz="0" w:space="0" w:color="auto" w:frame="1"/>
            <w:lang w:val="es-ES"/>
          </w:rPr>
          <w:t>Rev. Bu</w:t>
        </w:r>
        <w:r w:rsidRPr="002B4BC4">
          <w:rPr>
            <w:rStyle w:val="Hyperlink"/>
            <w:color w:val="3789BD"/>
            <w:szCs w:val="22"/>
            <w:bdr w:val="none" w:sz="0" w:space="0" w:color="auto" w:frame="1"/>
            <w:lang w:val="es-ES"/>
          </w:rPr>
          <w:t>c</w:t>
        </w:r>
        <w:r w:rsidRPr="002B4BC4">
          <w:rPr>
            <w:rStyle w:val="Hyperlink"/>
            <w:color w:val="3789BD"/>
            <w:szCs w:val="22"/>
            <w:bdr w:val="none" w:sz="0" w:space="0" w:color="auto" w:frame="1"/>
            <w:lang w:val="es-ES"/>
          </w:rPr>
          <w:t>arest, 2022</w:t>
        </w:r>
      </w:hyperlink>
      <w:r w:rsidR="00D346E8">
        <w:rPr>
          <w:rStyle w:val="FootnoteReference"/>
          <w:color w:val="3789BD"/>
          <w:szCs w:val="22"/>
          <w:u w:val="single"/>
          <w:bdr w:val="none" w:sz="0" w:space="0" w:color="auto" w:frame="1"/>
          <w:lang w:val="es-ES"/>
        </w:rPr>
        <w:footnoteReference w:customMarkFollows="1" w:id="3"/>
        <w:t>3</w:t>
      </w:r>
      <w:r w:rsidRPr="002B4BC4">
        <w:rPr>
          <w:color w:val="444444"/>
          <w:szCs w:val="22"/>
          <w:lang w:val="es-ES"/>
        </w:rPr>
        <w:t xml:space="preserve">) </w:t>
      </w:r>
      <w:r>
        <w:rPr>
          <w:color w:val="444444"/>
          <w:szCs w:val="22"/>
          <w:lang w:val="es-ES"/>
        </w:rPr>
        <w:t>de la PP y la Resolución</w:t>
      </w:r>
      <w:r w:rsidRPr="002B4BC4">
        <w:rPr>
          <w:szCs w:val="22"/>
          <w:shd w:val="clear" w:color="auto" w:fill="FFFFFF"/>
          <w:lang w:val="es-ES"/>
        </w:rPr>
        <w:t xml:space="preserve"> 34</w:t>
      </w:r>
      <w:r w:rsidRPr="002B4BC4">
        <w:rPr>
          <w:color w:val="444444"/>
          <w:szCs w:val="22"/>
          <w:lang w:val="es-ES"/>
        </w:rPr>
        <w:t xml:space="preserve"> (</w:t>
      </w:r>
      <w:hyperlink r:id="rId27" w:tgtFrame="_blank" w:history="1">
        <w:r w:rsidRPr="002B4BC4">
          <w:rPr>
            <w:rStyle w:val="Hyperlink"/>
            <w:color w:val="3789BD"/>
            <w:szCs w:val="22"/>
            <w:bdr w:val="none" w:sz="0" w:space="0" w:color="auto" w:frame="1"/>
            <w:lang w:val="es-ES"/>
          </w:rPr>
          <w:t xml:space="preserve">Rev. </w:t>
        </w:r>
        <w:r w:rsidRPr="002B4BC4">
          <w:rPr>
            <w:rStyle w:val="Hyperlink"/>
            <w:color w:val="3789BD"/>
            <w:szCs w:val="22"/>
            <w:bdr w:val="none" w:sz="0" w:space="0" w:color="auto" w:frame="1"/>
            <w:lang w:val="es-ES"/>
          </w:rPr>
          <w:t>K</w:t>
        </w:r>
        <w:r w:rsidRPr="002B4BC4">
          <w:rPr>
            <w:rStyle w:val="Hyperlink"/>
            <w:color w:val="3789BD"/>
            <w:szCs w:val="22"/>
            <w:bdr w:val="none" w:sz="0" w:space="0" w:color="auto" w:frame="1"/>
            <w:lang w:val="es-ES"/>
          </w:rPr>
          <w:t>igali, 2022</w:t>
        </w:r>
      </w:hyperlink>
      <w:r w:rsidR="00D346E8">
        <w:rPr>
          <w:rStyle w:val="FootnoteReference"/>
          <w:color w:val="3789BD"/>
          <w:szCs w:val="22"/>
          <w:u w:val="single"/>
          <w:bdr w:val="none" w:sz="0" w:space="0" w:color="auto" w:frame="1"/>
          <w:lang w:val="es-ES"/>
        </w:rPr>
        <w:footnoteReference w:customMarkFollows="1" w:id="4"/>
        <w:t>4</w:t>
      </w:r>
      <w:r w:rsidRPr="002B4BC4">
        <w:rPr>
          <w:color w:val="444444"/>
          <w:szCs w:val="22"/>
          <w:lang w:val="es-ES"/>
        </w:rPr>
        <w:t>)</w:t>
      </w:r>
      <w:r w:rsidRPr="002B4BC4">
        <w:rPr>
          <w:szCs w:val="22"/>
          <w:shd w:val="clear" w:color="auto" w:fill="FFFFFF"/>
          <w:lang w:val="es-ES"/>
        </w:rPr>
        <w:t xml:space="preserve"> </w:t>
      </w:r>
      <w:r>
        <w:rPr>
          <w:szCs w:val="22"/>
          <w:shd w:val="clear" w:color="auto" w:fill="FFFFFF"/>
          <w:lang w:val="es-ES"/>
        </w:rPr>
        <w:t>de la CMDT, ha aumentado su asistencia los países que implementan sistemas de alerta temprana</w:t>
      </w:r>
      <w:r w:rsidRPr="002B4BC4">
        <w:rPr>
          <w:szCs w:val="22"/>
          <w:shd w:val="clear" w:color="auto" w:fill="FFFFFF"/>
          <w:lang w:val="es-ES"/>
        </w:rPr>
        <w:t xml:space="preserve"> (EWS). </w:t>
      </w:r>
      <w:r w:rsidRPr="00D346E8">
        <w:rPr>
          <w:lang w:val="es-ES"/>
        </w:rPr>
        <w:t>Lanzada</w:t>
      </w:r>
      <w:r w:rsidRPr="00772CDB">
        <w:rPr>
          <w:szCs w:val="22"/>
          <w:shd w:val="clear" w:color="auto" w:fill="FFFFFF"/>
          <w:lang w:val="es-ES"/>
        </w:rPr>
        <w:t xml:space="preserve"> en 2022 y liderada por la OMM y a Oficina de las Naciones Unidas para la Reducción del Riesgo de Desastres (UNDRR), e</w:t>
      </w:r>
      <w:r>
        <w:rPr>
          <w:szCs w:val="22"/>
          <w:shd w:val="clear" w:color="auto" w:fill="FFFFFF"/>
          <w:lang w:val="es-ES"/>
        </w:rPr>
        <w:t>sta nueva iniciativa de adaptación climática aboga por que todas las personas del mundo estén protegidas por un sistema de alerta temprana en</w:t>
      </w:r>
      <w:r w:rsidRPr="00772CDB">
        <w:rPr>
          <w:color w:val="000000"/>
          <w:lang w:val="es-ES"/>
        </w:rPr>
        <w:t xml:space="preserve"> 2027</w:t>
      </w:r>
      <w:r>
        <w:rPr>
          <w:color w:val="000000"/>
          <w:lang w:val="es-ES"/>
        </w:rPr>
        <w:t xml:space="preserve">. </w:t>
      </w:r>
      <w:r w:rsidRPr="00AD1CAC">
        <w:rPr>
          <w:color w:val="000000"/>
          <w:lang w:val="es-ES"/>
        </w:rPr>
        <w:t xml:space="preserve">La UIT se ocupa del pilar (3) de la iniciativa EW4All, </w:t>
      </w:r>
      <w:r w:rsidR="00D346E8">
        <w:rPr>
          <w:color w:val="444444"/>
          <w:bdr w:val="none" w:sz="0" w:space="0" w:color="auto" w:frame="1"/>
          <w:lang w:val="es-ES"/>
        </w:rPr>
        <w:t>"</w:t>
      </w:r>
      <w:hyperlink r:id="rId28" w:tgtFrame="_blank" w:tooltip="https://www.itu.int/hub/2023/01/early-warning-systems-mobile-connectivity" w:history="1">
        <w:r w:rsidRPr="00AD1CAC">
          <w:rPr>
            <w:rStyle w:val="Hyperlink"/>
            <w:color w:val="3789BD"/>
            <w:bdr w:val="none" w:sz="0" w:space="0" w:color="auto" w:frame="1"/>
            <w:lang w:val="es-ES"/>
          </w:rPr>
          <w:t>Difusión de alertas y comu</w:t>
        </w:r>
        <w:r w:rsidRPr="00AD1CAC">
          <w:rPr>
            <w:rStyle w:val="Hyperlink"/>
            <w:color w:val="3789BD"/>
            <w:bdr w:val="none" w:sz="0" w:space="0" w:color="auto" w:frame="1"/>
            <w:lang w:val="es-ES"/>
          </w:rPr>
          <w:t>n</w:t>
        </w:r>
        <w:r w:rsidRPr="00AD1CAC">
          <w:rPr>
            <w:rStyle w:val="Hyperlink"/>
            <w:color w:val="3789BD"/>
            <w:bdr w:val="none" w:sz="0" w:space="0" w:color="auto" w:frame="1"/>
            <w:lang w:val="es-ES"/>
          </w:rPr>
          <w:t>icación</w:t>
        </w:r>
      </w:hyperlink>
      <w:r w:rsidRPr="00AD1CAC">
        <w:rPr>
          <w:color w:val="444444"/>
          <w:bdr w:val="none" w:sz="0" w:space="0" w:color="auto" w:frame="1"/>
          <w:lang w:val="es-ES"/>
        </w:rPr>
        <w:t>",</w:t>
      </w:r>
      <w:r w:rsidRPr="00AD1CAC">
        <w:rPr>
          <w:rStyle w:val="apple-converted-space"/>
          <w:rFonts w:eastAsiaTheme="minorEastAsia"/>
          <w:color w:val="444444"/>
          <w:bdr w:val="none" w:sz="0" w:space="0" w:color="auto" w:frame="1"/>
          <w:lang w:val="es-ES"/>
        </w:rPr>
        <w:t xml:space="preserve"> que concierne a la conectividad </w:t>
      </w:r>
      <w:r w:rsidRPr="00D96FAA">
        <w:t>del</w:t>
      </w:r>
      <w:r w:rsidRPr="00AD1CAC">
        <w:rPr>
          <w:rStyle w:val="apple-converted-space"/>
          <w:rFonts w:eastAsiaTheme="minorEastAsia"/>
          <w:color w:val="444444"/>
          <w:bdr w:val="none" w:sz="0" w:space="0" w:color="auto" w:frame="1"/>
          <w:lang w:val="es-ES"/>
        </w:rPr>
        <w:t xml:space="preserve"> último kilómetro y a la </w:t>
      </w:r>
      <w:r>
        <w:rPr>
          <w:rStyle w:val="apple-converted-space"/>
          <w:rFonts w:eastAsiaTheme="minorEastAsia"/>
          <w:color w:val="444444"/>
          <w:bdr w:val="none" w:sz="0" w:space="0" w:color="auto" w:frame="1"/>
          <w:lang w:val="es-ES"/>
        </w:rPr>
        <w:t xml:space="preserve">garantía de que las alertas llega a la población en </w:t>
      </w:r>
      <w:r w:rsidRPr="00D96FAA">
        <w:rPr>
          <w:rFonts w:asciiTheme="minorHAnsi" w:hAnsiTheme="minorHAnsi" w:cstheme="minorBidi"/>
        </w:rPr>
        <w:t>riesgo</w:t>
      </w:r>
      <w:r>
        <w:rPr>
          <w:rStyle w:val="apple-converted-space"/>
          <w:rFonts w:eastAsiaTheme="minorEastAsia"/>
          <w:color w:val="444444"/>
          <w:bdr w:val="none" w:sz="0" w:space="0" w:color="auto" w:frame="1"/>
          <w:lang w:val="es-ES"/>
        </w:rPr>
        <w:t xml:space="preserve"> con tiempo suficiente para poder reaccionar</w:t>
      </w:r>
      <w:r w:rsidRPr="00AD1CAC">
        <w:rPr>
          <w:color w:val="000000"/>
          <w:bdr w:val="none" w:sz="0" w:space="0" w:color="auto" w:frame="1"/>
          <w:lang w:val="es-ES"/>
        </w:rPr>
        <w:t>.</w:t>
      </w:r>
    </w:p>
    <w:p w14:paraId="3E432EA2" w14:textId="5249BDA8" w:rsidR="0059147E" w:rsidRPr="00AD1CAC" w:rsidRDefault="0059147E" w:rsidP="0079565A">
      <w:pPr>
        <w:rPr>
          <w:bdr w:val="none" w:sz="0" w:space="0" w:color="auto" w:frame="1"/>
          <w:lang w:val="es-ES"/>
        </w:rPr>
      </w:pPr>
      <w:r w:rsidRPr="00AD1CAC">
        <w:rPr>
          <w:bdr w:val="none" w:sz="0" w:space="0" w:color="auto" w:frame="1"/>
          <w:lang w:val="es-ES"/>
        </w:rPr>
        <w:t>Para que esta esencial iniciativa de adaptación climática sea un éxito, la UIT aboga por la adopción de un enfoque multicanal que garantice que lo</w:t>
      </w:r>
      <w:r>
        <w:rPr>
          <w:bdr w:val="none" w:sz="0" w:space="0" w:color="auto" w:frame="1"/>
          <w:lang w:val="es-ES"/>
        </w:rPr>
        <w:t xml:space="preserve">s países emplean para difundir las alertas una amplia gama de canales de comunicación y tecnologías tanto tradicionales como vanguardistas, como la radio y la televisión, las redes móviles y las redes de satélites. </w:t>
      </w:r>
      <w:r w:rsidRPr="00AD1CAC">
        <w:rPr>
          <w:bdr w:val="none" w:sz="0" w:space="0" w:color="auto" w:frame="1"/>
          <w:lang w:val="es-ES"/>
        </w:rPr>
        <w:t>Para aprovechar la amplia presencia de redes, servicios y terminales móviles, así como los adelantos en los servicios de alerta incipi</w:t>
      </w:r>
      <w:r>
        <w:rPr>
          <w:bdr w:val="none" w:sz="0" w:space="0" w:color="auto" w:frame="1"/>
          <w:lang w:val="es-ES"/>
        </w:rPr>
        <w:t xml:space="preserve">entes por satélite, la UIT colabora estrechamente con sus Miembros de Sector, tanto del sector público como del privado, incluidas las industrias móvil y de satélites, así como con instituciones académicas y de la sociedad civil, para mejorar las soluciones existentes y explorar nuevas maneras de llegar al último </w:t>
      </w:r>
      <w:r>
        <w:rPr>
          <w:bdr w:val="none" w:sz="0" w:space="0" w:color="auto" w:frame="1"/>
          <w:lang w:val="es-ES"/>
        </w:rPr>
        <w:lastRenderedPageBreak/>
        <w:t xml:space="preserve">kilómetro. </w:t>
      </w:r>
      <w:r w:rsidRPr="00AD1CAC">
        <w:rPr>
          <w:bdr w:val="none" w:sz="0" w:space="0" w:color="auto" w:frame="1"/>
          <w:lang w:val="es-ES"/>
        </w:rPr>
        <w:t xml:space="preserve">La UIT también fomenta la utilización del protocolo de alerta común (PAC) para asegurar que los mensajes de alerta se </w:t>
      </w:r>
      <w:r>
        <w:rPr>
          <w:bdr w:val="none" w:sz="0" w:space="0" w:color="auto" w:frame="1"/>
          <w:lang w:val="es-ES"/>
        </w:rPr>
        <w:t>envían en formato armonizado que pueden entender las poblaciones en riesgo para tomar las medidas correspondientes</w:t>
      </w:r>
      <w:r w:rsidRPr="00AD1CAC">
        <w:rPr>
          <w:bdr w:val="none" w:sz="0" w:space="0" w:color="auto" w:frame="1"/>
          <w:lang w:val="es-ES"/>
        </w:rPr>
        <w:t xml:space="preserve">. </w:t>
      </w:r>
    </w:p>
    <w:p w14:paraId="3260D1F9" w14:textId="46FCCB64" w:rsidR="0059147E" w:rsidRPr="00E20BE9" w:rsidRDefault="0059147E" w:rsidP="00D346E8">
      <w:pPr>
        <w:rPr>
          <w:color w:val="000000"/>
          <w:lang w:val="es-ES"/>
        </w:rPr>
      </w:pPr>
      <w:r w:rsidRPr="00E20BE9">
        <w:rPr>
          <w:color w:val="000000" w:themeColor="text1"/>
          <w:lang w:val="es-ES"/>
        </w:rPr>
        <w:t xml:space="preserve">Durante la COP28, se expusieron los </w:t>
      </w:r>
      <w:hyperlink r:id="rId29">
        <w:r w:rsidRPr="00E20BE9">
          <w:rPr>
            <w:rStyle w:val="Hyperlink"/>
            <w:lang w:val="es-ES"/>
          </w:rPr>
          <w:t>compromisos de las industrias mó</w:t>
        </w:r>
        <w:r w:rsidRPr="00E20BE9">
          <w:rPr>
            <w:rStyle w:val="Hyperlink"/>
            <w:lang w:val="es-ES"/>
          </w:rPr>
          <w:t>v</w:t>
        </w:r>
        <w:r w:rsidRPr="00E20BE9">
          <w:rPr>
            <w:rStyle w:val="Hyperlink"/>
            <w:lang w:val="es-ES"/>
          </w:rPr>
          <w:t xml:space="preserve">il </w:t>
        </w:r>
        <w:r>
          <w:rPr>
            <w:rStyle w:val="Hyperlink"/>
            <w:lang w:val="es-ES"/>
          </w:rPr>
          <w:t xml:space="preserve">y de </w:t>
        </w:r>
        <w:r w:rsidRPr="00E20BE9">
          <w:rPr>
            <w:rStyle w:val="Hyperlink"/>
            <w:lang w:val="es-ES"/>
          </w:rPr>
          <w:t>sat</w:t>
        </w:r>
        <w:r>
          <w:rPr>
            <w:rStyle w:val="Hyperlink"/>
            <w:lang w:val="es-ES"/>
          </w:rPr>
          <w:t>é</w:t>
        </w:r>
        <w:r w:rsidRPr="00E20BE9">
          <w:rPr>
            <w:rStyle w:val="Hyperlink"/>
            <w:lang w:val="es-ES"/>
          </w:rPr>
          <w:t>lites</w:t>
        </w:r>
      </w:hyperlink>
      <w:r w:rsidRPr="00E20BE9">
        <w:rPr>
          <w:color w:val="000000" w:themeColor="text1"/>
          <w:lang w:val="es-ES"/>
        </w:rPr>
        <w:t xml:space="preserve">. La GSMA algunos operadores de redes móviles, incluidos VEON, KDDI, Globe, Safaricom, Telefónica, MTN y </w:t>
      </w:r>
      <w:r w:rsidRPr="00D346E8">
        <w:rPr>
          <w:lang w:val="es-ES"/>
        </w:rPr>
        <w:t>Axiata</w:t>
      </w:r>
      <w:r w:rsidRPr="00E20BE9">
        <w:rPr>
          <w:color w:val="000000" w:themeColor="text1"/>
          <w:lang w:val="es-ES"/>
        </w:rPr>
        <w:t xml:space="preserve"> Group, hicieron un llamamiento a la</w:t>
      </w:r>
      <w:r>
        <w:rPr>
          <w:color w:val="000000" w:themeColor="text1"/>
          <w:lang w:val="es-ES"/>
        </w:rPr>
        <w:t xml:space="preserve"> acción para el despliegue de la radiodifusión celular y los SMS por ubicación, aprovechando la conectividad digital para garantizar la protección de todos. </w:t>
      </w:r>
      <w:r w:rsidRPr="00E20BE9">
        <w:rPr>
          <w:color w:val="000000" w:themeColor="text1"/>
          <w:lang w:val="es-ES"/>
        </w:rPr>
        <w:t>La Asociación Mundial de Operadores de Satélites (GSOA) y sus socios se han comprometido a mejorar los servicios directos al ter</w:t>
      </w:r>
      <w:r>
        <w:rPr>
          <w:color w:val="000000" w:themeColor="text1"/>
          <w:lang w:val="es-ES"/>
        </w:rPr>
        <w:t>minal y a superar todo reto mediante una colaboración transectorial, incluso con los fabricantes de dispositivos</w:t>
      </w:r>
      <w:r w:rsidRPr="00E20BE9">
        <w:rPr>
          <w:color w:val="000000" w:themeColor="text1"/>
          <w:lang w:val="es-ES"/>
        </w:rPr>
        <w:t xml:space="preserve">. </w:t>
      </w:r>
    </w:p>
    <w:p w14:paraId="4763FE1F" w14:textId="1A36B7F0" w:rsidR="0059147E" w:rsidRPr="00E20BE9" w:rsidRDefault="0059147E" w:rsidP="00D346E8">
      <w:pPr>
        <w:rPr>
          <w:color w:val="000000"/>
          <w:lang w:val="es-ES"/>
        </w:rPr>
      </w:pPr>
      <w:r w:rsidRPr="00E20BE9">
        <w:rPr>
          <w:color w:val="000000"/>
          <w:lang w:val="es-ES"/>
        </w:rPr>
        <w:t xml:space="preserve">Los trabajos de la UIT en el marco de esta iniciativa están relacionados con los objetivos 2.3, </w:t>
      </w:r>
      <w:r w:rsidR="0079565A">
        <w:rPr>
          <w:color w:val="000000"/>
          <w:lang w:val="es-ES"/>
        </w:rPr>
        <w:t>"</w:t>
      </w:r>
      <w:r w:rsidRPr="00E20BE9">
        <w:rPr>
          <w:color w:val="000000"/>
          <w:lang w:val="es-ES"/>
        </w:rPr>
        <w:t xml:space="preserve">Potenciar la utilización de aplicaciones espaciales integradas para facilitar la observación del clima y la evaluación de los riesgos de desastre, mejorar los sistemas de alerta temprana para casos de desastre y proporcionar datos para los indicadores utilizados en el seguimiento de los progresos en la </w:t>
      </w:r>
      <w:r w:rsidRPr="00D346E8">
        <w:rPr>
          <w:lang w:val="es-ES"/>
        </w:rPr>
        <w:t>implementación</w:t>
      </w:r>
      <w:r w:rsidRPr="00E20BE9">
        <w:rPr>
          <w:color w:val="000000"/>
          <w:lang w:val="es-ES"/>
        </w:rPr>
        <w:t xml:space="preserve"> de la Agenda 2030 para el Desarrollo Sostenible, el Marco de Se</w:t>
      </w:r>
      <w:r>
        <w:rPr>
          <w:color w:val="000000"/>
          <w:lang w:val="es-ES"/>
        </w:rPr>
        <w:t>ndái y los compromisos de los Estados partes en el Acuerdo de París</w:t>
      </w:r>
      <w:r w:rsidR="0079565A">
        <w:rPr>
          <w:color w:val="000000"/>
          <w:lang w:val="es-ES"/>
        </w:rPr>
        <w:t>"</w:t>
      </w:r>
      <w:r>
        <w:rPr>
          <w:color w:val="000000"/>
          <w:lang w:val="es-ES"/>
        </w:rPr>
        <w:t>,</w:t>
      </w:r>
      <w:r w:rsidRPr="00E20BE9">
        <w:rPr>
          <w:color w:val="000000"/>
          <w:lang w:val="es-ES"/>
        </w:rPr>
        <w:t xml:space="preserve"> </w:t>
      </w:r>
      <w:r>
        <w:rPr>
          <w:color w:val="000000"/>
          <w:lang w:val="es-ES"/>
        </w:rPr>
        <w:t>y</w:t>
      </w:r>
      <w:r w:rsidRPr="00E20BE9">
        <w:rPr>
          <w:color w:val="000000"/>
          <w:lang w:val="es-ES"/>
        </w:rPr>
        <w:t xml:space="preserve"> 2.5</w:t>
      </w:r>
      <w:r>
        <w:rPr>
          <w:color w:val="000000"/>
          <w:lang w:val="es-ES"/>
        </w:rPr>
        <w:t>,</w:t>
      </w:r>
      <w:r w:rsidRPr="00E20BE9">
        <w:rPr>
          <w:color w:val="000000"/>
          <w:lang w:val="es-ES"/>
        </w:rPr>
        <w:t xml:space="preserve"> </w:t>
      </w:r>
      <w:r w:rsidR="0079565A">
        <w:rPr>
          <w:color w:val="000000"/>
          <w:lang w:val="es-ES"/>
        </w:rPr>
        <w:t>"</w:t>
      </w:r>
      <w:r w:rsidRPr="00E20BE9">
        <w:rPr>
          <w:color w:val="000000"/>
          <w:lang w:val="es-ES"/>
        </w:rPr>
        <w:t>Promo</w:t>
      </w:r>
      <w:r>
        <w:rPr>
          <w:color w:val="000000"/>
          <w:lang w:val="es-ES"/>
        </w:rPr>
        <w:t>ver la utilización de tecnologías espaciales en todas las fases del ciclo de la gestión de desastres, tanto naturales como antropogénicos, a saber, la prevención, la mitigación, la preparación, la respuesta, la recuperación, la reconstrucción y la rehabilitación; vigilar y evaluar elementos como la exposición, los peligros, el riesgo de desastres y los daños en diferentes regiones del mundo; y promover la compartición de datos de seguimiento de desastres</w:t>
      </w:r>
      <w:r w:rsidR="0079565A">
        <w:rPr>
          <w:color w:val="000000"/>
          <w:lang w:val="es-ES"/>
        </w:rPr>
        <w:t>"</w:t>
      </w:r>
      <w:r>
        <w:rPr>
          <w:color w:val="000000"/>
          <w:lang w:val="es-ES"/>
        </w:rPr>
        <w:t xml:space="preserve">, de la Agenda </w:t>
      </w:r>
      <w:r w:rsidR="0079565A">
        <w:rPr>
          <w:color w:val="000000"/>
          <w:lang w:val="es-ES"/>
        </w:rPr>
        <w:t>"</w:t>
      </w:r>
      <w:r>
        <w:rPr>
          <w:color w:val="000000"/>
          <w:lang w:val="es-ES"/>
        </w:rPr>
        <w:t>Espacio2030</w:t>
      </w:r>
      <w:r w:rsidR="0079565A">
        <w:rPr>
          <w:color w:val="000000"/>
          <w:lang w:val="es-ES"/>
        </w:rPr>
        <w:t>"</w:t>
      </w:r>
      <w:r>
        <w:rPr>
          <w:color w:val="000000"/>
          <w:lang w:val="es-ES"/>
        </w:rPr>
        <w:t>.</w:t>
      </w:r>
    </w:p>
    <w:p w14:paraId="6218BBBC" w14:textId="77777777" w:rsidR="0059147E" w:rsidRPr="002D2E23" w:rsidRDefault="0059147E" w:rsidP="0079565A">
      <w:pPr>
        <w:pStyle w:val="Heading2"/>
        <w:rPr>
          <w:b w:val="0"/>
          <w:lang w:val="es-ES"/>
        </w:rPr>
      </w:pPr>
      <w:r w:rsidRPr="002D2E23">
        <w:rPr>
          <w:lang w:val="es-ES"/>
        </w:rPr>
        <w:t>3.4</w:t>
      </w:r>
      <w:r w:rsidRPr="002D2E23">
        <w:rPr>
          <w:lang w:val="es-ES"/>
        </w:rPr>
        <w:tab/>
      </w:r>
      <w:r w:rsidRPr="0079565A">
        <w:rPr>
          <w:lang w:val="es-ES"/>
        </w:rPr>
        <w:t>Prioridad</w:t>
      </w:r>
      <w:r w:rsidRPr="002D2E23">
        <w:rPr>
          <w:lang w:val="es-ES"/>
        </w:rPr>
        <w:t xml:space="preserve"> </w:t>
      </w:r>
      <w:r w:rsidRPr="0079565A">
        <w:t>temática</w:t>
      </w:r>
      <w:r w:rsidRPr="002D2E23">
        <w:rPr>
          <w:lang w:val="es-ES"/>
        </w:rPr>
        <w:t xml:space="preserve"> 4 – Aplicaciones digitales</w:t>
      </w:r>
    </w:p>
    <w:p w14:paraId="69E6F848" w14:textId="54C7E8FB" w:rsidR="0059147E" w:rsidRPr="00E20BE9" w:rsidRDefault="0059147E" w:rsidP="00D346E8">
      <w:pPr>
        <w:rPr>
          <w:rFonts w:asciiTheme="minorHAnsi" w:hAnsiTheme="minorHAnsi" w:cstheme="minorBidi"/>
          <w:lang w:val="es-ES"/>
        </w:rPr>
      </w:pPr>
      <w:r>
        <w:rPr>
          <w:rFonts w:cstheme="minorHAnsi"/>
          <w:szCs w:val="24"/>
          <w:lang w:val="es-ES"/>
        </w:rPr>
        <w:t>E</w:t>
      </w:r>
      <w:r w:rsidRPr="00E20BE9">
        <w:rPr>
          <w:rFonts w:cstheme="minorHAnsi"/>
          <w:szCs w:val="24"/>
          <w:lang w:val="es-ES"/>
        </w:rPr>
        <w:t xml:space="preserve">n el marco de esta prioridad temática, se pretende mejorar la adopción y utilización de las aplicaciones de telecomunicaciones/TIC gracias a un mayor despliegue de las redes y servicios espaciales necesarios para </w:t>
      </w:r>
      <w:r w:rsidRPr="00D346E8">
        <w:rPr>
          <w:lang w:val="es-ES"/>
        </w:rPr>
        <w:t>dichas</w:t>
      </w:r>
      <w:r w:rsidRPr="00E20BE9">
        <w:rPr>
          <w:rFonts w:cstheme="minorHAnsi"/>
          <w:szCs w:val="24"/>
          <w:lang w:val="es-ES"/>
        </w:rPr>
        <w:t xml:space="preserve"> aplicaciones, con el fin de mejorar la capacidad de los Estados Miembros para aprovechar la innovación y el espíritu empresarial en pro del desarrollo sostenible, en consonancia con los objetivos establecidos en el objetivo general 1</w:t>
      </w:r>
      <w:r w:rsidR="0079565A">
        <w:rPr>
          <w:rFonts w:cstheme="minorHAnsi"/>
          <w:szCs w:val="24"/>
          <w:lang w:val="es-ES"/>
        </w:rPr>
        <w:t> </w:t>
      </w:r>
      <w:r w:rsidRPr="00E20BE9">
        <w:rPr>
          <w:rFonts w:cstheme="minorHAnsi"/>
          <w:szCs w:val="24"/>
          <w:lang w:val="es-ES"/>
        </w:rPr>
        <w:t>de la Agenda</w:t>
      </w:r>
      <w:r w:rsidRPr="00E20BE9">
        <w:rPr>
          <w:rFonts w:asciiTheme="minorHAnsi" w:hAnsiTheme="minorHAnsi" w:cstheme="minorBidi"/>
          <w:lang w:val="es-ES"/>
        </w:rPr>
        <w:t xml:space="preserve">. </w:t>
      </w:r>
    </w:p>
    <w:p w14:paraId="5CCFCBF4" w14:textId="77777777" w:rsidR="0059147E" w:rsidRPr="001550B5" w:rsidRDefault="0059147E" w:rsidP="0079565A">
      <w:pPr>
        <w:pStyle w:val="Heading2"/>
        <w:rPr>
          <w:b w:val="0"/>
          <w:lang w:val="es-ES"/>
        </w:rPr>
      </w:pPr>
      <w:r w:rsidRPr="001550B5">
        <w:rPr>
          <w:lang w:val="es-ES"/>
        </w:rPr>
        <w:t>3.5</w:t>
      </w:r>
      <w:r w:rsidRPr="001550B5">
        <w:rPr>
          <w:lang w:val="es-ES"/>
        </w:rPr>
        <w:tab/>
      </w:r>
      <w:r w:rsidRPr="0079565A">
        <w:t>Prioridad</w:t>
      </w:r>
      <w:r w:rsidRPr="001550B5">
        <w:rPr>
          <w:lang w:val="es-ES"/>
        </w:rPr>
        <w:t xml:space="preserve"> temática 5 – Entorno propicio</w:t>
      </w:r>
    </w:p>
    <w:p w14:paraId="2AD03BC4" w14:textId="77777777" w:rsidR="0059147E" w:rsidRPr="001550B5" w:rsidRDefault="0059147E" w:rsidP="00D346E8">
      <w:pPr>
        <w:rPr>
          <w:rFonts w:asciiTheme="minorHAnsi" w:hAnsiTheme="minorHAnsi" w:cstheme="minorBidi"/>
          <w:lang w:val="es-ES"/>
        </w:rPr>
      </w:pPr>
      <w:r>
        <w:rPr>
          <w:rFonts w:cstheme="minorHAnsi"/>
          <w:szCs w:val="24"/>
          <w:lang w:val="es-ES"/>
        </w:rPr>
        <w:t>L</w:t>
      </w:r>
      <w:r w:rsidRPr="001550B5">
        <w:rPr>
          <w:rFonts w:cstheme="minorHAnsi"/>
          <w:szCs w:val="24"/>
          <w:lang w:val="es-ES"/>
        </w:rPr>
        <w:t>os entornos políticos y normativos, concebidos en el marco de esta prioridad temática teniendo en cuenta las especificidades de las tecnologías espaciales, garantizarán que los Estados Miembros puedan aprovechar las ventajas de estas tecnologías cuando corresponda, aumentando así el número de opciones políticas para ofrecer una conectividad universal y llevar a cabo una transformación digital sostenible</w:t>
      </w:r>
      <w:r w:rsidRPr="001550B5">
        <w:rPr>
          <w:rFonts w:asciiTheme="minorHAnsi" w:hAnsiTheme="minorHAnsi" w:cstheme="minorBidi"/>
          <w:lang w:val="es-ES"/>
        </w:rPr>
        <w:t>.</w:t>
      </w:r>
    </w:p>
    <w:p w14:paraId="119185CE" w14:textId="4389B1FE" w:rsidR="0059147E" w:rsidRPr="001550B5" w:rsidRDefault="0059147E" w:rsidP="0079565A">
      <w:pPr>
        <w:rPr>
          <w:lang w:val="es-ES"/>
        </w:rPr>
      </w:pPr>
      <w:r w:rsidRPr="001550B5">
        <w:rPr>
          <w:lang w:val="es-ES"/>
        </w:rPr>
        <w:t xml:space="preserve">Las actividades emprendidas en el marco de esta prioridad temática están específicamente relacionados con los objetivos 3.4, </w:t>
      </w:r>
      <w:r w:rsidR="0079565A">
        <w:rPr>
          <w:lang w:val="es-ES"/>
        </w:rPr>
        <w:t>"</w:t>
      </w:r>
      <w:r w:rsidRPr="001550B5">
        <w:rPr>
          <w:lang w:val="es-ES"/>
        </w:rPr>
        <w:t xml:space="preserve">Intensificar la creación de capacidad, la educación y la formación en </w:t>
      </w:r>
      <w:r w:rsidRPr="00D346E8">
        <w:rPr>
          <w:lang w:val="es-ES"/>
        </w:rPr>
        <w:t>ciencias</w:t>
      </w:r>
      <w:r w:rsidRPr="001550B5">
        <w:rPr>
          <w:lang w:val="es-ES"/>
        </w:rPr>
        <w:t xml:space="preserve"> y aplicaciones </w:t>
      </w:r>
      <w:r>
        <w:rPr>
          <w:lang w:val="es-ES"/>
        </w:rPr>
        <w:t>espaciales, en particular para los países en desarrollo</w:t>
      </w:r>
      <w:r w:rsidR="0079565A">
        <w:rPr>
          <w:lang w:val="es-ES"/>
        </w:rPr>
        <w:t>"</w:t>
      </w:r>
      <w:r>
        <w:rPr>
          <w:lang w:val="es-ES"/>
        </w:rPr>
        <w:t>, y</w:t>
      </w:r>
      <w:r w:rsidRPr="001550B5">
        <w:rPr>
          <w:lang w:val="es-ES"/>
        </w:rPr>
        <w:t xml:space="preserve"> 4.3</w:t>
      </w:r>
      <w:r>
        <w:rPr>
          <w:lang w:val="es-ES"/>
        </w:rPr>
        <w:t>,</w:t>
      </w:r>
      <w:r w:rsidRPr="001550B5">
        <w:rPr>
          <w:lang w:val="es-ES"/>
        </w:rPr>
        <w:t xml:space="preserve"> </w:t>
      </w:r>
      <w:r w:rsidR="0079565A">
        <w:rPr>
          <w:lang w:val="es-ES"/>
        </w:rPr>
        <w:t>"</w:t>
      </w:r>
      <w:r>
        <w:rPr>
          <w:lang w:val="es-ES"/>
        </w:rPr>
        <w:t>Fortalecer la creación de capacidad y la asistencia técnica a los Estados Miembros, incluida la que presta la Oficina de Asuntos del Espacio Ultraterrestre, en particular en la esfera del derecho y la política internacionales del espacio</w:t>
      </w:r>
      <w:r w:rsidR="0079565A">
        <w:rPr>
          <w:lang w:val="es-ES"/>
        </w:rPr>
        <w:t>"</w:t>
      </w:r>
      <w:r>
        <w:rPr>
          <w:lang w:val="es-ES"/>
        </w:rPr>
        <w:t xml:space="preserve">, de la Agenda </w:t>
      </w:r>
      <w:r w:rsidR="0079565A">
        <w:rPr>
          <w:lang w:val="es-ES"/>
        </w:rPr>
        <w:t>"</w:t>
      </w:r>
      <w:r>
        <w:rPr>
          <w:lang w:val="es-ES"/>
        </w:rPr>
        <w:t>Espacio2030</w:t>
      </w:r>
      <w:r w:rsidR="0079565A">
        <w:rPr>
          <w:lang w:val="es-ES"/>
        </w:rPr>
        <w:t>"</w:t>
      </w:r>
      <w:r w:rsidRPr="001550B5">
        <w:rPr>
          <w:lang w:val="es-ES"/>
        </w:rPr>
        <w:t xml:space="preserve">: </w:t>
      </w:r>
    </w:p>
    <w:p w14:paraId="16C6DAC6" w14:textId="044FD6AC" w:rsidR="0059147E" w:rsidRPr="001550B5" w:rsidRDefault="0079565A" w:rsidP="0079565A">
      <w:pPr>
        <w:pStyle w:val="enumlev1"/>
        <w:rPr>
          <w:lang w:val="es-ES"/>
        </w:rPr>
      </w:pPr>
      <w:r>
        <w:rPr>
          <w:lang w:val="es-ES"/>
        </w:rPr>
        <w:lastRenderedPageBreak/>
        <w:sym w:font="Symbol" w:char="F0B7"/>
      </w:r>
      <w:r>
        <w:rPr>
          <w:lang w:val="es-ES"/>
        </w:rPr>
        <w:tab/>
      </w:r>
      <w:r w:rsidR="0059147E" w:rsidRPr="001550B5">
        <w:rPr>
          <w:lang w:val="es-ES"/>
        </w:rPr>
        <w:t>La Academia de la UIT sigue impartiendo el Programa de Formación en Gestión d</w:t>
      </w:r>
      <w:r w:rsidR="0059147E">
        <w:rPr>
          <w:lang w:val="es-ES"/>
        </w:rPr>
        <w:t>el Espectro</w:t>
      </w:r>
      <w:r w:rsidR="0059147E" w:rsidRPr="001550B5">
        <w:rPr>
          <w:lang w:val="es-ES"/>
        </w:rPr>
        <w:t xml:space="preserve"> (SMTP) </w:t>
      </w:r>
      <w:r w:rsidR="0059147E">
        <w:rPr>
          <w:lang w:val="es-ES"/>
        </w:rPr>
        <w:t>de la UIT en colaboración con</w:t>
      </w:r>
      <w:r w:rsidR="0059147E" w:rsidRPr="001550B5">
        <w:rPr>
          <w:lang w:val="es-ES"/>
        </w:rPr>
        <w:t xml:space="preserve"> AFRALTI, </w:t>
      </w:r>
      <w:r w:rsidR="0059147E">
        <w:rPr>
          <w:lang w:val="es-ES"/>
        </w:rPr>
        <w:t xml:space="preserve">un Centro de Formación de la Academia de la UIT. </w:t>
      </w:r>
      <w:r w:rsidR="0059147E" w:rsidRPr="001550B5">
        <w:rPr>
          <w:lang w:val="es-ES"/>
        </w:rPr>
        <w:t>El SMTP es un programa integral diseñado para Estados Miembros y Miembros de Sector, que ofrece formación de alto nivel en todos los aspectos de la gestión del espectro; se imp</w:t>
      </w:r>
      <w:r w:rsidR="0059147E">
        <w:rPr>
          <w:lang w:val="es-ES"/>
        </w:rPr>
        <w:t xml:space="preserve">arte en nivel básico y avanzado y abarca una amplia gama de temas, desde los marcos jurídicos a las especializaciones técnicas. </w:t>
      </w:r>
      <w:r w:rsidR="0059147E" w:rsidRPr="001550B5">
        <w:rPr>
          <w:lang w:val="es-ES"/>
        </w:rPr>
        <w:t xml:space="preserve">En 2023 se impartieron 8 módulos en los que participaron más de 60 personas de 20 países. </w:t>
      </w:r>
    </w:p>
    <w:p w14:paraId="65C3947A" w14:textId="54F5C713" w:rsidR="0059147E" w:rsidRPr="001550B5" w:rsidRDefault="0079565A" w:rsidP="0079565A">
      <w:pPr>
        <w:pStyle w:val="enumlev1"/>
        <w:rPr>
          <w:szCs w:val="24"/>
          <w:lang w:val="es-ES"/>
        </w:rPr>
      </w:pPr>
      <w:r>
        <w:rPr>
          <w:lang w:val="es-ES"/>
        </w:rPr>
        <w:sym w:font="Symbol" w:char="F0B7"/>
      </w:r>
      <w:r>
        <w:rPr>
          <w:lang w:val="es-ES"/>
        </w:rPr>
        <w:tab/>
      </w:r>
      <w:r w:rsidR="0059147E" w:rsidRPr="001550B5">
        <w:rPr>
          <w:szCs w:val="24"/>
          <w:lang w:val="es-ES"/>
        </w:rPr>
        <w:t>Por otra parte, la Academia de la UIT prosigue su colaboración con la Organización Internacional de</w:t>
      </w:r>
      <w:r w:rsidR="0059147E">
        <w:rPr>
          <w:szCs w:val="24"/>
          <w:lang w:val="es-ES"/>
        </w:rPr>
        <w:t xml:space="preserve"> Telecomunicaciones por Satélite</w:t>
      </w:r>
      <w:r w:rsidR="0059147E" w:rsidRPr="001550B5">
        <w:rPr>
          <w:szCs w:val="24"/>
          <w:lang w:val="es-ES"/>
        </w:rPr>
        <w:t xml:space="preserve"> (ITSO) </w:t>
      </w:r>
      <w:r w:rsidR="0059147E">
        <w:rPr>
          <w:szCs w:val="24"/>
          <w:lang w:val="es-ES"/>
        </w:rPr>
        <w:t xml:space="preserve">sobre el curso </w:t>
      </w:r>
      <w:r w:rsidR="00C063AD">
        <w:rPr>
          <w:szCs w:val="24"/>
          <w:lang w:val="es-ES"/>
        </w:rPr>
        <w:t>"</w:t>
      </w:r>
      <w:r w:rsidR="0059147E">
        <w:rPr>
          <w:szCs w:val="24"/>
          <w:lang w:val="es-ES"/>
        </w:rPr>
        <w:t xml:space="preserve">Comunicaciones por satélite y procedimientos del Reglamento de </w:t>
      </w:r>
      <w:r w:rsidR="0059147E" w:rsidRPr="0079565A">
        <w:rPr>
          <w:lang w:val="es-ES"/>
        </w:rPr>
        <w:t>Radiocomunicaciones</w:t>
      </w:r>
      <w:r w:rsidR="00C063AD">
        <w:rPr>
          <w:lang w:val="es-ES"/>
        </w:rPr>
        <w:t>"</w:t>
      </w:r>
      <w:r w:rsidR="0059147E">
        <w:rPr>
          <w:szCs w:val="24"/>
          <w:lang w:val="es-ES"/>
        </w:rPr>
        <w:t xml:space="preserve">, cuyo principal objetivo es mejorar el conocimiento de las políticas, reglamentos, marcos de licencias y aspectos técnicos asociados con la prestación de servicios de comunicaciones por satélite. </w:t>
      </w:r>
      <w:r w:rsidR="0059147E" w:rsidRPr="001550B5">
        <w:rPr>
          <w:szCs w:val="24"/>
          <w:lang w:val="es-ES"/>
        </w:rPr>
        <w:t xml:space="preserve">En 2023 se impartió el curso para las regiones de África y </w:t>
      </w:r>
      <w:r w:rsidR="0059147E">
        <w:rPr>
          <w:szCs w:val="24"/>
          <w:lang w:val="es-ES"/>
        </w:rPr>
        <w:t>los Estados Árabes, contando con más de 60 participantes de 29 países</w:t>
      </w:r>
      <w:r w:rsidR="0059147E" w:rsidRPr="001550B5">
        <w:rPr>
          <w:szCs w:val="24"/>
          <w:lang w:val="es-ES"/>
        </w:rPr>
        <w:t xml:space="preserve">. </w:t>
      </w:r>
    </w:p>
    <w:p w14:paraId="1B23EF27" w14:textId="0D2327DA" w:rsidR="0059147E" w:rsidRPr="001550B5" w:rsidRDefault="0079565A" w:rsidP="00213DB5">
      <w:pPr>
        <w:pStyle w:val="enumlev1"/>
        <w:rPr>
          <w:lang w:val="es-ES"/>
        </w:rPr>
      </w:pPr>
      <w:r>
        <w:rPr>
          <w:lang w:val="es-ES"/>
        </w:rPr>
        <w:sym w:font="Symbol" w:char="F0B7"/>
      </w:r>
      <w:r>
        <w:rPr>
          <w:lang w:val="es-ES"/>
        </w:rPr>
        <w:tab/>
      </w:r>
      <w:r w:rsidR="0059147E" w:rsidRPr="001550B5">
        <w:rPr>
          <w:lang w:val="es-ES"/>
        </w:rPr>
        <w:t>El personal de la UIT ha participado activamente en varios seminarios y talleres, incluidos los organizados por la UNOOSA y</w:t>
      </w:r>
      <w:r w:rsidR="0059147E">
        <w:rPr>
          <w:lang w:val="es-ES"/>
        </w:rPr>
        <w:t xml:space="preserve"> la Agencia Espacial Europea</w:t>
      </w:r>
      <w:r w:rsidR="0059147E" w:rsidRPr="001550B5">
        <w:rPr>
          <w:lang w:val="es-ES"/>
        </w:rPr>
        <w:t xml:space="preserve"> (ESA), </w:t>
      </w:r>
      <w:r w:rsidR="0059147E">
        <w:rPr>
          <w:lang w:val="es-ES"/>
        </w:rPr>
        <w:t xml:space="preserve">a fin de capacitar a </w:t>
      </w:r>
      <w:r w:rsidR="0059147E" w:rsidRPr="0079565A">
        <w:rPr>
          <w:lang w:val="es-ES"/>
        </w:rPr>
        <w:t>los</w:t>
      </w:r>
      <w:r w:rsidR="0059147E">
        <w:rPr>
          <w:lang w:val="es-ES"/>
        </w:rPr>
        <w:t xml:space="preserve"> Estados Miembros en cuanto a los procedimientos de inscripción de frecuencias de la UIT para satélites pequeños</w:t>
      </w:r>
      <w:r w:rsidR="0059147E" w:rsidRPr="001550B5">
        <w:rPr>
          <w:lang w:val="es-ES"/>
        </w:rPr>
        <w:t>.</w:t>
      </w:r>
    </w:p>
    <w:p w14:paraId="4C9A750C" w14:textId="18BC7F55" w:rsidR="0059147E" w:rsidRPr="00020ED1" w:rsidRDefault="0079565A" w:rsidP="00213DB5">
      <w:pPr>
        <w:pStyle w:val="enumlev1"/>
        <w:rPr>
          <w:szCs w:val="24"/>
        </w:rPr>
      </w:pPr>
      <w:r>
        <w:rPr>
          <w:lang w:val="es-ES"/>
        </w:rPr>
        <w:sym w:font="Symbol" w:char="F0B7"/>
      </w:r>
      <w:r>
        <w:rPr>
          <w:lang w:val="es-ES"/>
        </w:rPr>
        <w:tab/>
      </w:r>
      <w:r w:rsidR="0059147E" w:rsidRPr="00E576CD">
        <w:rPr>
          <w:lang w:val="es-ES"/>
        </w:rPr>
        <w:t xml:space="preserve">La UIT facilitó la celebración de 2º Taller de la Unión Internacional de </w:t>
      </w:r>
      <w:r w:rsidR="0059147E" w:rsidRPr="0079565A">
        <w:rPr>
          <w:lang w:val="es-ES"/>
        </w:rPr>
        <w:t>Telecomunicaciones</w:t>
      </w:r>
      <w:r w:rsidR="0059147E" w:rsidRPr="00E576CD">
        <w:rPr>
          <w:lang w:val="es-ES"/>
        </w:rPr>
        <w:t xml:space="preserve"> (UIT) – Asociación de Reguladores de Comunicaciones del África Meridional (CRASA) s</w:t>
      </w:r>
      <w:r w:rsidR="0059147E">
        <w:rPr>
          <w:lang w:val="es-ES"/>
        </w:rPr>
        <w:t xml:space="preserve">obre marcos reglamentarios de espacio y economía espacial en </w:t>
      </w:r>
      <w:r w:rsidR="0059147E" w:rsidRPr="00E576CD">
        <w:rPr>
          <w:lang w:val="es-ES"/>
        </w:rPr>
        <w:t>Luanda, Angola (p</w:t>
      </w:r>
      <w:r w:rsidR="0059147E">
        <w:rPr>
          <w:lang w:val="es-ES"/>
        </w:rPr>
        <w:t>onentes</w:t>
      </w:r>
      <w:r w:rsidR="0059147E" w:rsidRPr="00E576CD">
        <w:rPr>
          <w:lang w:val="es-ES"/>
        </w:rPr>
        <w:t xml:space="preserve">: </w:t>
      </w:r>
      <w:r w:rsidR="0059147E">
        <w:rPr>
          <w:lang w:val="es-ES"/>
        </w:rPr>
        <w:t xml:space="preserve">expertos de la </w:t>
      </w:r>
      <w:r w:rsidR="0059147E" w:rsidRPr="00E576CD">
        <w:rPr>
          <w:lang w:val="es-ES"/>
        </w:rPr>
        <w:t xml:space="preserve">BDT </w:t>
      </w:r>
      <w:r w:rsidR="0059147E">
        <w:rPr>
          <w:lang w:val="es-ES"/>
        </w:rPr>
        <w:t>y la</w:t>
      </w:r>
      <w:r w:rsidR="0059147E" w:rsidRPr="00E576CD">
        <w:rPr>
          <w:lang w:val="es-ES"/>
        </w:rPr>
        <w:t xml:space="preserve"> BR, Anatel, </w:t>
      </w:r>
      <w:r w:rsidR="0059147E">
        <w:rPr>
          <w:lang w:val="es-ES"/>
        </w:rPr>
        <w:t xml:space="preserve">Organización de </w:t>
      </w:r>
      <w:r w:rsidR="0059147E" w:rsidRPr="00213DB5">
        <w:t>Comunicaciones</w:t>
      </w:r>
      <w:r w:rsidR="0059147E">
        <w:rPr>
          <w:lang w:val="es-ES"/>
        </w:rPr>
        <w:t xml:space="preserve"> por Satélite de la Región de África</w:t>
      </w:r>
      <w:r w:rsidR="0059147E" w:rsidRPr="00E576CD">
        <w:rPr>
          <w:lang w:val="es-ES"/>
        </w:rPr>
        <w:t xml:space="preserve"> (RASCOM), </w:t>
      </w:r>
      <w:r w:rsidR="0059147E">
        <w:rPr>
          <w:lang w:val="es-ES"/>
        </w:rPr>
        <w:t xml:space="preserve">Observatorio </w:t>
      </w:r>
      <w:r w:rsidR="0059147E" w:rsidRPr="00E576CD">
        <w:rPr>
          <w:lang w:val="es-ES"/>
        </w:rPr>
        <w:t xml:space="preserve">Square Kilometre Array (SKA), </w:t>
      </w:r>
      <w:r w:rsidR="0059147E">
        <w:rPr>
          <w:lang w:val="es-ES"/>
        </w:rPr>
        <w:t>Unión Astronómica Internacional</w:t>
      </w:r>
      <w:r w:rsidR="0059147E" w:rsidRPr="00E576CD">
        <w:rPr>
          <w:lang w:val="es-ES"/>
        </w:rPr>
        <w:t xml:space="preserve"> (IAU) CPS, AST Space Mobile, GSOA, GGPEN, UNOOSA, </w:t>
      </w:r>
      <w:r w:rsidR="0059147E">
        <w:rPr>
          <w:lang w:val="es-ES"/>
        </w:rPr>
        <w:t>Autoridad de Reglamentación de las Comunicaciones de Malawi</w:t>
      </w:r>
      <w:r w:rsidR="0059147E" w:rsidRPr="00E576CD">
        <w:rPr>
          <w:lang w:val="es-ES"/>
        </w:rPr>
        <w:t xml:space="preserve"> (MACRA), CRASA </w:t>
      </w:r>
      <w:r w:rsidR="0059147E">
        <w:rPr>
          <w:lang w:val="es-ES"/>
        </w:rPr>
        <w:t>y Autoridad de Reglamentación de las Comunicaciones de Tanzanía</w:t>
      </w:r>
      <w:r w:rsidR="0059147E" w:rsidRPr="00E576CD">
        <w:rPr>
          <w:lang w:val="es-ES"/>
        </w:rPr>
        <w:t xml:space="preserve"> (TCRA)). Se dio a los Estados Miembros de la CRASA información sobre el estadio actual de mercado de las comunicaciones por satélite, haciendo hincapié en los avances más recientes y </w:t>
      </w:r>
      <w:r w:rsidR="0059147E" w:rsidRPr="0079565A">
        <w:rPr>
          <w:lang w:val="es-ES"/>
        </w:rPr>
        <w:t>los</w:t>
      </w:r>
      <w:r w:rsidR="0059147E" w:rsidRPr="00E576CD">
        <w:rPr>
          <w:lang w:val="es-ES"/>
        </w:rPr>
        <w:t xml:space="preserve"> diversos aspectos de los sistemas de comunicaciones por satélite en órbita terrestre baja, se iniciaron debates sobre normas reglamentarias relativas a la atribución y coordinación del es</w:t>
      </w:r>
      <w:r w:rsidR="0059147E">
        <w:rPr>
          <w:lang w:val="es-ES"/>
        </w:rPr>
        <w:t>pectro, así como los procedimientos de reducción de la interferencia, se compartieron y analizaron estudios de caso de distintos países y empresas para entender los aspectos operativos de los sistemas de satélites y los problemas reglamentarios y de licencias, se promovió un diálogo sobre consideraciones medioambientales y de sostenibilidad y se fomentó el intercambio de conocimientos y la colaboración entre los Estados Miembros de la</w:t>
      </w:r>
      <w:r w:rsidR="0059147E" w:rsidRPr="00E576CD">
        <w:rPr>
          <w:szCs w:val="24"/>
          <w:lang w:val="es-ES"/>
        </w:rPr>
        <w:t xml:space="preserve"> CRASA</w:t>
      </w:r>
      <w:r w:rsidR="0059147E">
        <w:rPr>
          <w:szCs w:val="24"/>
          <w:lang w:val="es-ES"/>
        </w:rPr>
        <w:t>.</w:t>
      </w:r>
      <w:r w:rsidR="0059147E" w:rsidRPr="00E576CD">
        <w:rPr>
          <w:szCs w:val="24"/>
          <w:lang w:val="es-ES"/>
        </w:rPr>
        <w:t xml:space="preserve"> </w:t>
      </w:r>
      <w:r w:rsidR="0059147E" w:rsidRPr="00396E40">
        <w:rPr>
          <w:szCs w:val="24"/>
          <w:lang w:val="es-ES"/>
        </w:rPr>
        <w:t>Además, se organizó una visita a la Oficina Nacional de Gestión de Programas Espaciales (GGPEN) de Angola p</w:t>
      </w:r>
      <w:r w:rsidR="0059147E">
        <w:rPr>
          <w:szCs w:val="24"/>
          <w:lang w:val="es-ES"/>
        </w:rPr>
        <w:t xml:space="preserve">ara conocer la experiencia del país con el lanzamiento de su primer satélite. </w:t>
      </w:r>
      <w:r w:rsidR="0059147E" w:rsidRPr="00396E40">
        <w:rPr>
          <w:szCs w:val="24"/>
        </w:rPr>
        <w:t>Se</w:t>
      </w:r>
      <w:r w:rsidR="0059147E">
        <w:rPr>
          <w:szCs w:val="24"/>
        </w:rPr>
        <w:t xml:space="preserve"> abordaron los siguientes temas</w:t>
      </w:r>
      <w:r w:rsidR="0059147E" w:rsidRPr="00020ED1">
        <w:rPr>
          <w:szCs w:val="24"/>
        </w:rPr>
        <w:t>:</w:t>
      </w:r>
    </w:p>
    <w:p w14:paraId="5C892AF2" w14:textId="6AF7FAEC" w:rsidR="0059147E" w:rsidRPr="00396E40" w:rsidRDefault="0059147E" w:rsidP="0079565A">
      <w:pPr>
        <w:pStyle w:val="enumlev2"/>
        <w:numPr>
          <w:ilvl w:val="1"/>
          <w:numId w:val="31"/>
        </w:numPr>
        <w:rPr>
          <w:lang w:val="es-ES"/>
        </w:rPr>
      </w:pPr>
      <w:r w:rsidRPr="00396E40">
        <w:rPr>
          <w:lang w:val="es-ES"/>
        </w:rPr>
        <w:t>Comunicaciones por satélite directas al dispositivo, que es una tecnología incipiente que puede ofrecer conectivida</w:t>
      </w:r>
      <w:r>
        <w:rPr>
          <w:lang w:val="es-ES"/>
        </w:rPr>
        <w:t>d a zonas remotas</w:t>
      </w:r>
      <w:r w:rsidRPr="00396E40">
        <w:rPr>
          <w:lang w:val="es-ES"/>
        </w:rPr>
        <w:t>.</w:t>
      </w:r>
    </w:p>
    <w:p w14:paraId="15415ABC" w14:textId="77777777" w:rsidR="0059147E" w:rsidRPr="00396E40" w:rsidRDefault="0059147E" w:rsidP="0079565A">
      <w:pPr>
        <w:pStyle w:val="enumlev2"/>
        <w:numPr>
          <w:ilvl w:val="1"/>
          <w:numId w:val="31"/>
        </w:numPr>
        <w:rPr>
          <w:rFonts w:asciiTheme="minorHAnsi" w:hAnsiTheme="minorHAnsi" w:cstheme="minorHAnsi"/>
          <w:szCs w:val="24"/>
          <w:lang w:val="es-ES"/>
        </w:rPr>
      </w:pPr>
      <w:r w:rsidRPr="00C063AD">
        <w:rPr>
          <w:lang w:val="es-ES"/>
        </w:rPr>
        <w:t>Se</w:t>
      </w:r>
      <w:r w:rsidRPr="00396E40">
        <w:rPr>
          <w:rFonts w:asciiTheme="minorHAnsi" w:hAnsiTheme="minorHAnsi" w:cstheme="minorHAnsi"/>
          <w:szCs w:val="24"/>
          <w:lang w:val="es-ES"/>
        </w:rPr>
        <w:t xml:space="preserve"> </w:t>
      </w:r>
      <w:r w:rsidRPr="0079565A">
        <w:rPr>
          <w:lang w:val="es-ES"/>
        </w:rPr>
        <w:t>consideraron</w:t>
      </w:r>
      <w:r w:rsidRPr="00396E40">
        <w:rPr>
          <w:rFonts w:asciiTheme="minorHAnsi" w:hAnsiTheme="minorHAnsi" w:cstheme="minorHAnsi"/>
          <w:szCs w:val="24"/>
          <w:lang w:val="es-ES"/>
        </w:rPr>
        <w:t xml:space="preserve"> práctica idónea las reglamentaciones de </w:t>
      </w:r>
      <w:r>
        <w:rPr>
          <w:rFonts w:asciiTheme="minorHAnsi" w:hAnsiTheme="minorHAnsi" w:cstheme="minorHAnsi"/>
          <w:szCs w:val="24"/>
          <w:lang w:val="es-ES"/>
        </w:rPr>
        <w:t xml:space="preserve">las comunicaciones por </w:t>
      </w:r>
      <w:r w:rsidRPr="0079565A">
        <w:rPr>
          <w:lang w:val="es-ES"/>
        </w:rPr>
        <w:t>satélite</w:t>
      </w:r>
      <w:r>
        <w:rPr>
          <w:rFonts w:asciiTheme="minorHAnsi" w:hAnsiTheme="minorHAnsi" w:cstheme="minorHAnsi"/>
          <w:szCs w:val="24"/>
          <w:lang w:val="es-ES"/>
        </w:rPr>
        <w:t xml:space="preserve"> de Brasil</w:t>
      </w:r>
      <w:r w:rsidRPr="00396E40">
        <w:rPr>
          <w:rFonts w:asciiTheme="minorHAnsi" w:hAnsiTheme="minorHAnsi" w:cstheme="minorHAnsi"/>
          <w:szCs w:val="24"/>
          <w:lang w:val="es-ES"/>
        </w:rPr>
        <w:t>.</w:t>
      </w:r>
    </w:p>
    <w:p w14:paraId="0742A974" w14:textId="77777777" w:rsidR="0059147E" w:rsidRPr="00396E40" w:rsidRDefault="0059147E" w:rsidP="0079565A">
      <w:pPr>
        <w:pStyle w:val="enumlev2"/>
        <w:numPr>
          <w:ilvl w:val="1"/>
          <w:numId w:val="31"/>
        </w:numPr>
        <w:rPr>
          <w:rFonts w:asciiTheme="minorHAnsi" w:hAnsiTheme="minorHAnsi" w:cstheme="minorHAnsi"/>
          <w:szCs w:val="24"/>
          <w:lang w:val="es-ES"/>
        </w:rPr>
      </w:pPr>
      <w:r w:rsidRPr="00C063AD">
        <w:rPr>
          <w:lang w:val="es-ES"/>
        </w:rPr>
        <w:lastRenderedPageBreak/>
        <w:t>Los</w:t>
      </w:r>
      <w:r w:rsidRPr="00396E40">
        <w:rPr>
          <w:rFonts w:asciiTheme="minorHAnsi" w:hAnsiTheme="minorHAnsi" w:cstheme="minorHAnsi"/>
          <w:szCs w:val="24"/>
          <w:lang w:val="es-ES"/>
        </w:rPr>
        <w:t xml:space="preserve"> </w:t>
      </w:r>
      <w:r w:rsidRPr="0079565A">
        <w:rPr>
          <w:lang w:val="es-ES"/>
        </w:rPr>
        <w:t>miembros</w:t>
      </w:r>
      <w:r w:rsidRPr="00396E40">
        <w:rPr>
          <w:rFonts w:asciiTheme="minorHAnsi" w:hAnsiTheme="minorHAnsi" w:cstheme="minorHAnsi"/>
          <w:szCs w:val="24"/>
          <w:lang w:val="es-ES"/>
        </w:rPr>
        <w:t xml:space="preserve"> de la CRASA necesitan más información sobre las </w:t>
      </w:r>
      <w:r>
        <w:rPr>
          <w:rFonts w:asciiTheme="minorHAnsi" w:hAnsiTheme="minorHAnsi" w:cstheme="minorHAnsi"/>
          <w:szCs w:val="24"/>
          <w:lang w:val="es-ES"/>
        </w:rPr>
        <w:t>ofertas y oportunidades de adhesión de</w:t>
      </w:r>
      <w:r w:rsidRPr="00396E40">
        <w:rPr>
          <w:rFonts w:asciiTheme="minorHAnsi" w:hAnsiTheme="minorHAnsi" w:cstheme="minorHAnsi"/>
          <w:szCs w:val="24"/>
          <w:lang w:val="es-ES"/>
        </w:rPr>
        <w:t xml:space="preserve"> RASCOM. </w:t>
      </w:r>
    </w:p>
    <w:p w14:paraId="236B81BD" w14:textId="77777777" w:rsidR="0059147E" w:rsidRPr="00396E40" w:rsidRDefault="0059147E" w:rsidP="0079565A">
      <w:pPr>
        <w:pStyle w:val="enumlev2"/>
        <w:numPr>
          <w:ilvl w:val="1"/>
          <w:numId w:val="31"/>
        </w:numPr>
        <w:rPr>
          <w:rFonts w:asciiTheme="minorHAnsi" w:hAnsiTheme="minorHAnsi" w:cstheme="minorHAnsi"/>
          <w:szCs w:val="24"/>
          <w:lang w:val="es-ES"/>
        </w:rPr>
      </w:pPr>
      <w:r w:rsidRPr="0079565A">
        <w:rPr>
          <w:lang w:val="es-ES"/>
        </w:rPr>
        <w:t>Están</w:t>
      </w:r>
      <w:r w:rsidRPr="00396E40">
        <w:rPr>
          <w:rFonts w:asciiTheme="minorHAnsi" w:hAnsiTheme="minorHAnsi" w:cstheme="minorHAnsi"/>
          <w:szCs w:val="24"/>
          <w:lang w:val="es-ES"/>
        </w:rPr>
        <w:t xml:space="preserve"> en curso los debates sobre autorización de </w:t>
      </w:r>
      <w:r>
        <w:rPr>
          <w:rFonts w:asciiTheme="minorHAnsi" w:hAnsiTheme="minorHAnsi" w:cstheme="minorHAnsi"/>
          <w:szCs w:val="24"/>
          <w:lang w:val="es-ES"/>
        </w:rPr>
        <w:t>servicios por satélite no OSG, coordinación de frecuencias radioeléctricas y reducción de la interferencia</w:t>
      </w:r>
      <w:r w:rsidRPr="00396E40">
        <w:rPr>
          <w:rFonts w:asciiTheme="minorHAnsi" w:hAnsiTheme="minorHAnsi" w:cstheme="minorHAnsi"/>
          <w:szCs w:val="24"/>
          <w:lang w:val="es-ES"/>
        </w:rPr>
        <w:t xml:space="preserve">. </w:t>
      </w:r>
    </w:p>
    <w:p w14:paraId="6E5CE4C8" w14:textId="77777777" w:rsidR="0059147E" w:rsidRPr="00396E40" w:rsidRDefault="0059147E" w:rsidP="0079565A">
      <w:pPr>
        <w:pStyle w:val="enumlev2"/>
        <w:numPr>
          <w:ilvl w:val="1"/>
          <w:numId w:val="31"/>
        </w:numPr>
        <w:rPr>
          <w:rFonts w:asciiTheme="minorHAnsi" w:hAnsiTheme="minorHAnsi" w:cstheme="minorHAnsi"/>
          <w:szCs w:val="24"/>
          <w:lang w:val="es-ES"/>
        </w:rPr>
      </w:pPr>
      <w:r w:rsidRPr="00396E40">
        <w:rPr>
          <w:rFonts w:asciiTheme="minorHAnsi" w:hAnsiTheme="minorHAnsi" w:cstheme="minorHAnsi"/>
          <w:szCs w:val="24"/>
          <w:lang w:val="es-ES"/>
        </w:rPr>
        <w:t xml:space="preserve">El </w:t>
      </w:r>
      <w:r w:rsidRPr="0079565A">
        <w:rPr>
          <w:lang w:val="es-ES"/>
        </w:rPr>
        <w:t>enfoque</w:t>
      </w:r>
      <w:r w:rsidRPr="00396E40">
        <w:rPr>
          <w:rFonts w:asciiTheme="minorHAnsi" w:hAnsiTheme="minorHAnsi" w:cstheme="minorHAnsi"/>
          <w:szCs w:val="24"/>
          <w:lang w:val="es-ES"/>
        </w:rPr>
        <w:t xml:space="preserve"> de licencia única simplifica los permisos</w:t>
      </w:r>
      <w:r>
        <w:rPr>
          <w:rFonts w:asciiTheme="minorHAnsi" w:hAnsiTheme="minorHAnsi" w:cstheme="minorHAnsi"/>
          <w:szCs w:val="24"/>
          <w:lang w:val="es-ES"/>
        </w:rPr>
        <w:t xml:space="preserve"> a equipos terminales</w:t>
      </w:r>
      <w:r w:rsidRPr="00396E40">
        <w:rPr>
          <w:rFonts w:asciiTheme="minorHAnsi" w:hAnsiTheme="minorHAnsi" w:cstheme="minorHAnsi"/>
          <w:szCs w:val="24"/>
          <w:lang w:val="es-ES"/>
        </w:rPr>
        <w:t>.</w:t>
      </w:r>
    </w:p>
    <w:p w14:paraId="7CC1C48A" w14:textId="77777777" w:rsidR="0059147E" w:rsidRPr="00396E40" w:rsidRDefault="0059147E" w:rsidP="0079565A">
      <w:pPr>
        <w:pStyle w:val="enumlev2"/>
        <w:numPr>
          <w:ilvl w:val="1"/>
          <w:numId w:val="31"/>
        </w:numPr>
        <w:rPr>
          <w:rFonts w:asciiTheme="minorHAnsi" w:hAnsiTheme="minorHAnsi" w:cstheme="minorHAnsi"/>
          <w:szCs w:val="24"/>
          <w:lang w:val="es-ES"/>
        </w:rPr>
      </w:pPr>
      <w:r w:rsidRPr="00C063AD">
        <w:rPr>
          <w:lang w:val="es-ES"/>
        </w:rPr>
        <w:t>Es</w:t>
      </w:r>
      <w:r w:rsidRPr="00396E40">
        <w:rPr>
          <w:rFonts w:asciiTheme="minorHAnsi" w:hAnsiTheme="minorHAnsi" w:cstheme="minorHAnsi"/>
          <w:szCs w:val="24"/>
          <w:lang w:val="es-ES"/>
        </w:rPr>
        <w:t xml:space="preserve"> fundamental respetar la reglamentación de </w:t>
      </w:r>
      <w:r>
        <w:rPr>
          <w:rFonts w:asciiTheme="minorHAnsi" w:hAnsiTheme="minorHAnsi" w:cstheme="minorHAnsi"/>
          <w:szCs w:val="24"/>
          <w:lang w:val="es-ES"/>
        </w:rPr>
        <w:t>la UIT y las directrices de la</w:t>
      </w:r>
      <w:r w:rsidRPr="00396E40">
        <w:rPr>
          <w:rFonts w:asciiTheme="minorHAnsi" w:hAnsiTheme="minorHAnsi" w:cstheme="minorHAnsi"/>
          <w:szCs w:val="24"/>
          <w:lang w:val="es-ES"/>
        </w:rPr>
        <w:t xml:space="preserve"> </w:t>
      </w:r>
      <w:r w:rsidRPr="0079565A">
        <w:rPr>
          <w:lang w:val="es-ES"/>
        </w:rPr>
        <w:t>UNOOSA</w:t>
      </w:r>
      <w:r w:rsidRPr="00396E40">
        <w:rPr>
          <w:rFonts w:asciiTheme="minorHAnsi" w:hAnsiTheme="minorHAnsi" w:cstheme="minorHAnsi"/>
          <w:szCs w:val="24"/>
          <w:lang w:val="es-ES"/>
        </w:rPr>
        <w:t xml:space="preserve"> </w:t>
      </w:r>
      <w:r>
        <w:rPr>
          <w:rFonts w:asciiTheme="minorHAnsi" w:hAnsiTheme="minorHAnsi" w:cstheme="minorHAnsi"/>
          <w:szCs w:val="24"/>
          <w:lang w:val="es-ES"/>
        </w:rPr>
        <w:t>en relación con los recursos espectrales y orbitales</w:t>
      </w:r>
      <w:r w:rsidRPr="00396E40">
        <w:rPr>
          <w:rFonts w:asciiTheme="minorHAnsi" w:hAnsiTheme="minorHAnsi" w:cstheme="minorHAnsi"/>
          <w:szCs w:val="24"/>
          <w:lang w:val="es-ES"/>
        </w:rPr>
        <w:t xml:space="preserve">. </w:t>
      </w:r>
    </w:p>
    <w:p w14:paraId="309DD3F3" w14:textId="77777777" w:rsidR="0059147E" w:rsidRPr="00396E40" w:rsidRDefault="0059147E" w:rsidP="0079565A">
      <w:pPr>
        <w:pStyle w:val="enumlev2"/>
        <w:numPr>
          <w:ilvl w:val="1"/>
          <w:numId w:val="31"/>
        </w:numPr>
        <w:rPr>
          <w:rFonts w:asciiTheme="minorHAnsi" w:hAnsiTheme="minorHAnsi" w:cstheme="minorHAnsi"/>
          <w:szCs w:val="24"/>
          <w:lang w:val="es-ES"/>
        </w:rPr>
      </w:pPr>
      <w:r w:rsidRPr="0079565A">
        <w:rPr>
          <w:lang w:val="es-ES"/>
        </w:rPr>
        <w:t>Angola</w:t>
      </w:r>
      <w:r w:rsidRPr="00396E40">
        <w:rPr>
          <w:rFonts w:asciiTheme="minorHAnsi" w:hAnsiTheme="minorHAnsi" w:cstheme="minorHAnsi"/>
          <w:szCs w:val="24"/>
          <w:lang w:val="es-ES"/>
        </w:rPr>
        <w:t xml:space="preserve"> </w:t>
      </w:r>
      <w:r w:rsidRPr="00C063AD">
        <w:rPr>
          <w:lang w:val="es-ES"/>
        </w:rPr>
        <w:t>insistió</w:t>
      </w:r>
      <w:r w:rsidRPr="00396E40">
        <w:rPr>
          <w:rFonts w:asciiTheme="minorHAnsi" w:hAnsiTheme="minorHAnsi" w:cstheme="minorHAnsi"/>
          <w:szCs w:val="24"/>
          <w:lang w:val="es-ES"/>
        </w:rPr>
        <w:t xml:space="preserve"> en que es necesario adquirir experiencia antes de la</w:t>
      </w:r>
      <w:r>
        <w:rPr>
          <w:rFonts w:asciiTheme="minorHAnsi" w:hAnsiTheme="minorHAnsi" w:cstheme="minorHAnsi"/>
          <w:szCs w:val="24"/>
          <w:lang w:val="es-ES"/>
        </w:rPr>
        <w:t>nzar satélites</w:t>
      </w:r>
      <w:r w:rsidRPr="00396E40">
        <w:rPr>
          <w:rFonts w:asciiTheme="minorHAnsi" w:hAnsiTheme="minorHAnsi" w:cstheme="minorHAnsi"/>
          <w:szCs w:val="24"/>
          <w:lang w:val="es-ES"/>
        </w:rPr>
        <w:t xml:space="preserve">. </w:t>
      </w:r>
    </w:p>
    <w:p w14:paraId="31D8E7D2" w14:textId="77777777" w:rsidR="0059147E" w:rsidRPr="00396E40" w:rsidRDefault="0059147E" w:rsidP="0079565A">
      <w:pPr>
        <w:pStyle w:val="enumlev2"/>
        <w:numPr>
          <w:ilvl w:val="1"/>
          <w:numId w:val="31"/>
        </w:numPr>
        <w:rPr>
          <w:rFonts w:asciiTheme="minorHAnsi" w:hAnsiTheme="minorHAnsi" w:cstheme="minorHAnsi"/>
          <w:szCs w:val="24"/>
          <w:lang w:val="es-ES"/>
        </w:rPr>
      </w:pPr>
      <w:r w:rsidRPr="00396E40">
        <w:rPr>
          <w:rFonts w:asciiTheme="minorHAnsi" w:hAnsiTheme="minorHAnsi" w:cstheme="minorHAnsi"/>
          <w:szCs w:val="24"/>
          <w:lang w:val="es-ES"/>
        </w:rPr>
        <w:t xml:space="preserve">Los </w:t>
      </w:r>
      <w:r w:rsidRPr="00C063AD">
        <w:rPr>
          <w:lang w:val="es-ES"/>
        </w:rPr>
        <w:t>miembros</w:t>
      </w:r>
      <w:r w:rsidRPr="00396E40">
        <w:rPr>
          <w:rFonts w:asciiTheme="minorHAnsi" w:hAnsiTheme="minorHAnsi" w:cstheme="minorHAnsi"/>
          <w:szCs w:val="24"/>
          <w:lang w:val="es-ES"/>
        </w:rPr>
        <w:t xml:space="preserve"> de CRASA están deseosos de agrandar sus c</w:t>
      </w:r>
      <w:r>
        <w:rPr>
          <w:rFonts w:asciiTheme="minorHAnsi" w:hAnsiTheme="minorHAnsi" w:cstheme="minorHAnsi"/>
          <w:szCs w:val="24"/>
          <w:lang w:val="es-ES"/>
        </w:rPr>
        <w:t>onocimientos a través de programas espaciales nacionales</w:t>
      </w:r>
      <w:r w:rsidRPr="00396E40">
        <w:rPr>
          <w:rFonts w:asciiTheme="minorHAnsi" w:hAnsiTheme="minorHAnsi" w:cstheme="minorHAnsi"/>
          <w:szCs w:val="24"/>
          <w:lang w:val="es-ES"/>
        </w:rPr>
        <w:t xml:space="preserve">. </w:t>
      </w:r>
    </w:p>
    <w:p w14:paraId="69423542" w14:textId="77777777" w:rsidR="0059147E" w:rsidRPr="00396E40" w:rsidRDefault="0059147E" w:rsidP="0079565A">
      <w:pPr>
        <w:pStyle w:val="enumlev2"/>
        <w:numPr>
          <w:ilvl w:val="1"/>
          <w:numId w:val="31"/>
        </w:numPr>
        <w:rPr>
          <w:rFonts w:asciiTheme="minorHAnsi" w:hAnsiTheme="minorHAnsi" w:cstheme="minorHAnsi"/>
          <w:szCs w:val="24"/>
          <w:lang w:val="es-ES"/>
        </w:rPr>
      </w:pPr>
      <w:r w:rsidRPr="00396E40">
        <w:rPr>
          <w:rFonts w:asciiTheme="minorHAnsi" w:hAnsiTheme="minorHAnsi" w:cstheme="minorHAnsi"/>
          <w:szCs w:val="24"/>
          <w:lang w:val="es-ES"/>
        </w:rPr>
        <w:t xml:space="preserve">La </w:t>
      </w:r>
      <w:r w:rsidRPr="00C063AD">
        <w:rPr>
          <w:lang w:val="es-ES"/>
        </w:rPr>
        <w:t>CRASA</w:t>
      </w:r>
      <w:r w:rsidRPr="00396E40">
        <w:rPr>
          <w:rFonts w:asciiTheme="minorHAnsi" w:hAnsiTheme="minorHAnsi" w:cstheme="minorHAnsi"/>
          <w:szCs w:val="24"/>
          <w:lang w:val="es-ES"/>
        </w:rPr>
        <w:t xml:space="preserve"> y la ITU están planificando una reunió</w:t>
      </w:r>
      <w:r>
        <w:rPr>
          <w:rFonts w:asciiTheme="minorHAnsi" w:hAnsiTheme="minorHAnsi" w:cstheme="minorHAnsi"/>
          <w:szCs w:val="24"/>
          <w:lang w:val="es-ES"/>
        </w:rPr>
        <w:t xml:space="preserve">n sobre el cartografiado de la </w:t>
      </w:r>
      <w:r w:rsidRPr="0079565A">
        <w:rPr>
          <w:lang w:val="es-ES"/>
        </w:rPr>
        <w:t>infraestructura</w:t>
      </w:r>
      <w:r w:rsidRPr="00396E40">
        <w:rPr>
          <w:rFonts w:asciiTheme="minorHAnsi" w:hAnsiTheme="minorHAnsi" w:cstheme="minorHAnsi"/>
          <w:szCs w:val="24"/>
          <w:lang w:val="es-ES"/>
        </w:rPr>
        <w:t xml:space="preserve">. </w:t>
      </w:r>
    </w:p>
    <w:p w14:paraId="2C021A3E" w14:textId="77777777" w:rsidR="0059147E" w:rsidRPr="00396E40" w:rsidRDefault="0059147E" w:rsidP="0079565A">
      <w:pPr>
        <w:pStyle w:val="enumlev2"/>
        <w:numPr>
          <w:ilvl w:val="1"/>
          <w:numId w:val="31"/>
        </w:numPr>
        <w:rPr>
          <w:rFonts w:asciiTheme="minorHAnsi" w:hAnsiTheme="minorHAnsi" w:cstheme="minorHAnsi"/>
          <w:szCs w:val="24"/>
          <w:lang w:val="es-ES"/>
        </w:rPr>
      </w:pPr>
      <w:r>
        <w:rPr>
          <w:rFonts w:asciiTheme="minorHAnsi" w:hAnsiTheme="minorHAnsi" w:cstheme="minorHAnsi"/>
          <w:szCs w:val="24"/>
          <w:lang w:val="es-ES"/>
        </w:rPr>
        <w:t xml:space="preserve">Es </w:t>
      </w:r>
      <w:r w:rsidRPr="0079565A">
        <w:rPr>
          <w:lang w:val="es-ES"/>
        </w:rPr>
        <w:t>prioritario</w:t>
      </w:r>
      <w:r>
        <w:rPr>
          <w:rFonts w:asciiTheme="minorHAnsi" w:hAnsiTheme="minorHAnsi" w:cstheme="minorHAnsi"/>
          <w:szCs w:val="24"/>
          <w:lang w:val="es-ES"/>
        </w:rPr>
        <w:t xml:space="preserve"> resolver l</w:t>
      </w:r>
      <w:r w:rsidRPr="00396E40">
        <w:rPr>
          <w:rFonts w:asciiTheme="minorHAnsi" w:hAnsiTheme="minorHAnsi" w:cstheme="minorHAnsi"/>
          <w:szCs w:val="24"/>
          <w:lang w:val="es-ES"/>
        </w:rPr>
        <w:t xml:space="preserve">os problemas que plantean la interferencia y los desechos espaciales. </w:t>
      </w:r>
    </w:p>
    <w:p w14:paraId="67B57A43" w14:textId="409EA3B4" w:rsidR="0059147E" w:rsidRPr="00020ED1" w:rsidRDefault="0079565A" w:rsidP="0079565A">
      <w:pPr>
        <w:pStyle w:val="enumlev1"/>
        <w:rPr>
          <w:rFonts w:asciiTheme="minorHAnsi" w:hAnsiTheme="minorHAnsi" w:cstheme="minorHAnsi"/>
          <w:szCs w:val="24"/>
        </w:rPr>
      </w:pPr>
      <w:r>
        <w:rPr>
          <w:lang w:val="es-ES"/>
        </w:rPr>
        <w:sym w:font="Symbol" w:char="F0B7"/>
      </w:r>
      <w:r>
        <w:rPr>
          <w:lang w:val="es-ES"/>
        </w:rPr>
        <w:tab/>
      </w:r>
      <w:r w:rsidR="0059147E" w:rsidRPr="0079565A">
        <w:rPr>
          <w:rFonts w:asciiTheme="minorHAnsi" w:hAnsiTheme="minorHAnsi" w:cstheme="minorBidi"/>
          <w:szCs w:val="24"/>
          <w:lang w:val="es-ES"/>
        </w:rPr>
        <w:t>La</w:t>
      </w:r>
      <w:r w:rsidR="0059147E" w:rsidRPr="00FA29EC">
        <w:rPr>
          <w:rFonts w:asciiTheme="minorHAnsi" w:hAnsiTheme="minorHAnsi" w:cstheme="minorHAnsi"/>
          <w:szCs w:val="24"/>
          <w:lang w:val="es-ES"/>
        </w:rPr>
        <w:t xml:space="preserve"> UIT celebró Taller de capacitación y un Diálogo sobre tecn</w:t>
      </w:r>
      <w:r w:rsidR="0059147E">
        <w:rPr>
          <w:rFonts w:asciiTheme="minorHAnsi" w:hAnsiTheme="minorHAnsi" w:cstheme="minorHAnsi"/>
          <w:szCs w:val="24"/>
          <w:lang w:val="es-ES"/>
        </w:rPr>
        <w:t>ología/reglamentación espacial en</w:t>
      </w:r>
      <w:r w:rsidR="0059147E" w:rsidRPr="00FA29EC">
        <w:rPr>
          <w:rFonts w:asciiTheme="minorHAnsi" w:hAnsiTheme="minorHAnsi" w:cstheme="minorHAnsi"/>
          <w:szCs w:val="24"/>
          <w:lang w:val="es-ES"/>
        </w:rPr>
        <w:t xml:space="preserve"> Kinshasa, </w:t>
      </w:r>
      <w:r w:rsidR="0059147E">
        <w:rPr>
          <w:rFonts w:asciiTheme="minorHAnsi" w:hAnsiTheme="minorHAnsi" w:cstheme="minorHAnsi"/>
          <w:szCs w:val="24"/>
          <w:lang w:val="es-ES"/>
        </w:rPr>
        <w:t>República Democrática del</w:t>
      </w:r>
      <w:r w:rsidR="0059147E" w:rsidRPr="00FA29EC">
        <w:rPr>
          <w:rFonts w:asciiTheme="minorHAnsi" w:hAnsiTheme="minorHAnsi" w:cstheme="minorHAnsi"/>
          <w:szCs w:val="24"/>
          <w:lang w:val="es-ES"/>
        </w:rPr>
        <w:t xml:space="preserve"> Congo (</w:t>
      </w:r>
      <w:r w:rsidR="0059147E">
        <w:rPr>
          <w:rFonts w:asciiTheme="minorHAnsi" w:hAnsiTheme="minorHAnsi" w:cstheme="minorHAnsi"/>
          <w:szCs w:val="24"/>
          <w:lang w:val="es-ES"/>
        </w:rPr>
        <w:t>ponentes</w:t>
      </w:r>
      <w:r w:rsidR="0059147E" w:rsidRPr="00FA29EC">
        <w:rPr>
          <w:rFonts w:asciiTheme="minorHAnsi" w:hAnsiTheme="minorHAnsi" w:cstheme="minorHAnsi"/>
          <w:szCs w:val="24"/>
          <w:lang w:val="es-ES"/>
        </w:rPr>
        <w:t>: BDT, MACRA, CRASA, GSOA). La UIT ofreció un repaso del mercado de las comunicaciones por satélite y sus avances más recientes</w:t>
      </w:r>
      <w:r w:rsidR="0059147E">
        <w:rPr>
          <w:rFonts w:asciiTheme="minorHAnsi" w:hAnsiTheme="minorHAnsi" w:cstheme="minorHAnsi"/>
          <w:szCs w:val="24"/>
          <w:lang w:val="es-ES"/>
        </w:rPr>
        <w:t xml:space="preserve"> y participó en los debates sobre:</w:t>
      </w:r>
      <w:r w:rsidR="0059147E" w:rsidRPr="00FA29EC">
        <w:rPr>
          <w:rFonts w:asciiTheme="minorHAnsi" w:hAnsiTheme="minorHAnsi" w:cstheme="minorHAnsi"/>
          <w:szCs w:val="24"/>
          <w:lang w:val="es-ES"/>
        </w:rPr>
        <w:t xml:space="preserve"> la importancia de los sistemas de comunicaciones por satélites</w:t>
      </w:r>
      <w:r w:rsidR="0059147E">
        <w:rPr>
          <w:rFonts w:asciiTheme="minorHAnsi" w:hAnsiTheme="minorHAnsi" w:cstheme="minorHAnsi"/>
          <w:szCs w:val="24"/>
          <w:lang w:val="es-ES"/>
        </w:rPr>
        <w:t>;</w:t>
      </w:r>
      <w:r w:rsidR="0059147E" w:rsidRPr="00FA29EC">
        <w:rPr>
          <w:rFonts w:asciiTheme="minorHAnsi" w:hAnsiTheme="minorHAnsi" w:cstheme="minorHAnsi"/>
          <w:szCs w:val="24"/>
          <w:lang w:val="es-ES"/>
        </w:rPr>
        <w:t xml:space="preserve"> las oportunidades y retos que plantea la posesión</w:t>
      </w:r>
      <w:r w:rsidR="0059147E">
        <w:rPr>
          <w:rFonts w:asciiTheme="minorHAnsi" w:hAnsiTheme="minorHAnsi" w:cstheme="minorHAnsi"/>
          <w:szCs w:val="24"/>
          <w:lang w:val="es-ES"/>
        </w:rPr>
        <w:t xml:space="preserve"> de un sistema de satélites; la cooperación y colaboración en la utilización de sistemas de satélites; los aspectos nacionales, regionales e internacionales de la reglamentación de las comunicaciones por satélite y los principios del acceso equitativo a los recursos espaciales y su protección</w:t>
      </w:r>
      <w:r w:rsidR="0059147E" w:rsidRPr="00FA29EC">
        <w:rPr>
          <w:rFonts w:asciiTheme="minorHAnsi" w:hAnsiTheme="minorHAnsi" w:cstheme="minorHAnsi"/>
          <w:szCs w:val="24"/>
          <w:lang w:val="es-ES"/>
        </w:rPr>
        <w:t>. También se celebró un debate abierto sobre las expectativas y necesidades regionales a fin de diseñar un se</w:t>
      </w:r>
      <w:r w:rsidR="0059147E">
        <w:rPr>
          <w:rFonts w:asciiTheme="minorHAnsi" w:hAnsiTheme="minorHAnsi" w:cstheme="minorHAnsi"/>
          <w:szCs w:val="24"/>
          <w:lang w:val="es-ES"/>
        </w:rPr>
        <w:t xml:space="preserve">gundo taller más concreto. </w:t>
      </w:r>
      <w:r w:rsidR="0059147E" w:rsidRPr="00FA29EC">
        <w:rPr>
          <w:rFonts w:asciiTheme="minorHAnsi" w:hAnsiTheme="minorHAnsi" w:cstheme="minorHAnsi"/>
          <w:szCs w:val="24"/>
        </w:rPr>
        <w:t>Lo</w:t>
      </w:r>
      <w:r w:rsidR="0059147E">
        <w:rPr>
          <w:rFonts w:asciiTheme="minorHAnsi" w:hAnsiTheme="minorHAnsi" w:cstheme="minorHAnsi"/>
          <w:szCs w:val="24"/>
        </w:rPr>
        <w:t>s principales temas abordados fueron los siguientes</w:t>
      </w:r>
      <w:r w:rsidR="0059147E" w:rsidRPr="00020ED1">
        <w:rPr>
          <w:rFonts w:asciiTheme="minorHAnsi" w:hAnsiTheme="minorHAnsi" w:cstheme="minorHAnsi"/>
          <w:szCs w:val="24"/>
        </w:rPr>
        <w:t xml:space="preserve">: </w:t>
      </w:r>
    </w:p>
    <w:p w14:paraId="38204FF4" w14:textId="22BF9E59" w:rsidR="0059147E" w:rsidRPr="00FA29EC" w:rsidRDefault="0059147E" w:rsidP="00C063AD">
      <w:pPr>
        <w:pStyle w:val="enumlev2"/>
        <w:numPr>
          <w:ilvl w:val="1"/>
          <w:numId w:val="31"/>
        </w:numPr>
        <w:rPr>
          <w:lang w:val="es-ES"/>
        </w:rPr>
      </w:pPr>
      <w:r w:rsidRPr="00FA29EC">
        <w:rPr>
          <w:lang w:val="es-ES"/>
        </w:rPr>
        <w:t>La reglamentación de las comunicaciones po</w:t>
      </w:r>
      <w:r>
        <w:rPr>
          <w:lang w:val="es-ES"/>
        </w:rPr>
        <w:t>r</w:t>
      </w:r>
      <w:r w:rsidRPr="00FA29EC">
        <w:rPr>
          <w:lang w:val="es-ES"/>
        </w:rPr>
        <w:t xml:space="preserve"> satélite es un tema urgente</w:t>
      </w:r>
      <w:r>
        <w:rPr>
          <w:lang w:val="es-ES"/>
        </w:rPr>
        <w:t xml:space="preserve"> </w:t>
      </w:r>
      <w:r w:rsidRPr="00FA29EC">
        <w:rPr>
          <w:lang w:val="es-ES"/>
        </w:rPr>
        <w:t>en la</w:t>
      </w:r>
      <w:r>
        <w:rPr>
          <w:lang w:val="es-ES"/>
        </w:rPr>
        <w:t xml:space="preserve"> región. </w:t>
      </w:r>
      <w:r w:rsidRPr="0079565A">
        <w:t>Los</w:t>
      </w:r>
      <w:r w:rsidRPr="00FA29EC">
        <w:rPr>
          <w:lang w:val="es-ES"/>
        </w:rPr>
        <w:t xml:space="preserve"> miembros de la CRASA encuentran dificultades al reglamentar los satélites y desearían tener más información sobre las oportuni</w:t>
      </w:r>
      <w:r>
        <w:rPr>
          <w:lang w:val="es-ES"/>
        </w:rPr>
        <w:t>dades, los servicios, la capacitación y los aspectos técnico, comercial y económico en la esfera de los satélites</w:t>
      </w:r>
      <w:r w:rsidRPr="00FA29EC">
        <w:rPr>
          <w:lang w:val="es-ES"/>
        </w:rPr>
        <w:t xml:space="preserve">. </w:t>
      </w:r>
    </w:p>
    <w:p w14:paraId="4AA827E5" w14:textId="77777777" w:rsidR="0059147E" w:rsidRPr="00FA29EC" w:rsidRDefault="0059147E" w:rsidP="00C063AD">
      <w:pPr>
        <w:pStyle w:val="enumlev2"/>
        <w:numPr>
          <w:ilvl w:val="1"/>
          <w:numId w:val="31"/>
        </w:numPr>
        <w:rPr>
          <w:rFonts w:asciiTheme="minorHAnsi" w:hAnsiTheme="minorHAnsi" w:cstheme="minorHAnsi"/>
          <w:szCs w:val="24"/>
          <w:lang w:val="es-ES"/>
        </w:rPr>
      </w:pPr>
      <w:r w:rsidRPr="00C063AD">
        <w:rPr>
          <w:lang w:val="es-ES"/>
        </w:rPr>
        <w:t>En</w:t>
      </w:r>
      <w:r w:rsidRPr="00FA29EC">
        <w:rPr>
          <w:rFonts w:asciiTheme="minorHAnsi" w:hAnsiTheme="minorHAnsi" w:cstheme="minorHAnsi"/>
          <w:szCs w:val="24"/>
          <w:lang w:val="es-ES"/>
        </w:rPr>
        <w:t xml:space="preserve"> la </w:t>
      </w:r>
      <w:r w:rsidRPr="00C063AD">
        <w:rPr>
          <w:lang w:val="es-ES"/>
        </w:rPr>
        <w:t>actualidad</w:t>
      </w:r>
      <w:r w:rsidRPr="00FA29EC">
        <w:rPr>
          <w:rFonts w:asciiTheme="minorHAnsi" w:hAnsiTheme="minorHAnsi" w:cstheme="minorHAnsi"/>
          <w:szCs w:val="24"/>
          <w:lang w:val="es-ES"/>
        </w:rPr>
        <w:t xml:space="preserve"> hay varios países desplegando o probando </w:t>
      </w:r>
      <w:r>
        <w:rPr>
          <w:rFonts w:asciiTheme="minorHAnsi" w:hAnsiTheme="minorHAnsi" w:cstheme="minorHAnsi"/>
          <w:szCs w:val="24"/>
          <w:lang w:val="es-ES"/>
        </w:rPr>
        <w:t xml:space="preserve">soluciones de </w:t>
      </w:r>
      <w:r w:rsidRPr="0079565A">
        <w:t>comunicación</w:t>
      </w:r>
      <w:r>
        <w:rPr>
          <w:rFonts w:asciiTheme="minorHAnsi" w:hAnsiTheme="minorHAnsi" w:cstheme="minorHAnsi"/>
          <w:szCs w:val="24"/>
          <w:lang w:val="es-ES"/>
        </w:rPr>
        <w:t xml:space="preserve"> por satélite</w:t>
      </w:r>
      <w:r w:rsidRPr="00FA29EC">
        <w:rPr>
          <w:rFonts w:asciiTheme="minorHAnsi" w:hAnsiTheme="minorHAnsi" w:cstheme="minorHAnsi"/>
          <w:szCs w:val="24"/>
          <w:lang w:val="es-ES"/>
        </w:rPr>
        <w:t xml:space="preserve"> LEO.</w:t>
      </w:r>
    </w:p>
    <w:p w14:paraId="300F5761" w14:textId="2C2A726F" w:rsidR="0059147E" w:rsidRPr="006527B2" w:rsidRDefault="0079565A" w:rsidP="00C063AD">
      <w:pPr>
        <w:pStyle w:val="enumlev1"/>
        <w:rPr>
          <w:lang w:val="es-ES"/>
        </w:rPr>
      </w:pPr>
      <w:r>
        <w:rPr>
          <w:lang w:val="es-ES"/>
        </w:rPr>
        <w:sym w:font="Symbol" w:char="F0B7"/>
      </w:r>
      <w:r>
        <w:rPr>
          <w:lang w:val="es-ES"/>
        </w:rPr>
        <w:tab/>
      </w:r>
      <w:r w:rsidR="0059147E" w:rsidRPr="006527B2">
        <w:rPr>
          <w:lang w:val="es-ES"/>
        </w:rPr>
        <w:t>La UIT partici</w:t>
      </w:r>
      <w:r w:rsidR="0059147E">
        <w:rPr>
          <w:lang w:val="es-ES"/>
        </w:rPr>
        <w:t>p</w:t>
      </w:r>
      <w:r w:rsidR="0059147E" w:rsidRPr="006527B2">
        <w:rPr>
          <w:lang w:val="es-ES"/>
        </w:rPr>
        <w:t>ó en la Conferencia Internacional de las Naciones Unidas/Organización Mundial de la Salud sobre Espacio y Salud Mundial, en colaboración con el Gobierno de S</w:t>
      </w:r>
      <w:r w:rsidR="00F401B1">
        <w:rPr>
          <w:lang w:val="es-ES"/>
        </w:rPr>
        <w:t>u</w:t>
      </w:r>
      <w:r w:rsidR="0059147E" w:rsidRPr="006527B2">
        <w:rPr>
          <w:lang w:val="es-ES"/>
        </w:rPr>
        <w:t>iza y la Red Espacio y Salud Mundial de la Agencia Espacial Europea, que se celebró bajo los au</w:t>
      </w:r>
      <w:r w:rsidR="0059147E">
        <w:rPr>
          <w:lang w:val="es-ES"/>
        </w:rPr>
        <w:t>s</w:t>
      </w:r>
      <w:r w:rsidR="0059147E" w:rsidRPr="006527B2">
        <w:rPr>
          <w:lang w:val="es-ES"/>
        </w:rPr>
        <w:t xml:space="preserve">picios de la </w:t>
      </w:r>
      <w:r w:rsidR="0059147E" w:rsidRPr="00C063AD">
        <w:t>Conferencia</w:t>
      </w:r>
      <w:r w:rsidR="0059147E" w:rsidRPr="006527B2">
        <w:rPr>
          <w:lang w:val="es-ES"/>
        </w:rPr>
        <w:t xml:space="preserve"> de las Naciones Unidas sobre Comercio y Desarrollo (UNCTAD) </w:t>
      </w:r>
      <w:r w:rsidR="0059147E">
        <w:rPr>
          <w:lang w:val="es-ES"/>
        </w:rPr>
        <w:t>e</w:t>
      </w:r>
      <w:r w:rsidR="0059147E" w:rsidRPr="006527B2">
        <w:rPr>
          <w:lang w:val="es-ES"/>
        </w:rPr>
        <w:t>n G</w:t>
      </w:r>
      <w:r w:rsidR="0059147E">
        <w:rPr>
          <w:lang w:val="es-ES"/>
        </w:rPr>
        <w:t>inebra en noviembre de 2023, y asistió a la Red Espacio y Salud Mundial durante la 61ª reunión de la Subcomisión de Asuntos Científicos y Técnicos de la Comisión sobre la Utilización del Espacio Ultraterrestre con Fines Pacífico</w:t>
      </w:r>
      <w:r w:rsidR="0059147E" w:rsidRPr="006527B2">
        <w:rPr>
          <w:lang w:val="es-ES"/>
        </w:rPr>
        <w:t>.</w:t>
      </w:r>
    </w:p>
    <w:p w14:paraId="57980040" w14:textId="77777777" w:rsidR="0059147E" w:rsidRPr="006527B2" w:rsidRDefault="0059147E" w:rsidP="0059147E">
      <w:pPr>
        <w:tabs>
          <w:tab w:val="clear" w:pos="567"/>
          <w:tab w:val="clear" w:pos="1134"/>
          <w:tab w:val="clear" w:pos="1701"/>
          <w:tab w:val="clear" w:pos="2268"/>
          <w:tab w:val="clear" w:pos="2835"/>
        </w:tabs>
        <w:overflowPunct/>
        <w:autoSpaceDE/>
        <w:autoSpaceDN/>
        <w:adjustRightInd/>
        <w:spacing w:before="0"/>
        <w:textAlignment w:val="auto"/>
        <w:rPr>
          <w:lang w:val="es-ES"/>
        </w:rPr>
      </w:pPr>
      <w:r w:rsidRPr="006527B2">
        <w:rPr>
          <w:lang w:val="es-ES"/>
        </w:rPr>
        <w:br w:type="page"/>
      </w:r>
    </w:p>
    <w:p w14:paraId="7D4E732F" w14:textId="77777777" w:rsidR="0059147E" w:rsidRPr="002D2E23" w:rsidRDefault="0059147E" w:rsidP="0059147E">
      <w:pPr>
        <w:pStyle w:val="AnnexNo"/>
        <w:spacing w:before="360"/>
        <w:rPr>
          <w:lang w:val="es-ES"/>
        </w:rPr>
      </w:pPr>
      <w:bookmarkStart w:id="14" w:name="Annex3"/>
      <w:r w:rsidRPr="002D2E23">
        <w:rPr>
          <w:lang w:val="es-ES"/>
        </w:rPr>
        <w:lastRenderedPageBreak/>
        <w:t>AnexO 3</w:t>
      </w:r>
      <w:bookmarkEnd w:id="14"/>
    </w:p>
    <w:p w14:paraId="45A5CD68" w14:textId="77777777" w:rsidR="0059147E" w:rsidRPr="006527B2" w:rsidRDefault="0059147E" w:rsidP="0059147E">
      <w:pPr>
        <w:pStyle w:val="Annextitle"/>
        <w:spacing w:before="360"/>
        <w:rPr>
          <w:lang w:val="es-ES"/>
        </w:rPr>
      </w:pPr>
      <w:bookmarkStart w:id="15" w:name="_Hlk132818415"/>
      <w:r w:rsidRPr="006527B2">
        <w:rPr>
          <w:lang w:val="es-ES"/>
        </w:rPr>
        <w:t>Reuniones interinstitucionales de las Naciones Unidas</w:t>
      </w:r>
      <w:r>
        <w:rPr>
          <w:lang w:val="es-ES"/>
        </w:rPr>
        <w:t xml:space="preserve"> sobre actividades relativas al espacio ultraterrestre (ONU-Espacio</w:t>
      </w:r>
      <w:r w:rsidRPr="006527B2">
        <w:rPr>
          <w:lang w:val="es-ES"/>
        </w:rPr>
        <w:t>)</w:t>
      </w:r>
      <w:bookmarkEnd w:id="15"/>
    </w:p>
    <w:p w14:paraId="04C5E806" w14:textId="77777777" w:rsidR="0059147E" w:rsidRPr="006527B2" w:rsidRDefault="0059147E" w:rsidP="0059147E">
      <w:pPr>
        <w:rPr>
          <w:lang w:val="es-ES"/>
        </w:rPr>
      </w:pPr>
      <w:r w:rsidRPr="006527B2">
        <w:rPr>
          <w:lang w:val="es-ES"/>
        </w:rPr>
        <w:t>Las reuniones interinstitucionales de las Naciones Unidas sobre las actividades relativas al espacio ultraterrestre se iniciaron a mediados de la década de 1970, antes de ser denominadas "ONU-Espacio" por la Resolución 68/75a de la Asamblea General de diciembre de 2013.</w:t>
      </w:r>
    </w:p>
    <w:p w14:paraId="3762EE78" w14:textId="77777777" w:rsidR="0059147E" w:rsidRPr="006527B2" w:rsidRDefault="0059147E" w:rsidP="0059147E">
      <w:pPr>
        <w:rPr>
          <w:lang w:val="es-ES"/>
        </w:rPr>
      </w:pPr>
      <w:r w:rsidRPr="006527B2">
        <w:rPr>
          <w:lang w:val="es-ES"/>
        </w:rPr>
        <w:t xml:space="preserve">ONU-Espacio es un mecanismo para promover la colaboración, la sinergia, el intercambio de información y la coordinación de los planes y programas de las entidades de las Naciones Unidas (departamentos, oficinas, fondos, programas y organismos especializados) en la ejecución de actividades que impliquen el uso de la tecnología espacial y sus aplicaciones. </w:t>
      </w:r>
    </w:p>
    <w:p w14:paraId="69634596" w14:textId="71C10555" w:rsidR="0059147E" w:rsidRPr="006527B2" w:rsidRDefault="0059147E" w:rsidP="0059147E">
      <w:pPr>
        <w:rPr>
          <w:lang w:val="es-ES"/>
        </w:rPr>
      </w:pPr>
      <w:r w:rsidRPr="006527B2">
        <w:rPr>
          <w:lang w:val="es-ES"/>
        </w:rPr>
        <w:t>La Oficina de Asuntos del Espacio Ultraterrestre dirige ONU-Espacio y actúa como su secretaría. Participan 3</w:t>
      </w:r>
      <w:r>
        <w:rPr>
          <w:lang w:val="es-ES"/>
        </w:rPr>
        <w:t>5</w:t>
      </w:r>
      <w:r w:rsidRPr="006527B2">
        <w:rPr>
          <w:lang w:val="es-ES"/>
        </w:rPr>
        <w:t xml:space="preserve"> entidades de las Naciones Unidas. (</w:t>
      </w:r>
      <w:hyperlink r:id="rId30" w:history="1">
        <w:r w:rsidRPr="006527B2">
          <w:rPr>
            <w:rStyle w:val="Hyperlink"/>
            <w:bCs/>
            <w:szCs w:val="24"/>
            <w:lang w:val="es-ES"/>
          </w:rPr>
          <w:t>https://www.unoosa.org/oosa/en/ourwork/un-space/po.html</w:t>
        </w:r>
      </w:hyperlink>
      <w:r w:rsidRPr="006527B2">
        <w:rPr>
          <w:lang w:val="es-ES"/>
        </w:rPr>
        <w:t>)</w:t>
      </w:r>
      <w:r>
        <w:rPr>
          <w:lang w:val="es-ES"/>
        </w:rPr>
        <w:t>.</w:t>
      </w:r>
    </w:p>
    <w:p w14:paraId="20717D16" w14:textId="7301FB4C" w:rsidR="0059147E" w:rsidRPr="00014AF4" w:rsidRDefault="0059147E" w:rsidP="00D767D9">
      <w:pPr>
        <w:rPr>
          <w:rFonts w:cstheme="minorHAnsi"/>
          <w:szCs w:val="24"/>
          <w:lang w:val="es-ES"/>
        </w:rPr>
      </w:pPr>
      <w:r w:rsidRPr="00014AF4">
        <w:rPr>
          <w:rFonts w:cstheme="minorHAnsi"/>
          <w:szCs w:val="24"/>
          <w:lang w:val="es-ES"/>
        </w:rPr>
        <w:t xml:space="preserve">En su </w:t>
      </w:r>
      <w:hyperlink r:id="rId31" w:history="1">
        <w:r w:rsidRPr="00014AF4">
          <w:rPr>
            <w:rStyle w:val="Hyperlink"/>
            <w:rFonts w:cstheme="minorHAnsi"/>
            <w:szCs w:val="24"/>
            <w:lang w:val="es-ES"/>
          </w:rPr>
          <w:t>66ª re</w:t>
        </w:r>
        <w:r w:rsidRPr="00014AF4">
          <w:rPr>
            <w:rStyle w:val="Hyperlink"/>
            <w:rFonts w:cstheme="minorHAnsi"/>
            <w:szCs w:val="24"/>
            <w:lang w:val="es-ES"/>
          </w:rPr>
          <w:t>u</w:t>
        </w:r>
        <w:r w:rsidRPr="00014AF4">
          <w:rPr>
            <w:rStyle w:val="Hyperlink"/>
            <w:rFonts w:cstheme="minorHAnsi"/>
            <w:szCs w:val="24"/>
            <w:lang w:val="es-ES"/>
          </w:rPr>
          <w:t>nión</w:t>
        </w:r>
      </w:hyperlink>
      <w:r w:rsidRPr="00014AF4">
        <w:rPr>
          <w:rFonts w:cstheme="minorHAnsi"/>
          <w:szCs w:val="24"/>
          <w:lang w:val="es-ES"/>
        </w:rPr>
        <w:t xml:space="preserve"> en junio de 2023, la Comisión sobre la Utilización del Espacio Ultraterrestre con Fines Pacíficos (COPUOS) s</w:t>
      </w:r>
      <w:r>
        <w:rPr>
          <w:rFonts w:cstheme="minorHAnsi"/>
          <w:szCs w:val="24"/>
          <w:lang w:val="es-ES"/>
        </w:rPr>
        <w:t xml:space="preserve">iguió </w:t>
      </w:r>
      <w:r w:rsidRPr="00D767D9">
        <w:rPr>
          <w:lang w:val="es-ES"/>
        </w:rPr>
        <w:t>alentando</w:t>
      </w:r>
      <w:r>
        <w:rPr>
          <w:rFonts w:cstheme="minorHAnsi"/>
          <w:szCs w:val="24"/>
          <w:lang w:val="es-ES"/>
        </w:rPr>
        <w:t xml:space="preserve"> a los organismos del sistema de las Naciones Unidas a participar, según procediese, en las actividades de coordinación de ONU-Espacio</w:t>
      </w:r>
      <w:r w:rsidRPr="00014AF4">
        <w:rPr>
          <w:rFonts w:cstheme="minorHAnsi"/>
          <w:szCs w:val="24"/>
          <w:lang w:val="es-ES"/>
        </w:rPr>
        <w:t>.</w:t>
      </w:r>
    </w:p>
    <w:p w14:paraId="3CD8768E" w14:textId="77777777" w:rsidR="0059147E" w:rsidRPr="00014AF4" w:rsidRDefault="0059147E" w:rsidP="00D767D9">
      <w:pPr>
        <w:rPr>
          <w:rFonts w:cstheme="minorHAnsi"/>
          <w:szCs w:val="24"/>
          <w:lang w:val="es-ES"/>
        </w:rPr>
      </w:pPr>
      <w:r w:rsidRPr="00014AF4">
        <w:rPr>
          <w:rFonts w:cstheme="minorHAnsi"/>
          <w:szCs w:val="24"/>
          <w:lang w:val="es-ES"/>
        </w:rPr>
        <w:t>La 42ª reunión de ONU-Espacio se celebró el 18 de octubre de 2023 bajo los auspicios del Servicio de Tecnología</w:t>
      </w:r>
      <w:r>
        <w:rPr>
          <w:rFonts w:cstheme="minorHAnsi"/>
          <w:szCs w:val="24"/>
          <w:lang w:val="es-ES"/>
        </w:rPr>
        <w:t xml:space="preserve">s Geoespaciales, </w:t>
      </w:r>
      <w:r w:rsidRPr="00D767D9">
        <w:rPr>
          <w:lang w:val="es-ES"/>
        </w:rPr>
        <w:t>Informáticas</w:t>
      </w:r>
      <w:r>
        <w:rPr>
          <w:rFonts w:cstheme="minorHAnsi"/>
          <w:szCs w:val="24"/>
          <w:lang w:val="es-ES"/>
        </w:rPr>
        <w:t xml:space="preserve"> y de Telecomunicaciones del Centro Mundial de Servicios de las Naciones Unidas</w:t>
      </w:r>
      <w:r w:rsidRPr="00014AF4">
        <w:rPr>
          <w:rFonts w:cstheme="minorHAnsi"/>
          <w:szCs w:val="24"/>
          <w:lang w:val="es-ES"/>
        </w:rPr>
        <w:t xml:space="preserve"> (UNGSC) </w:t>
      </w:r>
      <w:r>
        <w:rPr>
          <w:rFonts w:cstheme="minorHAnsi"/>
          <w:szCs w:val="24"/>
          <w:lang w:val="es-ES"/>
        </w:rPr>
        <w:t>en</w:t>
      </w:r>
      <w:r w:rsidRPr="00014AF4">
        <w:rPr>
          <w:rFonts w:cstheme="minorHAnsi"/>
          <w:szCs w:val="24"/>
          <w:lang w:val="es-ES"/>
        </w:rPr>
        <w:t xml:space="preserve"> Brindisi, Ital</w:t>
      </w:r>
      <w:r>
        <w:rPr>
          <w:rFonts w:cstheme="minorHAnsi"/>
          <w:szCs w:val="24"/>
          <w:lang w:val="es-ES"/>
        </w:rPr>
        <w:t>ia</w:t>
      </w:r>
      <w:r w:rsidRPr="00014AF4">
        <w:rPr>
          <w:rFonts w:cstheme="minorHAnsi"/>
          <w:szCs w:val="24"/>
          <w:lang w:val="es-ES"/>
        </w:rPr>
        <w:t xml:space="preserve">. </w:t>
      </w:r>
    </w:p>
    <w:p w14:paraId="5748FCF4" w14:textId="76E6D91A" w:rsidR="0059147E" w:rsidRPr="00014AF4" w:rsidRDefault="0059147E" w:rsidP="00D767D9">
      <w:pPr>
        <w:rPr>
          <w:rFonts w:cstheme="minorHAnsi"/>
          <w:szCs w:val="24"/>
          <w:lang w:val="es-ES"/>
        </w:rPr>
      </w:pPr>
      <w:r w:rsidRPr="00014AF4">
        <w:rPr>
          <w:rFonts w:cstheme="minorHAnsi"/>
          <w:szCs w:val="24"/>
          <w:lang w:val="es-ES"/>
        </w:rPr>
        <w:t xml:space="preserve">En la reunión se presentaron los últimos avances en la utilización con fines pacíficos del espacio ultraterrestre, la </w:t>
      </w:r>
      <w:r w:rsidRPr="00D767D9">
        <w:rPr>
          <w:lang w:val="es-ES"/>
        </w:rPr>
        <w:t>Agenda</w:t>
      </w:r>
      <w:r w:rsidRPr="00014AF4">
        <w:rPr>
          <w:rFonts w:cstheme="minorHAnsi"/>
          <w:szCs w:val="24"/>
          <w:lang w:val="es-ES"/>
        </w:rPr>
        <w:t xml:space="preserve"> </w:t>
      </w:r>
      <w:r w:rsidR="00D767D9">
        <w:rPr>
          <w:rFonts w:cstheme="minorHAnsi"/>
          <w:szCs w:val="24"/>
          <w:lang w:val="es-ES"/>
        </w:rPr>
        <w:t>"</w:t>
      </w:r>
      <w:r w:rsidRPr="00014AF4">
        <w:rPr>
          <w:rFonts w:cstheme="minorHAnsi"/>
          <w:szCs w:val="24"/>
          <w:lang w:val="es-ES"/>
        </w:rPr>
        <w:t>Espacio2030</w:t>
      </w:r>
      <w:r w:rsidR="00D767D9">
        <w:rPr>
          <w:rFonts w:cstheme="minorHAnsi"/>
          <w:szCs w:val="24"/>
          <w:lang w:val="es-ES"/>
        </w:rPr>
        <w:t>"</w:t>
      </w:r>
      <w:r w:rsidRPr="00014AF4">
        <w:rPr>
          <w:rFonts w:cstheme="minorHAnsi"/>
          <w:szCs w:val="24"/>
          <w:lang w:val="es-ES"/>
        </w:rPr>
        <w:t xml:space="preserve"> y los debates celebrados en ONU-Espacio sobre las </w:t>
      </w:r>
      <w:r>
        <w:rPr>
          <w:rFonts w:cstheme="minorHAnsi"/>
          <w:szCs w:val="24"/>
          <w:lang w:val="es-ES"/>
        </w:rPr>
        <w:t>interrelaciones con el Informe de políticas de Nuestra Agenda Común 7: Para toda la humanidad – el futuro de la gobernanza del espacio ultraterrestre</w:t>
      </w:r>
      <w:r w:rsidRPr="00014AF4">
        <w:rPr>
          <w:rFonts w:cstheme="minorHAnsi"/>
          <w:szCs w:val="24"/>
          <w:lang w:val="es-ES"/>
        </w:rPr>
        <w:t xml:space="preserve"> (</w:t>
      </w:r>
      <w:hyperlink r:id="rId32" w:history="1">
        <w:r w:rsidRPr="00EE337B">
          <w:rPr>
            <w:rStyle w:val="Hyperlink"/>
            <w:rFonts w:cstheme="minorHAnsi"/>
            <w:szCs w:val="24"/>
            <w:lang w:val="es-ES"/>
          </w:rPr>
          <w:t>https://www.un.org/sites/un2.un.o</w:t>
        </w:r>
        <w:r w:rsidRPr="00EE337B">
          <w:rPr>
            <w:rStyle w:val="Hyperlink"/>
            <w:rFonts w:cstheme="minorHAnsi"/>
            <w:szCs w:val="24"/>
            <w:lang w:val="es-ES"/>
          </w:rPr>
          <w:t>r</w:t>
        </w:r>
        <w:r w:rsidRPr="00EE337B">
          <w:rPr>
            <w:rStyle w:val="Hyperlink"/>
            <w:rFonts w:cstheme="minorHAnsi"/>
            <w:szCs w:val="24"/>
            <w:lang w:val="es-ES"/>
          </w:rPr>
          <w:t>g/files/our-common-agenda-policy-brief-outer-space-es.pdf</w:t>
        </w:r>
      </w:hyperlink>
      <w:r w:rsidRPr="00014AF4">
        <w:rPr>
          <w:rFonts w:cstheme="minorHAnsi"/>
          <w:szCs w:val="24"/>
          <w:lang w:val="es-ES"/>
        </w:rPr>
        <w:t xml:space="preserve">). </w:t>
      </w:r>
    </w:p>
    <w:p w14:paraId="261CEE8A" w14:textId="53EED058" w:rsidR="0059147E" w:rsidRPr="00AF0D4C" w:rsidRDefault="0059147E" w:rsidP="00D767D9">
      <w:pPr>
        <w:rPr>
          <w:rFonts w:cstheme="minorBidi"/>
          <w:lang w:val="es-ES"/>
        </w:rPr>
      </w:pPr>
      <w:r w:rsidRPr="00014AF4">
        <w:rPr>
          <w:rFonts w:cstheme="minorBidi"/>
          <w:lang w:val="es-ES"/>
        </w:rPr>
        <w:t xml:space="preserve">En este Informe de políticas se recuerda la adopción de la Agenda </w:t>
      </w:r>
      <w:r w:rsidR="00D767D9">
        <w:rPr>
          <w:rFonts w:cstheme="minorHAnsi"/>
          <w:szCs w:val="24"/>
          <w:lang w:val="es-ES"/>
        </w:rPr>
        <w:t>"</w:t>
      </w:r>
      <w:r w:rsidR="00D767D9" w:rsidRPr="00014AF4">
        <w:rPr>
          <w:rFonts w:cstheme="minorHAnsi"/>
          <w:szCs w:val="24"/>
          <w:lang w:val="es-ES"/>
        </w:rPr>
        <w:t>Espacio2030</w:t>
      </w:r>
      <w:r w:rsidR="00D767D9">
        <w:rPr>
          <w:rFonts w:cstheme="minorHAnsi"/>
          <w:szCs w:val="24"/>
          <w:lang w:val="es-ES"/>
        </w:rPr>
        <w:t>"</w:t>
      </w:r>
      <w:r>
        <w:rPr>
          <w:rFonts w:cstheme="minorBidi"/>
          <w:lang w:val="es-ES"/>
        </w:rPr>
        <w:t xml:space="preserve">, reconociendo el importante vínculo existente entre el espacio ultraterrestre y la Agenda para el </w:t>
      </w:r>
      <w:r w:rsidRPr="00D767D9">
        <w:rPr>
          <w:lang w:val="es-ES"/>
        </w:rPr>
        <w:t>Desarrollo</w:t>
      </w:r>
      <w:r>
        <w:rPr>
          <w:rFonts w:cstheme="minorBidi"/>
          <w:lang w:val="es-ES"/>
        </w:rPr>
        <w:t xml:space="preserve"> Sostenible. </w:t>
      </w:r>
      <w:r w:rsidRPr="00014AF4">
        <w:rPr>
          <w:rFonts w:cstheme="minorBidi"/>
          <w:lang w:val="es-ES"/>
        </w:rPr>
        <w:t>Se recomienda a las entidades de las Nacion</w:t>
      </w:r>
      <w:r>
        <w:rPr>
          <w:rFonts w:cstheme="minorBidi"/>
          <w:lang w:val="es-ES"/>
        </w:rPr>
        <w:t xml:space="preserve">es Unidas aumentar su colaboración, por ejemplo a través de ONU-Espacio, con miras a coordinar mejor sus intercambios de datos, fomentar la capacidad del sistema de las Naciones Unidas y cooperar en la adquisición de información obtenida desde el espacio. </w:t>
      </w:r>
      <w:r w:rsidRPr="00014AF4">
        <w:rPr>
          <w:rFonts w:cstheme="minorBidi"/>
          <w:lang w:val="es-ES"/>
        </w:rPr>
        <w:t>La UIT participó activamente en la elaboración de</w:t>
      </w:r>
      <w:r>
        <w:rPr>
          <w:rFonts w:cstheme="minorBidi"/>
          <w:lang w:val="es-ES"/>
        </w:rPr>
        <w:t xml:space="preserve"> este Informe de políticas bajo el liderazgo de la Oficina del Secretario</w:t>
      </w:r>
      <w:r w:rsidR="00D767D9">
        <w:rPr>
          <w:rFonts w:cstheme="minorBidi"/>
          <w:lang w:val="es-ES"/>
        </w:rPr>
        <w:t> </w:t>
      </w:r>
      <w:r>
        <w:rPr>
          <w:rFonts w:cstheme="minorBidi"/>
          <w:lang w:val="es-ES"/>
        </w:rPr>
        <w:t>General de las Naciones Unidas y las Oficinas de las Naciones Unidas de Asuntos de Desarme</w:t>
      </w:r>
      <w:r w:rsidRPr="00AF0D4C">
        <w:rPr>
          <w:rFonts w:cstheme="minorBidi"/>
          <w:lang w:val="es-ES"/>
        </w:rPr>
        <w:t xml:space="preserve"> (UNODA) y</w:t>
      </w:r>
      <w:r>
        <w:rPr>
          <w:rFonts w:cstheme="minorBidi"/>
          <w:lang w:val="es-ES"/>
        </w:rPr>
        <w:t xml:space="preserve"> de Asuntos del Espacio Ultraterrestre</w:t>
      </w:r>
      <w:r w:rsidRPr="00AF0D4C">
        <w:rPr>
          <w:rFonts w:cstheme="minorBidi"/>
          <w:lang w:val="es-ES"/>
        </w:rPr>
        <w:t xml:space="preserve"> (UNOOSA). La UIT hizo gala de su compromiso desde hace 60 años para con los asuntos espaciales que ha llevado a la inclusión de n</w:t>
      </w:r>
      <w:r>
        <w:rPr>
          <w:rFonts w:cstheme="minorBidi"/>
          <w:lang w:val="es-ES"/>
        </w:rPr>
        <w:t xml:space="preserve">umerosas disposiciones reglamentarias al respecto en los tratados de la UIT, y aportó datos procedentes del </w:t>
      </w:r>
      <w:r w:rsidRPr="00D767D9">
        <w:rPr>
          <w:lang w:val="es-ES"/>
        </w:rPr>
        <w:t>Registro</w:t>
      </w:r>
      <w:r>
        <w:rPr>
          <w:rFonts w:cstheme="minorBidi"/>
          <w:lang w:val="es-ES"/>
        </w:rPr>
        <w:t xml:space="preserve"> Internacional de Frecuencias. </w:t>
      </w:r>
      <w:r w:rsidRPr="00AF0D4C">
        <w:rPr>
          <w:rFonts w:cstheme="minorBidi"/>
          <w:lang w:val="es-ES"/>
        </w:rPr>
        <w:t xml:space="preserve">En el Informe de políticas se reconoce en concreto que </w:t>
      </w:r>
      <w:r w:rsidR="00D767D9">
        <w:rPr>
          <w:rFonts w:cstheme="minorBidi"/>
          <w:lang w:val="es-ES"/>
        </w:rPr>
        <w:t>"</w:t>
      </w:r>
      <w:r w:rsidRPr="00AF0D4C">
        <w:rPr>
          <w:rFonts w:cstheme="minorBidi"/>
          <w:lang w:val="es-ES"/>
        </w:rPr>
        <w:t>l</w:t>
      </w:r>
      <w:r>
        <w:rPr>
          <w:rFonts w:cstheme="minorBidi"/>
          <w:lang w:val="es-ES"/>
        </w:rPr>
        <w:t>a UIT dispone de los mecanismos institucionales necesarios para responder a las necesidades de comunicación de las futuras misiones espaciales</w:t>
      </w:r>
      <w:r w:rsidR="00D767D9">
        <w:rPr>
          <w:rFonts w:cstheme="minorBidi"/>
          <w:lang w:val="es-ES"/>
        </w:rPr>
        <w:t>"</w:t>
      </w:r>
      <w:r w:rsidRPr="00AF0D4C">
        <w:rPr>
          <w:rFonts w:cstheme="minorBidi"/>
          <w:lang w:val="es-ES"/>
        </w:rPr>
        <w:t>.</w:t>
      </w:r>
    </w:p>
    <w:p w14:paraId="3EF7EC10" w14:textId="77777777" w:rsidR="0059147E" w:rsidRPr="00AF0D4C" w:rsidRDefault="0059147E" w:rsidP="00D767D9">
      <w:pPr>
        <w:rPr>
          <w:rFonts w:cstheme="minorHAnsi"/>
          <w:szCs w:val="24"/>
          <w:lang w:val="es-ES"/>
        </w:rPr>
      </w:pPr>
      <w:r w:rsidRPr="00AF0D4C">
        <w:rPr>
          <w:rFonts w:cstheme="minorHAnsi"/>
          <w:szCs w:val="24"/>
          <w:lang w:val="es-ES"/>
        </w:rPr>
        <w:lastRenderedPageBreak/>
        <w:t>Los participantes en ONU-Espacio acordaron examinar su organización, añadir pistas de trabajo en el</w:t>
      </w:r>
      <w:r>
        <w:rPr>
          <w:rFonts w:cstheme="minorHAnsi"/>
          <w:szCs w:val="24"/>
          <w:lang w:val="es-ES"/>
        </w:rPr>
        <w:t xml:space="preserve"> sector del espacio ultraterrestre y celebrar reuniones virtuales en los intervalos entre reuniones presenciales. </w:t>
      </w:r>
      <w:r w:rsidRPr="00AF0D4C">
        <w:rPr>
          <w:rFonts w:cstheme="minorHAnsi"/>
          <w:szCs w:val="24"/>
          <w:lang w:val="es-ES"/>
        </w:rPr>
        <w:t xml:space="preserve">ONU-Espacio </w:t>
      </w:r>
      <w:r w:rsidRPr="00D767D9">
        <w:rPr>
          <w:lang w:val="es-ES"/>
        </w:rPr>
        <w:t>rendirá</w:t>
      </w:r>
      <w:r w:rsidRPr="00AF0D4C">
        <w:rPr>
          <w:rFonts w:cstheme="minorHAnsi"/>
          <w:szCs w:val="24"/>
          <w:lang w:val="es-ES"/>
        </w:rPr>
        <w:t xml:space="preserve"> in</w:t>
      </w:r>
      <w:r>
        <w:rPr>
          <w:rFonts w:cstheme="minorHAnsi"/>
          <w:szCs w:val="24"/>
          <w:lang w:val="es-ES"/>
        </w:rPr>
        <w:t>f</w:t>
      </w:r>
      <w:r w:rsidRPr="00AF0D4C">
        <w:rPr>
          <w:rFonts w:cstheme="minorHAnsi"/>
          <w:szCs w:val="24"/>
          <w:lang w:val="es-ES"/>
        </w:rPr>
        <w:t>orme al Secretario General de las Naciones Unidas sobre la coordinación de las ac</w:t>
      </w:r>
      <w:r>
        <w:rPr>
          <w:rFonts w:cstheme="minorHAnsi"/>
          <w:szCs w:val="24"/>
          <w:lang w:val="es-ES"/>
        </w:rPr>
        <w:t xml:space="preserve">tividades relacionadas con el espacio dentro del sistema de las Naciones Unidas. </w:t>
      </w:r>
      <w:r w:rsidRPr="00AF0D4C">
        <w:rPr>
          <w:rFonts w:cstheme="minorHAnsi"/>
          <w:szCs w:val="24"/>
          <w:lang w:val="es-ES"/>
        </w:rPr>
        <w:t>Ese informe se remitirá asimismo a la Comisión sobre la Utilización del Espacio Ultraterrestre con Fines Pa</w:t>
      </w:r>
      <w:r>
        <w:rPr>
          <w:rFonts w:cstheme="minorHAnsi"/>
          <w:szCs w:val="24"/>
          <w:lang w:val="es-ES"/>
        </w:rPr>
        <w:t>cíficos en junio de</w:t>
      </w:r>
      <w:r w:rsidRPr="00AF0D4C">
        <w:rPr>
          <w:rFonts w:cstheme="minorHAnsi"/>
          <w:szCs w:val="24"/>
          <w:lang w:val="es-ES"/>
        </w:rPr>
        <w:t xml:space="preserve"> 2024.</w:t>
      </w:r>
    </w:p>
    <w:p w14:paraId="48280A0A" w14:textId="229A65AA" w:rsidR="0059147E" w:rsidRDefault="0059147E" w:rsidP="00D767D9">
      <w:pPr>
        <w:rPr>
          <w:rFonts w:cstheme="minorBidi"/>
          <w:lang w:val="es-ES"/>
        </w:rPr>
      </w:pPr>
      <w:r w:rsidRPr="00AF0D4C">
        <w:rPr>
          <w:rFonts w:cstheme="minorBidi"/>
          <w:lang w:val="es-ES"/>
        </w:rPr>
        <w:t>Como resumen de las actividades temáticas que llevan a cabo los organismos de l</w:t>
      </w:r>
      <w:r>
        <w:rPr>
          <w:rFonts w:cstheme="minorBidi"/>
          <w:lang w:val="es-ES"/>
        </w:rPr>
        <w:t>as Naciones Unidas, ONU-Espacio prepara con periodicidad bienal</w:t>
      </w:r>
      <w:r w:rsidRPr="00AF0D4C">
        <w:rPr>
          <w:rFonts w:cstheme="minorBidi"/>
          <w:lang w:val="es-ES"/>
        </w:rPr>
        <w:t xml:space="preserve"> </w:t>
      </w:r>
      <w:hyperlink r:id="rId33" w:history="1">
        <w:r>
          <w:rPr>
            <w:rStyle w:val="Hyperlink"/>
            <w:rFonts w:cstheme="minorBidi"/>
            <w:lang w:val="es-ES"/>
          </w:rPr>
          <w:t>informes esp</w:t>
        </w:r>
        <w:r>
          <w:rPr>
            <w:rStyle w:val="Hyperlink"/>
            <w:rFonts w:cstheme="minorBidi"/>
            <w:lang w:val="es-ES"/>
          </w:rPr>
          <w:t>e</w:t>
        </w:r>
        <w:r>
          <w:rPr>
            <w:rStyle w:val="Hyperlink"/>
            <w:rFonts w:cstheme="minorBidi"/>
            <w:lang w:val="es-ES"/>
          </w:rPr>
          <w:t>ciales</w:t>
        </w:r>
      </w:hyperlink>
      <w:r w:rsidRPr="00AF0D4C">
        <w:rPr>
          <w:rFonts w:cstheme="minorBidi"/>
          <w:lang w:val="es-ES"/>
        </w:rPr>
        <w:t xml:space="preserve"> </w:t>
      </w:r>
      <w:r>
        <w:rPr>
          <w:rFonts w:cstheme="minorBidi"/>
          <w:lang w:val="es-ES"/>
        </w:rPr>
        <w:t>que presenta a la</w:t>
      </w:r>
      <w:r w:rsidRPr="00AF0D4C">
        <w:rPr>
          <w:rFonts w:cstheme="minorBidi"/>
          <w:lang w:val="es-ES"/>
        </w:rPr>
        <w:t xml:space="preserve"> COPUOS. La UIT aporta su contribución a esos informes especiales en rela</w:t>
      </w:r>
      <w:r>
        <w:rPr>
          <w:rFonts w:cstheme="minorBidi"/>
          <w:lang w:val="es-ES"/>
        </w:rPr>
        <w:t xml:space="preserve">ción con las iniciativas y aplicaciones para la cooperación interorganismos en relación con el espacio. </w:t>
      </w:r>
      <w:r w:rsidRPr="00AF0D4C">
        <w:rPr>
          <w:rFonts w:cstheme="minorBidi"/>
          <w:lang w:val="es-ES"/>
        </w:rPr>
        <w:t xml:space="preserve">El último informe se publicó en 2022 y </w:t>
      </w:r>
      <w:r>
        <w:rPr>
          <w:rFonts w:cstheme="minorBidi"/>
          <w:lang w:val="es-ES"/>
        </w:rPr>
        <w:t>se titula</w:t>
      </w:r>
      <w:r w:rsidRPr="00AF0D4C">
        <w:rPr>
          <w:rFonts w:cstheme="minorBidi"/>
          <w:lang w:val="es-ES"/>
        </w:rPr>
        <w:t xml:space="preserve"> "</w:t>
      </w:r>
      <w:hyperlink r:id="rId34" w:history="1">
        <w:r>
          <w:rPr>
            <w:rStyle w:val="Hyperlink"/>
            <w:rFonts w:cstheme="minorBidi"/>
            <w:lang w:val="es-ES"/>
          </w:rPr>
          <w:t xml:space="preserve">El espacio para la </w:t>
        </w:r>
        <w:r>
          <w:rPr>
            <w:rStyle w:val="Hyperlink"/>
            <w:rFonts w:cstheme="minorBidi"/>
            <w:lang w:val="es-ES"/>
          </w:rPr>
          <w:t>a</w:t>
        </w:r>
        <w:r>
          <w:rPr>
            <w:rStyle w:val="Hyperlink"/>
            <w:rFonts w:cstheme="minorBidi"/>
            <w:lang w:val="es-ES"/>
          </w:rPr>
          <w:t>cción climática</w:t>
        </w:r>
      </w:hyperlink>
      <w:r w:rsidR="00D767D9">
        <w:rPr>
          <w:rFonts w:cstheme="minorBidi"/>
          <w:lang w:val="es-ES"/>
        </w:rPr>
        <w:t>"</w:t>
      </w:r>
      <w:r w:rsidRPr="00AF0D4C">
        <w:rPr>
          <w:rFonts w:cstheme="minorBidi"/>
          <w:lang w:val="es-ES"/>
        </w:rPr>
        <w:t xml:space="preserve">. </w:t>
      </w:r>
    </w:p>
    <w:p w14:paraId="183AFB4F" w14:textId="77777777" w:rsidR="00D767D9" w:rsidRDefault="00D767D9" w:rsidP="00D767D9">
      <w:pPr>
        <w:pStyle w:val="Reasons"/>
        <w:spacing w:after="240"/>
        <w:rPr>
          <w:lang w:val="es-ES"/>
        </w:rPr>
      </w:pPr>
    </w:p>
    <w:p w14:paraId="2A29D9EF" w14:textId="77777777" w:rsidR="00D767D9" w:rsidRPr="0090147A" w:rsidRDefault="00D767D9" w:rsidP="00D767D9">
      <w:pPr>
        <w:spacing w:before="840"/>
        <w:jc w:val="center"/>
        <w:rPr>
          <w:lang w:val="es-ES"/>
        </w:rPr>
      </w:pPr>
      <w:r>
        <w:rPr>
          <w:lang w:val="es-ES"/>
        </w:rPr>
        <w:t>________________</w:t>
      </w:r>
    </w:p>
    <w:sectPr w:rsidR="00D767D9" w:rsidRPr="0090147A" w:rsidSect="00C538FC">
      <w:footerReference w:type="default" r:id="rId35"/>
      <w:headerReference w:type="first" r:id="rId36"/>
      <w:footerReference w:type="first" r:id="rId3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xt2 W1G Medium">
    <w:altName w:val="Calibri"/>
    <w:panose1 w:val="020B0603020202020204"/>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7777777" w:rsidR="003273A4" w:rsidRDefault="003273A4" w:rsidP="003273A4">
          <w:pPr>
            <w:pStyle w:val="Header"/>
            <w:jc w:val="left"/>
            <w:rPr>
              <w:noProof/>
            </w:rPr>
          </w:pPr>
          <w:r>
            <w:rPr>
              <w:noProof/>
            </w:rPr>
            <w:t>DPS #</w:t>
          </w:r>
        </w:p>
      </w:tc>
      <w:tc>
        <w:tcPr>
          <w:tcW w:w="8261" w:type="dxa"/>
        </w:tcPr>
        <w:p w14:paraId="31328314" w14:textId="00062837"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313A2A">
            <w:rPr>
              <w:bCs/>
            </w:rPr>
            <w:t>36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6E072480"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313A2A">
            <w:rPr>
              <w:bCs/>
            </w:rPr>
            <w:t>36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185E2A82" w14:textId="377C7E46" w:rsidR="00E51B05" w:rsidRPr="00E51B05" w:rsidRDefault="00E51B05">
      <w:pPr>
        <w:pStyle w:val="FootnoteText"/>
      </w:pPr>
      <w:r>
        <w:rPr>
          <w:rStyle w:val="FootnoteReference"/>
        </w:rPr>
        <w:t>1</w:t>
      </w:r>
      <w:r>
        <w:tab/>
      </w:r>
      <w:r w:rsidRPr="008E1B3A">
        <w:rPr>
          <w:lang w:val="es-ES"/>
        </w:rPr>
        <w:t>Véase la Resolución</w:t>
      </w:r>
      <w:r w:rsidRPr="008E1B3A">
        <w:rPr>
          <w:sz w:val="20"/>
          <w:lang w:val="es-ES"/>
        </w:rPr>
        <w:t xml:space="preserve"> 99 (Rev. Antalya, 2006) de la Conferenci</w:t>
      </w:r>
      <w:r>
        <w:rPr>
          <w:sz w:val="20"/>
          <w:lang w:val="es-ES"/>
        </w:rPr>
        <w:t>a de Plenipotenciarios</w:t>
      </w:r>
      <w:r w:rsidRPr="008E1B3A">
        <w:rPr>
          <w:sz w:val="20"/>
          <w:lang w:val="es-ES"/>
        </w:rPr>
        <w:t>.</w:t>
      </w:r>
    </w:p>
  </w:footnote>
  <w:footnote w:id="2">
    <w:p w14:paraId="34761683" w14:textId="75696211" w:rsidR="006638D1" w:rsidRPr="006638D1" w:rsidRDefault="006638D1">
      <w:pPr>
        <w:pStyle w:val="FootnoteText"/>
      </w:pPr>
      <w:r>
        <w:rPr>
          <w:rStyle w:val="FootnoteReference"/>
        </w:rPr>
        <w:t>2</w:t>
      </w:r>
      <w:r>
        <w:tab/>
      </w:r>
      <w:r w:rsidRPr="000321F2">
        <w:rPr>
          <w:sz w:val="20"/>
          <w:lang w:val="es-ES"/>
        </w:rPr>
        <w:t>La Agenda 2030 para el Desarrollo Sostenible, el Marco de Sendái para la Reducción del Riesgo de Desastres 2015-2030 y el Acuerdo de París.</w:t>
      </w:r>
    </w:p>
  </w:footnote>
  <w:footnote w:id="3">
    <w:p w14:paraId="7E540481" w14:textId="4DA038F8" w:rsidR="00D346E8" w:rsidRPr="00D346E8" w:rsidRDefault="00D346E8">
      <w:pPr>
        <w:pStyle w:val="FootnoteText"/>
      </w:pPr>
      <w:r>
        <w:rPr>
          <w:rStyle w:val="FootnoteReference"/>
        </w:rPr>
        <w:t>3</w:t>
      </w:r>
      <w:r>
        <w:tab/>
      </w:r>
      <w:r w:rsidRPr="00AD1CAC">
        <w:rPr>
          <w:rFonts w:asciiTheme="minorHAnsi" w:hAnsiTheme="minorHAnsi" w:cstheme="minorHAnsi"/>
          <w:sz w:val="20"/>
          <w:shd w:val="clear" w:color="auto" w:fill="FFFFFF"/>
          <w:lang w:val="es-ES"/>
        </w:rPr>
        <w:t>Resolución 136 (Rev. Bucarest, 2022)</w:t>
      </w:r>
      <w:r>
        <w:rPr>
          <w:rFonts w:asciiTheme="minorHAnsi" w:hAnsiTheme="minorHAnsi" w:cstheme="minorHAnsi"/>
          <w:sz w:val="20"/>
          <w:shd w:val="clear" w:color="auto" w:fill="FFFFFF"/>
          <w:lang w:val="es-ES"/>
        </w:rPr>
        <w:t xml:space="preserve"> de la PP</w:t>
      </w:r>
      <w:r w:rsidRPr="00AD1CAC">
        <w:rPr>
          <w:rFonts w:asciiTheme="minorHAnsi" w:hAnsiTheme="minorHAnsi" w:cstheme="minorHAnsi" w:hint="eastAsia"/>
          <w:sz w:val="20"/>
          <w:shd w:val="clear" w:color="auto" w:fill="FFFFFF"/>
          <w:lang w:val="es-ES"/>
        </w:rPr>
        <w:t>:</w:t>
      </w:r>
      <w:r w:rsidRPr="00AD1CAC">
        <w:rPr>
          <w:rFonts w:hint="eastAsia"/>
          <w:color w:val="444444"/>
          <w:sz w:val="20"/>
          <w:lang w:val="es-ES"/>
        </w:rPr>
        <w:t xml:space="preserve"> </w:t>
      </w:r>
      <w:r w:rsidRPr="00AD1CAC">
        <w:rPr>
          <w:color w:val="444444"/>
          <w:sz w:val="20"/>
          <w:lang w:val="es-ES"/>
        </w:rPr>
        <w:t>Utilización de las telecomunicaciones/tecnologías de</w:t>
      </w:r>
      <w:r>
        <w:rPr>
          <w:color w:val="444444"/>
          <w:sz w:val="20"/>
          <w:lang w:val="es-ES"/>
        </w:rPr>
        <w:t xml:space="preserve"> </w:t>
      </w:r>
      <w:r w:rsidRPr="00AD1CAC">
        <w:rPr>
          <w:color w:val="444444"/>
          <w:sz w:val="20"/>
          <w:lang w:val="es-ES"/>
        </w:rPr>
        <w:t>la información y la comunicación para la asistencia humanitaria y en el contro</w:t>
      </w:r>
      <w:r>
        <w:rPr>
          <w:color w:val="444444"/>
          <w:sz w:val="20"/>
          <w:lang w:val="es-ES"/>
        </w:rPr>
        <w:t>l</w:t>
      </w:r>
      <w:r w:rsidRPr="00AD1CAC">
        <w:rPr>
          <w:color w:val="444444"/>
          <w:sz w:val="20"/>
          <w:lang w:val="es-ES"/>
        </w:rPr>
        <w:t xml:space="preserve"> y la</w:t>
      </w:r>
      <w:r>
        <w:rPr>
          <w:color w:val="444444"/>
          <w:sz w:val="20"/>
          <w:lang w:val="es-ES"/>
        </w:rPr>
        <w:t xml:space="preserve"> gestión de situaciones de emergencia y catástrofes, incluidas las situaciones de emergencia sanitaria, la alerta temprana, la prevención, la mitigación y las operaciones de socorro</w:t>
      </w:r>
      <w:r w:rsidRPr="00AD1CAC">
        <w:rPr>
          <w:rFonts w:asciiTheme="minorHAnsi" w:hAnsiTheme="minorHAnsi" w:cstheme="minorHAnsi" w:hint="eastAsia"/>
          <w:sz w:val="20"/>
          <w:shd w:val="clear" w:color="auto" w:fill="FFFFFF"/>
          <w:lang w:val="es-ES"/>
        </w:rPr>
        <w:t>,</w:t>
      </w:r>
      <w:r w:rsidRPr="00AD1CAC">
        <w:rPr>
          <w:rFonts w:hint="eastAsia"/>
          <w:color w:val="444444"/>
          <w:sz w:val="20"/>
          <w:lang w:val="es-ES"/>
        </w:rPr>
        <w:t xml:space="preserve"> </w:t>
      </w:r>
      <w:r>
        <w:rPr>
          <w:color w:val="444444"/>
          <w:sz w:val="20"/>
          <w:lang w:val="es-ES"/>
        </w:rPr>
        <w:t>disponible en</w:t>
      </w:r>
      <w:r w:rsidRPr="00AD1CAC">
        <w:rPr>
          <w:rFonts w:hint="eastAsia"/>
          <w:sz w:val="20"/>
          <w:lang w:val="es-ES"/>
        </w:rPr>
        <w:t xml:space="preserve">: </w:t>
      </w:r>
      <w:hyperlink r:id="rId1" w:history="1">
        <w:r>
          <w:rPr>
            <w:rStyle w:val="Hyperlink"/>
            <w:sz w:val="20"/>
            <w:lang w:val="es-ES"/>
          </w:rPr>
          <w:t>https://www.itu.int/en/council/Docu</w:t>
        </w:r>
        <w:r>
          <w:rPr>
            <w:rStyle w:val="Hyperlink"/>
            <w:sz w:val="20"/>
            <w:lang w:val="es-ES"/>
          </w:rPr>
          <w:t>m</w:t>
        </w:r>
        <w:r>
          <w:rPr>
            <w:rStyle w:val="Hyperlink"/>
            <w:sz w:val="20"/>
            <w:lang w:val="es-ES"/>
          </w:rPr>
          <w:t>ents/basic-texts-2023/RES-136-S.pdf</w:t>
        </w:r>
      </w:hyperlink>
    </w:p>
  </w:footnote>
  <w:footnote w:id="4">
    <w:p w14:paraId="1ED23C89" w14:textId="2B7635F8" w:rsidR="00D346E8" w:rsidRPr="00D346E8" w:rsidRDefault="00D346E8">
      <w:pPr>
        <w:pStyle w:val="FootnoteText"/>
        <w:rPr>
          <w:lang w:val="es-ES"/>
        </w:rPr>
      </w:pPr>
      <w:r>
        <w:rPr>
          <w:rStyle w:val="FootnoteReference"/>
        </w:rPr>
        <w:t>4</w:t>
      </w:r>
      <w:r>
        <w:tab/>
      </w:r>
      <w:r w:rsidRPr="00AD1CAC">
        <w:rPr>
          <w:sz w:val="20"/>
          <w:shd w:val="clear" w:color="auto" w:fill="FFFFFF"/>
          <w:lang w:val="es-ES"/>
        </w:rPr>
        <w:t>Resolución 34</w:t>
      </w:r>
      <w:r w:rsidRPr="00AD1CAC">
        <w:rPr>
          <w:color w:val="444444"/>
          <w:sz w:val="20"/>
          <w:lang w:val="es-ES"/>
        </w:rPr>
        <w:t xml:space="preserve"> (</w:t>
      </w:r>
      <w:r w:rsidRPr="00AD1CAC">
        <w:rPr>
          <w:sz w:val="20"/>
          <w:bdr w:val="none" w:sz="0" w:space="0" w:color="auto" w:frame="1"/>
          <w:lang w:val="es-ES"/>
        </w:rPr>
        <w:t>Rev. Kigali, 2022</w:t>
      </w:r>
      <w:r w:rsidRPr="00AD1CAC">
        <w:rPr>
          <w:color w:val="444444"/>
          <w:sz w:val="20"/>
          <w:lang w:val="es-ES"/>
        </w:rPr>
        <w:t>) de la CMDT</w:t>
      </w:r>
      <w:r w:rsidRPr="00AD1CAC">
        <w:rPr>
          <w:rFonts w:hint="eastAsia"/>
          <w:sz w:val="20"/>
          <w:shd w:val="clear" w:color="auto" w:fill="FFFFFF"/>
          <w:lang w:val="es-ES"/>
        </w:rPr>
        <w:t>:</w:t>
      </w:r>
      <w:r w:rsidRPr="00AD1CAC">
        <w:rPr>
          <w:sz w:val="20"/>
          <w:shd w:val="clear" w:color="auto" w:fill="FFFFFF"/>
          <w:lang w:val="es-ES"/>
        </w:rPr>
        <w:t xml:space="preserve"> Función de las telecomunicaciones/tecnologías de la info</w:t>
      </w:r>
      <w:r>
        <w:rPr>
          <w:sz w:val="20"/>
          <w:shd w:val="clear" w:color="auto" w:fill="FFFFFF"/>
          <w:lang w:val="es-ES"/>
        </w:rPr>
        <w:t>rmación y la comunicación en la preparación, alerta temprana, rescate, mitigación, socorro y respuesta en situaciones de catástrofe</w:t>
      </w:r>
      <w:r w:rsidRPr="00AD1CAC">
        <w:rPr>
          <w:rFonts w:hint="eastAsia"/>
          <w:sz w:val="20"/>
          <w:shd w:val="clear" w:color="auto" w:fill="FFFFFF"/>
          <w:lang w:val="es-ES"/>
        </w:rPr>
        <w:t xml:space="preserve">, </w:t>
      </w:r>
      <w:r>
        <w:rPr>
          <w:sz w:val="20"/>
          <w:shd w:val="clear" w:color="auto" w:fill="FFFFFF"/>
          <w:lang w:val="es-ES"/>
        </w:rPr>
        <w:t>disponible en</w:t>
      </w:r>
      <w:r w:rsidRPr="00AD1CAC">
        <w:rPr>
          <w:rFonts w:hint="eastAsia"/>
          <w:sz w:val="20"/>
          <w:shd w:val="clear" w:color="auto" w:fill="FFFFFF"/>
          <w:lang w:val="es-ES"/>
        </w:rPr>
        <w:t xml:space="preserve"> </w:t>
      </w:r>
      <w:hyperlink r:id="rId2" w:history="1">
        <w:r w:rsidR="00D96FAA" w:rsidRPr="00CA54FA">
          <w:rPr>
            <w:rStyle w:val="Hyperlink"/>
            <w:sz w:val="20"/>
            <w:shd w:val="clear" w:color="auto" w:fill="FFFFFF"/>
            <w:lang w:val="es-ES"/>
          </w:rPr>
          <w:t>https://www.itu.int/dm</w:t>
        </w:r>
        <w:r w:rsidR="00D96FAA" w:rsidRPr="00CA54FA">
          <w:rPr>
            <w:rStyle w:val="Hyperlink"/>
            <w:sz w:val="20"/>
            <w:shd w:val="clear" w:color="auto" w:fill="FFFFFF"/>
            <w:lang w:val="es-ES"/>
          </w:rPr>
          <w:t>s</w:t>
        </w:r>
        <w:r w:rsidR="00D96FAA" w:rsidRPr="00CA54FA">
          <w:rPr>
            <w:rStyle w:val="Hyperlink"/>
            <w:sz w:val="20"/>
            <w:shd w:val="clear" w:color="auto" w:fill="FFFFFF"/>
            <w:lang w:val="es-ES"/>
          </w:rPr>
          <w:t>_pub/itu-d/opb/tdc/D-TDC-WTDC-2022</w:t>
        </w:r>
        <w:r w:rsidR="00D96FAA" w:rsidRPr="00CA54FA">
          <w:rPr>
            <w:rStyle w:val="Hyperlink"/>
            <w:sz w:val="20"/>
            <w:shd w:val="clear" w:color="auto" w:fill="FFFFFF"/>
            <w:lang w:val="es-ES"/>
          </w:rPr>
          <w:noBreakHyphen/>
        </w:r>
        <w:r w:rsidR="00D96FAA" w:rsidRPr="00CA54FA">
          <w:rPr>
            <w:rStyle w:val="Hyperlink"/>
            <w:sz w:val="20"/>
            <w:shd w:val="clear" w:color="auto" w:fill="FFFFFF"/>
            <w:lang w:val="es-ES"/>
          </w:rPr>
          <w:t>PDF-S.pdf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6"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6"/>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3E74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904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0C1C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88DC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B67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469C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A4AB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764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06D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9C89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109EF"/>
    <w:multiLevelType w:val="hybridMultilevel"/>
    <w:tmpl w:val="86669A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C0C49BB"/>
    <w:multiLevelType w:val="multilevel"/>
    <w:tmpl w:val="ED8242E2"/>
    <w:lvl w:ilvl="0">
      <w:start w:val="1"/>
      <w:numFmt w:val="decimal"/>
      <w:lvlText w:val="%1."/>
      <w:lvlJc w:val="left"/>
      <w:pPr>
        <w:ind w:left="757" w:hanging="360"/>
      </w:pPr>
      <w:rPr>
        <w:rFonts w:hint="default"/>
      </w:rPr>
    </w:lvl>
    <w:lvl w:ilvl="1">
      <w:start w:val="2"/>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12" w15:restartNumberingAfterBreak="0">
    <w:nsid w:val="0EC661AC"/>
    <w:multiLevelType w:val="hybridMultilevel"/>
    <w:tmpl w:val="C21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4627D"/>
    <w:multiLevelType w:val="hybridMultilevel"/>
    <w:tmpl w:val="18B8BC6A"/>
    <w:lvl w:ilvl="0" w:tplc="4470D69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F5A12A1"/>
    <w:multiLevelType w:val="hybridMultilevel"/>
    <w:tmpl w:val="16E47880"/>
    <w:lvl w:ilvl="0" w:tplc="A45A9D2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15434F"/>
    <w:multiLevelType w:val="hybridMultilevel"/>
    <w:tmpl w:val="FB3CF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D55EF3"/>
    <w:multiLevelType w:val="hybridMultilevel"/>
    <w:tmpl w:val="C624E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CF1056"/>
    <w:multiLevelType w:val="hybridMultilevel"/>
    <w:tmpl w:val="987E83A4"/>
    <w:lvl w:ilvl="0" w:tplc="A1468DB8">
      <w:start w:val="1"/>
      <w:numFmt w:val="decimal"/>
      <w:lvlText w:val="%1."/>
      <w:lvlJc w:val="left"/>
      <w:pPr>
        <w:ind w:left="720" w:hanging="360"/>
      </w:pPr>
      <w:rPr>
        <w:rFonts w:hint="default"/>
        <w:sz w:val="24"/>
        <w:szCs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E0EC5"/>
    <w:multiLevelType w:val="hybridMultilevel"/>
    <w:tmpl w:val="93C8D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5D4955"/>
    <w:multiLevelType w:val="hybridMultilevel"/>
    <w:tmpl w:val="6820F3A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40707D"/>
    <w:multiLevelType w:val="hybridMultilevel"/>
    <w:tmpl w:val="6DCEF7B6"/>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2EAE07F4"/>
    <w:multiLevelType w:val="hybridMultilevel"/>
    <w:tmpl w:val="15EC7458"/>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2" w15:restartNumberingAfterBreak="0">
    <w:nsid w:val="30B25223"/>
    <w:multiLevelType w:val="hybridMultilevel"/>
    <w:tmpl w:val="3B4AD15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5547F7"/>
    <w:multiLevelType w:val="hybridMultilevel"/>
    <w:tmpl w:val="ED56B542"/>
    <w:lvl w:ilvl="0" w:tplc="972C2006">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64052A"/>
    <w:multiLevelType w:val="hybridMultilevel"/>
    <w:tmpl w:val="FFFFFFFF"/>
    <w:lvl w:ilvl="0" w:tplc="D79AD75A">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5" w15:restartNumberingAfterBreak="0">
    <w:nsid w:val="3B211787"/>
    <w:multiLevelType w:val="hybridMultilevel"/>
    <w:tmpl w:val="88CEC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5373E"/>
    <w:multiLevelType w:val="hybridMultilevel"/>
    <w:tmpl w:val="FF6A2248"/>
    <w:lvl w:ilvl="0" w:tplc="2A488C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30492"/>
    <w:multiLevelType w:val="hybridMultilevel"/>
    <w:tmpl w:val="1E3C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FA37C1"/>
    <w:multiLevelType w:val="multilevel"/>
    <w:tmpl w:val="6D608B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5E57D6"/>
    <w:multiLevelType w:val="hybridMultilevel"/>
    <w:tmpl w:val="1BD8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894D35"/>
    <w:multiLevelType w:val="multilevel"/>
    <w:tmpl w:val="DC82F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9D24DF8"/>
    <w:multiLevelType w:val="hybridMultilevel"/>
    <w:tmpl w:val="AEB00898"/>
    <w:lvl w:ilvl="0" w:tplc="307C8680">
      <w:start w:val="1"/>
      <w:numFmt w:val="decimal"/>
      <w:lvlText w:val="%1"/>
      <w:lvlJc w:val="left"/>
      <w:pPr>
        <w:ind w:left="113" w:hanging="567"/>
      </w:pPr>
      <w:rPr>
        <w:rFonts w:ascii="Calibri Light" w:eastAsia="Calibri Light" w:hAnsi="Calibri Light" w:cs="Calibri Light" w:hint="default"/>
        <w:b w:val="0"/>
        <w:bCs w:val="0"/>
        <w:i w:val="0"/>
        <w:iCs w:val="0"/>
        <w:color w:val="414042"/>
        <w:w w:val="100"/>
        <w:sz w:val="18"/>
        <w:szCs w:val="18"/>
        <w:lang w:val="en-US" w:eastAsia="en-US" w:bidi="ar-SA"/>
      </w:rPr>
    </w:lvl>
    <w:lvl w:ilvl="1" w:tplc="5EB0EFEC">
      <w:numFmt w:val="bullet"/>
      <w:lvlText w:val="•"/>
      <w:lvlJc w:val="left"/>
      <w:pPr>
        <w:ind w:left="811" w:hanging="567"/>
      </w:pPr>
      <w:rPr>
        <w:rFonts w:hint="default"/>
        <w:lang w:val="en-US" w:eastAsia="en-US" w:bidi="ar-SA"/>
      </w:rPr>
    </w:lvl>
    <w:lvl w:ilvl="2" w:tplc="E1C019BC">
      <w:numFmt w:val="bullet"/>
      <w:lvlText w:val="•"/>
      <w:lvlJc w:val="left"/>
      <w:pPr>
        <w:ind w:left="1502" w:hanging="567"/>
      </w:pPr>
      <w:rPr>
        <w:rFonts w:hint="default"/>
        <w:lang w:val="en-US" w:eastAsia="en-US" w:bidi="ar-SA"/>
      </w:rPr>
    </w:lvl>
    <w:lvl w:ilvl="3" w:tplc="AEF2ED0C">
      <w:numFmt w:val="bullet"/>
      <w:lvlText w:val="•"/>
      <w:lvlJc w:val="left"/>
      <w:pPr>
        <w:ind w:left="2193" w:hanging="567"/>
      </w:pPr>
      <w:rPr>
        <w:rFonts w:hint="default"/>
        <w:lang w:val="en-US" w:eastAsia="en-US" w:bidi="ar-SA"/>
      </w:rPr>
    </w:lvl>
    <w:lvl w:ilvl="4" w:tplc="87DEEB4C">
      <w:numFmt w:val="bullet"/>
      <w:lvlText w:val="•"/>
      <w:lvlJc w:val="left"/>
      <w:pPr>
        <w:ind w:left="2884" w:hanging="567"/>
      </w:pPr>
      <w:rPr>
        <w:rFonts w:hint="default"/>
        <w:lang w:val="en-US" w:eastAsia="en-US" w:bidi="ar-SA"/>
      </w:rPr>
    </w:lvl>
    <w:lvl w:ilvl="5" w:tplc="524C7F5C">
      <w:numFmt w:val="bullet"/>
      <w:lvlText w:val="•"/>
      <w:lvlJc w:val="left"/>
      <w:pPr>
        <w:ind w:left="3575" w:hanging="567"/>
      </w:pPr>
      <w:rPr>
        <w:rFonts w:hint="default"/>
        <w:lang w:val="en-US" w:eastAsia="en-US" w:bidi="ar-SA"/>
      </w:rPr>
    </w:lvl>
    <w:lvl w:ilvl="6" w:tplc="65D88304">
      <w:numFmt w:val="bullet"/>
      <w:lvlText w:val="•"/>
      <w:lvlJc w:val="left"/>
      <w:pPr>
        <w:ind w:left="4266" w:hanging="567"/>
      </w:pPr>
      <w:rPr>
        <w:rFonts w:hint="default"/>
        <w:lang w:val="en-US" w:eastAsia="en-US" w:bidi="ar-SA"/>
      </w:rPr>
    </w:lvl>
    <w:lvl w:ilvl="7" w:tplc="AFBC2FF8">
      <w:numFmt w:val="bullet"/>
      <w:lvlText w:val="•"/>
      <w:lvlJc w:val="left"/>
      <w:pPr>
        <w:ind w:left="4957" w:hanging="567"/>
      </w:pPr>
      <w:rPr>
        <w:rFonts w:hint="default"/>
        <w:lang w:val="en-US" w:eastAsia="en-US" w:bidi="ar-SA"/>
      </w:rPr>
    </w:lvl>
    <w:lvl w:ilvl="8" w:tplc="88129254">
      <w:numFmt w:val="bullet"/>
      <w:lvlText w:val="•"/>
      <w:lvlJc w:val="left"/>
      <w:pPr>
        <w:ind w:left="5648" w:hanging="567"/>
      </w:pPr>
      <w:rPr>
        <w:rFonts w:hint="default"/>
        <w:lang w:val="en-US" w:eastAsia="en-US" w:bidi="ar-SA"/>
      </w:rPr>
    </w:lvl>
  </w:abstractNum>
  <w:abstractNum w:abstractNumId="32" w15:restartNumberingAfterBreak="0">
    <w:nsid w:val="4D3A5FC8"/>
    <w:multiLevelType w:val="hybridMultilevel"/>
    <w:tmpl w:val="95E2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157041"/>
    <w:multiLevelType w:val="multilevel"/>
    <w:tmpl w:val="B97A2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DB7FC9"/>
    <w:multiLevelType w:val="hybridMultilevel"/>
    <w:tmpl w:val="45DC9C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64B70DC2"/>
    <w:multiLevelType w:val="hybridMultilevel"/>
    <w:tmpl w:val="15CC9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E51CA5"/>
    <w:multiLevelType w:val="hybridMultilevel"/>
    <w:tmpl w:val="53F43E88"/>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7" w15:restartNumberingAfterBreak="0">
    <w:nsid w:val="6B93360C"/>
    <w:multiLevelType w:val="hybridMultilevel"/>
    <w:tmpl w:val="6D72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6007D"/>
    <w:multiLevelType w:val="multilevel"/>
    <w:tmpl w:val="DC82F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ED0C9B"/>
    <w:multiLevelType w:val="hybridMultilevel"/>
    <w:tmpl w:val="B3BE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07011"/>
    <w:multiLevelType w:val="multilevel"/>
    <w:tmpl w:val="F4EED7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8F7977"/>
    <w:multiLevelType w:val="hybridMultilevel"/>
    <w:tmpl w:val="546C29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8F38AE"/>
    <w:multiLevelType w:val="hybridMultilevel"/>
    <w:tmpl w:val="2262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745377">
    <w:abstractNumId w:val="9"/>
  </w:num>
  <w:num w:numId="2" w16cid:durableId="696351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2847429">
    <w:abstractNumId w:val="33"/>
  </w:num>
  <w:num w:numId="4" w16cid:durableId="1162694878">
    <w:abstractNumId w:val="38"/>
  </w:num>
  <w:num w:numId="5" w16cid:durableId="239868977">
    <w:abstractNumId w:val="10"/>
  </w:num>
  <w:num w:numId="6" w16cid:durableId="1275475120">
    <w:abstractNumId w:val="30"/>
  </w:num>
  <w:num w:numId="7" w16cid:durableId="1929925294">
    <w:abstractNumId w:val="40"/>
  </w:num>
  <w:num w:numId="8" w16cid:durableId="435757777">
    <w:abstractNumId w:val="25"/>
  </w:num>
  <w:num w:numId="9" w16cid:durableId="1499492206">
    <w:abstractNumId w:val="24"/>
  </w:num>
  <w:num w:numId="10" w16cid:durableId="527182320">
    <w:abstractNumId w:val="21"/>
  </w:num>
  <w:num w:numId="11" w16cid:durableId="522323315">
    <w:abstractNumId w:val="20"/>
  </w:num>
  <w:num w:numId="12" w16cid:durableId="1131946205">
    <w:abstractNumId w:val="26"/>
  </w:num>
  <w:num w:numId="13" w16cid:durableId="1685784664">
    <w:abstractNumId w:val="17"/>
  </w:num>
  <w:num w:numId="14" w16cid:durableId="1052999032">
    <w:abstractNumId w:val="28"/>
  </w:num>
  <w:num w:numId="15" w16cid:durableId="827553137">
    <w:abstractNumId w:val="35"/>
  </w:num>
  <w:num w:numId="16" w16cid:durableId="1128285001">
    <w:abstractNumId w:val="23"/>
  </w:num>
  <w:num w:numId="17" w16cid:durableId="2086761588">
    <w:abstractNumId w:val="19"/>
  </w:num>
  <w:num w:numId="18" w16cid:durableId="1534998235">
    <w:abstractNumId w:val="32"/>
  </w:num>
  <w:num w:numId="19" w16cid:durableId="465665422">
    <w:abstractNumId w:val="37"/>
  </w:num>
  <w:num w:numId="20" w16cid:durableId="294070954">
    <w:abstractNumId w:val="12"/>
  </w:num>
  <w:num w:numId="21" w16cid:durableId="1745879693">
    <w:abstractNumId w:val="41"/>
  </w:num>
  <w:num w:numId="22" w16cid:durableId="429618401">
    <w:abstractNumId w:val="27"/>
  </w:num>
  <w:num w:numId="23" w16cid:durableId="1059744145">
    <w:abstractNumId w:val="39"/>
  </w:num>
  <w:num w:numId="24" w16cid:durableId="986588964">
    <w:abstractNumId w:val="18"/>
  </w:num>
  <w:num w:numId="25" w16cid:durableId="1389264809">
    <w:abstractNumId w:val="31"/>
  </w:num>
  <w:num w:numId="26" w16cid:durableId="1331373746">
    <w:abstractNumId w:val="36"/>
  </w:num>
  <w:num w:numId="27" w16cid:durableId="1186209148">
    <w:abstractNumId w:val="14"/>
  </w:num>
  <w:num w:numId="28" w16cid:durableId="1481655690">
    <w:abstractNumId w:val="11"/>
  </w:num>
  <w:num w:numId="29" w16cid:durableId="1934893208">
    <w:abstractNumId w:val="13"/>
  </w:num>
  <w:num w:numId="30" w16cid:durableId="813568908">
    <w:abstractNumId w:val="42"/>
  </w:num>
  <w:num w:numId="31" w16cid:durableId="217210970">
    <w:abstractNumId w:val="16"/>
  </w:num>
  <w:num w:numId="32" w16cid:durableId="968360031">
    <w:abstractNumId w:val="15"/>
  </w:num>
  <w:num w:numId="33" w16cid:durableId="1920598962">
    <w:abstractNumId w:val="29"/>
  </w:num>
  <w:num w:numId="34" w16cid:durableId="1266578812">
    <w:abstractNumId w:val="7"/>
  </w:num>
  <w:num w:numId="35" w16cid:durableId="540477609">
    <w:abstractNumId w:val="6"/>
  </w:num>
  <w:num w:numId="36" w16cid:durableId="1290623018">
    <w:abstractNumId w:val="5"/>
  </w:num>
  <w:num w:numId="37" w16cid:durableId="438111275">
    <w:abstractNumId w:val="4"/>
  </w:num>
  <w:num w:numId="38" w16cid:durableId="862285420">
    <w:abstractNumId w:val="8"/>
  </w:num>
  <w:num w:numId="39" w16cid:durableId="302464913">
    <w:abstractNumId w:val="3"/>
  </w:num>
  <w:num w:numId="40" w16cid:durableId="645354705">
    <w:abstractNumId w:val="2"/>
  </w:num>
  <w:num w:numId="41" w16cid:durableId="1548107562">
    <w:abstractNumId w:val="1"/>
  </w:num>
  <w:num w:numId="42" w16cid:durableId="971902901">
    <w:abstractNumId w:val="0"/>
  </w:num>
  <w:num w:numId="43" w16cid:durableId="1607158893">
    <w:abstractNumId w:val="22"/>
  </w:num>
  <w:num w:numId="44" w16cid:durableId="213840568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C6B57"/>
    <w:rsid w:val="001F14A2"/>
    <w:rsid w:val="00213DB5"/>
    <w:rsid w:val="002801AA"/>
    <w:rsid w:val="002C4676"/>
    <w:rsid w:val="002C70B0"/>
    <w:rsid w:val="002F3CC4"/>
    <w:rsid w:val="00313A2A"/>
    <w:rsid w:val="003207D3"/>
    <w:rsid w:val="003273A4"/>
    <w:rsid w:val="00473962"/>
    <w:rsid w:val="004B5D49"/>
    <w:rsid w:val="00513630"/>
    <w:rsid w:val="00540F3E"/>
    <w:rsid w:val="00560125"/>
    <w:rsid w:val="00585553"/>
    <w:rsid w:val="0059147E"/>
    <w:rsid w:val="005B34D9"/>
    <w:rsid w:val="005C071D"/>
    <w:rsid w:val="005D0CCF"/>
    <w:rsid w:val="005D1FAC"/>
    <w:rsid w:val="005F3BCB"/>
    <w:rsid w:val="005F410F"/>
    <w:rsid w:val="0060149A"/>
    <w:rsid w:val="00601924"/>
    <w:rsid w:val="006447EA"/>
    <w:rsid w:val="0064481D"/>
    <w:rsid w:val="0064731F"/>
    <w:rsid w:val="006638D1"/>
    <w:rsid w:val="00664572"/>
    <w:rsid w:val="006710F6"/>
    <w:rsid w:val="006719C2"/>
    <w:rsid w:val="00671E25"/>
    <w:rsid w:val="00677A97"/>
    <w:rsid w:val="006C1B56"/>
    <w:rsid w:val="006D4761"/>
    <w:rsid w:val="00726872"/>
    <w:rsid w:val="00760F1C"/>
    <w:rsid w:val="007657F0"/>
    <w:rsid w:val="0077252D"/>
    <w:rsid w:val="007955DA"/>
    <w:rsid w:val="0079565A"/>
    <w:rsid w:val="007A7FF4"/>
    <w:rsid w:val="007E5DD3"/>
    <w:rsid w:val="007F350B"/>
    <w:rsid w:val="008008B0"/>
    <w:rsid w:val="00820BE4"/>
    <w:rsid w:val="008451E8"/>
    <w:rsid w:val="00913B9C"/>
    <w:rsid w:val="00926EF0"/>
    <w:rsid w:val="00927F93"/>
    <w:rsid w:val="00932516"/>
    <w:rsid w:val="00956E77"/>
    <w:rsid w:val="009C5986"/>
    <w:rsid w:val="009F4811"/>
    <w:rsid w:val="00AA390C"/>
    <w:rsid w:val="00B0200A"/>
    <w:rsid w:val="00B36273"/>
    <w:rsid w:val="00B574DB"/>
    <w:rsid w:val="00B826C2"/>
    <w:rsid w:val="00B8298E"/>
    <w:rsid w:val="00BB2A16"/>
    <w:rsid w:val="00BC7865"/>
    <w:rsid w:val="00BD0723"/>
    <w:rsid w:val="00BD2518"/>
    <w:rsid w:val="00BF1D1C"/>
    <w:rsid w:val="00C063AD"/>
    <w:rsid w:val="00C20C59"/>
    <w:rsid w:val="00C2727F"/>
    <w:rsid w:val="00C4618A"/>
    <w:rsid w:val="00C538FC"/>
    <w:rsid w:val="00C55B1F"/>
    <w:rsid w:val="00CB421D"/>
    <w:rsid w:val="00CF1A67"/>
    <w:rsid w:val="00D2750E"/>
    <w:rsid w:val="00D346E8"/>
    <w:rsid w:val="00D43B85"/>
    <w:rsid w:val="00D50A36"/>
    <w:rsid w:val="00D62446"/>
    <w:rsid w:val="00D767D9"/>
    <w:rsid w:val="00D9171F"/>
    <w:rsid w:val="00D96FAA"/>
    <w:rsid w:val="00DA306D"/>
    <w:rsid w:val="00DA4EA2"/>
    <w:rsid w:val="00DC3D3E"/>
    <w:rsid w:val="00DE2C90"/>
    <w:rsid w:val="00DE3B24"/>
    <w:rsid w:val="00E06947"/>
    <w:rsid w:val="00E256B9"/>
    <w:rsid w:val="00E34072"/>
    <w:rsid w:val="00E3592D"/>
    <w:rsid w:val="00E50D76"/>
    <w:rsid w:val="00E51B05"/>
    <w:rsid w:val="00E629C4"/>
    <w:rsid w:val="00E92DE8"/>
    <w:rsid w:val="00EB1212"/>
    <w:rsid w:val="00ED65AB"/>
    <w:rsid w:val="00F12850"/>
    <w:rsid w:val="00F24B71"/>
    <w:rsid w:val="00F33BF4"/>
    <w:rsid w:val="00F401B1"/>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0B0D00"/>
    <w:pPr>
      <w:spacing w:before="320"/>
      <w:outlineLvl w:val="1"/>
    </w:pPr>
    <w:rPr>
      <w:sz w:val="24"/>
    </w:rPr>
  </w:style>
  <w:style w:type="paragraph" w:styleId="Heading3">
    <w:name w:val="heading 3"/>
    <w:basedOn w:val="Heading1"/>
    <w:next w:val="Normal"/>
    <w:link w:val="Heading3Char"/>
    <w:uiPriority w:val="9"/>
    <w:qFormat/>
    <w:rsid w:val="000B0D00"/>
    <w:pPr>
      <w:spacing w:before="200"/>
      <w:outlineLvl w:val="2"/>
    </w:pPr>
    <w:rPr>
      <w:sz w:val="24"/>
    </w:rPr>
  </w:style>
  <w:style w:type="paragraph" w:styleId="Heading4">
    <w:name w:val="heading 4"/>
    <w:basedOn w:val="Heading3"/>
    <w:next w:val="Normal"/>
    <w:link w:val="Heading4Char"/>
    <w:uiPriority w:val="9"/>
    <w:qFormat/>
    <w:rsid w:val="000B0D00"/>
    <w:pPr>
      <w:ind w:left="1134" w:hanging="1134"/>
      <w:outlineLvl w:val="3"/>
    </w:pPr>
  </w:style>
  <w:style w:type="paragraph" w:styleId="Heading5">
    <w:name w:val="heading 5"/>
    <w:basedOn w:val="Heading4"/>
    <w:next w:val="Normal"/>
    <w:link w:val="Heading5Char"/>
    <w:uiPriority w:val="9"/>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uiPriority w:val="99"/>
    <w:rsid w:val="000B0D00"/>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
    <w:name w:val="Object"/>
    <w:basedOn w:val="Subject"/>
    <w:next w:val="Subject"/>
    <w:rsid w:val="0059147E"/>
    <w:pPr>
      <w:tabs>
        <w:tab w:val="clear" w:pos="709"/>
      </w:tabs>
      <w:ind w:left="1134" w:hanging="1134"/>
    </w:pPr>
    <w:rPr>
      <w:lang w:val="en-GB"/>
    </w:rPr>
  </w:style>
  <w:style w:type="character" w:styleId="UnresolvedMention">
    <w:name w:val="Unresolved Mention"/>
    <w:basedOn w:val="DefaultParagraphFont"/>
    <w:uiPriority w:val="99"/>
    <w:semiHidden/>
    <w:unhideWhenUsed/>
    <w:rsid w:val="0059147E"/>
    <w:rPr>
      <w:color w:val="605E5C"/>
      <w:shd w:val="clear" w:color="auto" w:fill="E1DFDD"/>
    </w:rPr>
  </w:style>
  <w:style w:type="character" w:customStyle="1" w:styleId="Heading1Char">
    <w:name w:val="Heading 1 Char"/>
    <w:basedOn w:val="DefaultParagraphFont"/>
    <w:link w:val="Heading1"/>
    <w:uiPriority w:val="9"/>
    <w:rsid w:val="0059147E"/>
    <w:rPr>
      <w:rFonts w:ascii="Calibri" w:hAnsi="Calibri"/>
      <w:b/>
      <w:sz w:val="28"/>
      <w:lang w:val="es-ES_tradnl" w:eastAsia="en-US"/>
    </w:rPr>
  </w:style>
  <w:style w:type="paragraph" w:styleId="Title">
    <w:name w:val="Title"/>
    <w:basedOn w:val="Normal"/>
    <w:next w:val="Normal"/>
    <w:link w:val="TitleChar"/>
    <w:uiPriority w:val="10"/>
    <w:qFormat/>
    <w:rsid w:val="0059147E"/>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9147E"/>
    <w:rPr>
      <w:rFonts w:asciiTheme="majorHAnsi" w:eastAsiaTheme="majorEastAsia" w:hAnsiTheme="majorHAnsi" w:cstheme="majorBidi"/>
      <w:spacing w:val="-10"/>
      <w:kern w:val="28"/>
      <w:sz w:val="56"/>
      <w:szCs w:val="56"/>
      <w:lang w:eastAsia="en-US"/>
      <w14:ligatures w14:val="standardContextual"/>
    </w:rPr>
  </w:style>
  <w:style w:type="character" w:customStyle="1" w:styleId="Heading2Char">
    <w:name w:val="Heading 2 Char"/>
    <w:basedOn w:val="DefaultParagraphFont"/>
    <w:link w:val="Heading2"/>
    <w:uiPriority w:val="9"/>
    <w:rsid w:val="0059147E"/>
    <w:rPr>
      <w:rFonts w:ascii="Calibri" w:hAnsi="Calibri"/>
      <w:b/>
      <w:sz w:val="24"/>
      <w:lang w:val="es-ES_tradnl" w:eastAsia="en-US"/>
    </w:rPr>
  </w:style>
  <w:style w:type="character" w:customStyle="1" w:styleId="Heading3Char">
    <w:name w:val="Heading 3 Char"/>
    <w:basedOn w:val="DefaultParagraphFont"/>
    <w:link w:val="Heading3"/>
    <w:uiPriority w:val="9"/>
    <w:rsid w:val="0059147E"/>
    <w:rPr>
      <w:rFonts w:ascii="Calibri" w:hAnsi="Calibri"/>
      <w:b/>
      <w:sz w:val="24"/>
      <w:lang w:val="es-ES_tradnl" w:eastAsia="en-US"/>
    </w:rPr>
  </w:style>
  <w:style w:type="paragraph" w:styleId="ListParagraph">
    <w:name w:val="List Paragraph"/>
    <w:basedOn w:val="Normal"/>
    <w:uiPriority w:val="34"/>
    <w:qFormat/>
    <w:rsid w:val="0059147E"/>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eastAsiaTheme="minorEastAsia" w:cs="Calibri"/>
      <w:sz w:val="22"/>
      <w:szCs w:val="22"/>
      <w:lang w:val="en-US"/>
      <w14:ligatures w14:val="standardContextual"/>
    </w:rPr>
  </w:style>
  <w:style w:type="paragraph" w:customStyle="1" w:styleId="msonormal0">
    <w:name w:val="msonormal"/>
    <w:basedOn w:val="Normal"/>
    <w:rsid w:val="0059147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GB" w:eastAsia="en-GB"/>
    </w:rPr>
  </w:style>
  <w:style w:type="table" w:styleId="GridTable3-Accent1">
    <w:name w:val="Grid Table 3 Accent 1"/>
    <w:basedOn w:val="TableNormal"/>
    <w:uiPriority w:val="48"/>
    <w:rsid w:val="0059147E"/>
    <w:rPr>
      <w:rFonts w:asciiTheme="minorHAnsi" w:eastAsia="SimSun"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5Dark-Accent5">
    <w:name w:val="Grid Table 5 Dark Accent 5"/>
    <w:basedOn w:val="TableNormal"/>
    <w:uiPriority w:val="50"/>
    <w:rsid w:val="0059147E"/>
    <w:rPr>
      <w:rFonts w:asciiTheme="minorHAnsi" w:eastAsia="SimSun"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59147E"/>
    <w:rPr>
      <w:rFonts w:ascii="Calibri" w:hAnsi="Calibri"/>
      <w:sz w:val="24"/>
      <w:lang w:val="es-ES_tradnl" w:eastAsia="en-US"/>
    </w:rPr>
  </w:style>
  <w:style w:type="character" w:customStyle="1" w:styleId="FooterChar">
    <w:name w:val="Footer Char"/>
    <w:basedOn w:val="DefaultParagraphFont"/>
    <w:link w:val="Footer"/>
    <w:uiPriority w:val="99"/>
    <w:rsid w:val="0059147E"/>
    <w:rPr>
      <w:rFonts w:ascii="Calibri" w:hAnsi="Calibri"/>
      <w:caps/>
      <w:noProof/>
      <w:sz w:val="16"/>
      <w:lang w:val="es-ES_tradnl" w:eastAsia="en-US"/>
    </w:rPr>
  </w:style>
  <w:style w:type="character" w:customStyle="1" w:styleId="ui-provider">
    <w:name w:val="ui-provider"/>
    <w:basedOn w:val="DefaultParagraphFont"/>
    <w:rsid w:val="0059147E"/>
  </w:style>
  <w:style w:type="paragraph" w:customStyle="1" w:styleId="xl65">
    <w:name w:val="xl65"/>
    <w:basedOn w:val="Normal"/>
    <w:rsid w:val="0059147E"/>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xl66">
    <w:name w:val="xl66"/>
    <w:basedOn w:val="Normal"/>
    <w:rsid w:val="0059147E"/>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xl67">
    <w:name w:val="xl67"/>
    <w:basedOn w:val="Normal"/>
    <w:rsid w:val="0059147E"/>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xl68">
    <w:name w:val="xl68"/>
    <w:basedOn w:val="Normal"/>
    <w:rsid w:val="0059147E"/>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xl69">
    <w:name w:val="xl69"/>
    <w:basedOn w:val="Normal"/>
    <w:rsid w:val="0059147E"/>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xl70">
    <w:name w:val="xl70"/>
    <w:basedOn w:val="Normal"/>
    <w:rsid w:val="0059147E"/>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xl75">
    <w:name w:val="xl75"/>
    <w:basedOn w:val="Normal"/>
    <w:rsid w:val="0059147E"/>
    <w:pPr>
      <w:pBdr>
        <w:top w:val="single" w:sz="4" w:space="0" w:color="000000"/>
        <w:left w:val="single" w:sz="4" w:space="0" w:color="000000"/>
        <w:bottom w:val="single" w:sz="4" w:space="0" w:color="000000"/>
        <w:right w:val="single" w:sz="4" w:space="0" w:color="000000"/>
      </w:pBdr>
      <w:shd w:val="clear" w:color="000000" w:fill="C0C0C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SimSun" w:cs="Calibri"/>
      <w:color w:val="000000"/>
      <w:szCs w:val="24"/>
      <w:lang w:val="en-GB" w:eastAsia="en-GB"/>
    </w:rPr>
  </w:style>
  <w:style w:type="paragraph" w:customStyle="1" w:styleId="xl76">
    <w:name w:val="xl76"/>
    <w:basedOn w:val="Normal"/>
    <w:rsid w:val="0059147E"/>
    <w:pPr>
      <w:pBdr>
        <w:top w:val="single" w:sz="4" w:space="0" w:color="C0C0C0"/>
        <w:left w:val="single" w:sz="4" w:space="0" w:color="C0C0C0"/>
        <w:bottom w:val="single" w:sz="4" w:space="0" w:color="C0C0C0"/>
        <w:right w:val="single" w:sz="4" w:space="0" w:color="C0C0C0"/>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SimSun" w:cs="Calibri"/>
      <w:color w:val="000000"/>
      <w:szCs w:val="24"/>
      <w:lang w:val="en-GB" w:eastAsia="en-GB"/>
    </w:rPr>
  </w:style>
  <w:style w:type="paragraph" w:customStyle="1" w:styleId="xl77">
    <w:name w:val="xl77"/>
    <w:basedOn w:val="Normal"/>
    <w:rsid w:val="0059147E"/>
    <w:pPr>
      <w:pBdr>
        <w:top w:val="single" w:sz="4" w:space="0" w:color="C0C0C0"/>
        <w:left w:val="single" w:sz="4" w:space="0" w:color="C0C0C0"/>
        <w:bottom w:val="single" w:sz="4" w:space="0" w:color="C0C0C0"/>
        <w:right w:val="single" w:sz="4" w:space="0" w:color="C0C0C0"/>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cs="Calibri"/>
      <w:color w:val="000000"/>
      <w:szCs w:val="24"/>
      <w:lang w:val="en-GB" w:eastAsia="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59147E"/>
    <w:rPr>
      <w:rFonts w:ascii="Times New Roman" w:eastAsia="Times New Roman" w:hAnsi="Times New Roman" w:cs="Times New Roman"/>
      <w:sz w:val="24"/>
      <w:szCs w:val="20"/>
      <w:lang w:val="en-GB" w:eastAsia="en-US"/>
    </w:rPr>
  </w:style>
  <w:style w:type="table" w:styleId="GridTable4-Accent1">
    <w:name w:val="Grid Table 4 Accent 1"/>
    <w:basedOn w:val="TableNormal"/>
    <w:uiPriority w:val="49"/>
    <w:rsid w:val="0059147E"/>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59147E"/>
    <w:rPr>
      <w:rFonts w:ascii="Calibri" w:eastAsiaTheme="minorEastAsia" w:hAnsi="Calibri" w:cs="Calibri"/>
      <w:sz w:val="22"/>
      <w:szCs w:val="22"/>
      <w:lang w:eastAsia="en-US"/>
      <w14:ligatures w14:val="standardContextual"/>
    </w:rPr>
  </w:style>
  <w:style w:type="character" w:customStyle="1" w:styleId="Heading4Char">
    <w:name w:val="Heading 4 Char"/>
    <w:basedOn w:val="DefaultParagraphFont"/>
    <w:link w:val="Heading4"/>
    <w:uiPriority w:val="9"/>
    <w:rsid w:val="0059147E"/>
    <w:rPr>
      <w:rFonts w:ascii="Calibri" w:hAnsi="Calibri"/>
      <w:b/>
      <w:sz w:val="24"/>
      <w:lang w:val="es-ES_tradnl" w:eastAsia="en-US"/>
    </w:rPr>
  </w:style>
  <w:style w:type="character" w:customStyle="1" w:styleId="Heading5Char">
    <w:name w:val="Heading 5 Char"/>
    <w:basedOn w:val="DefaultParagraphFont"/>
    <w:link w:val="Heading5"/>
    <w:uiPriority w:val="9"/>
    <w:rsid w:val="0059147E"/>
    <w:rPr>
      <w:rFonts w:ascii="Calibri" w:hAnsi="Calibri"/>
      <w:b/>
      <w:sz w:val="24"/>
      <w:lang w:val="es-ES_tradnl" w:eastAsia="en-US"/>
    </w:rPr>
  </w:style>
  <w:style w:type="paragraph" w:styleId="BodyText">
    <w:name w:val="Body Text"/>
    <w:basedOn w:val="Normal"/>
    <w:link w:val="BodyTextChar"/>
    <w:uiPriority w:val="99"/>
    <w:unhideWhenUsed/>
    <w:rsid w:val="0059147E"/>
    <w:pPr>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w:eastAsiaTheme="minorEastAsia" w:hAnsi="Times New Roman"/>
      <w:szCs w:val="24"/>
      <w:lang w:val="en-US"/>
      <w14:ligatures w14:val="standardContextual"/>
    </w:rPr>
  </w:style>
  <w:style w:type="character" w:customStyle="1" w:styleId="BodyTextChar">
    <w:name w:val="Body Text Char"/>
    <w:basedOn w:val="DefaultParagraphFont"/>
    <w:link w:val="BodyText"/>
    <w:uiPriority w:val="99"/>
    <w:rsid w:val="0059147E"/>
    <w:rPr>
      <w:rFonts w:ascii="Times New Roman" w:eastAsiaTheme="minorEastAsia" w:hAnsi="Times New Roman"/>
      <w:sz w:val="24"/>
      <w:szCs w:val="24"/>
      <w:lang w:eastAsia="en-US"/>
      <w14:ligatures w14:val="standardContextual"/>
    </w:rPr>
  </w:style>
  <w:style w:type="character" w:styleId="CommentReference">
    <w:name w:val="annotation reference"/>
    <w:basedOn w:val="DefaultParagraphFont"/>
    <w:semiHidden/>
    <w:unhideWhenUsed/>
    <w:rsid w:val="0059147E"/>
    <w:rPr>
      <w:sz w:val="16"/>
      <w:szCs w:val="16"/>
    </w:rPr>
  </w:style>
  <w:style w:type="paragraph" w:styleId="CommentText">
    <w:name w:val="annotation text"/>
    <w:basedOn w:val="Normal"/>
    <w:link w:val="CommentTextChar"/>
    <w:unhideWhenUsed/>
    <w:rsid w:val="0059147E"/>
    <w:rPr>
      <w:rFonts w:eastAsia="SimSun"/>
      <w:sz w:val="20"/>
      <w:lang w:val="en-GB"/>
    </w:rPr>
  </w:style>
  <w:style w:type="character" w:customStyle="1" w:styleId="CommentTextChar">
    <w:name w:val="Comment Text Char"/>
    <w:basedOn w:val="DefaultParagraphFont"/>
    <w:link w:val="CommentText"/>
    <w:rsid w:val="0059147E"/>
    <w:rPr>
      <w:rFonts w:ascii="Calibri" w:eastAsia="SimSun" w:hAnsi="Calibri"/>
      <w:lang w:val="en-GB" w:eastAsia="en-US"/>
    </w:rPr>
  </w:style>
  <w:style w:type="paragraph" w:styleId="CommentSubject">
    <w:name w:val="annotation subject"/>
    <w:basedOn w:val="CommentText"/>
    <w:next w:val="CommentText"/>
    <w:link w:val="CommentSubjectChar"/>
    <w:semiHidden/>
    <w:unhideWhenUsed/>
    <w:rsid w:val="0059147E"/>
    <w:rPr>
      <w:b/>
      <w:bCs/>
    </w:rPr>
  </w:style>
  <w:style w:type="character" w:customStyle="1" w:styleId="CommentSubjectChar">
    <w:name w:val="Comment Subject Char"/>
    <w:basedOn w:val="CommentTextChar"/>
    <w:link w:val="CommentSubject"/>
    <w:semiHidden/>
    <w:rsid w:val="0059147E"/>
    <w:rPr>
      <w:rFonts w:ascii="Calibri" w:eastAsia="SimSun" w:hAnsi="Calibri"/>
      <w:b/>
      <w:bCs/>
      <w:lang w:val="en-GB" w:eastAsia="en-US"/>
    </w:rPr>
  </w:style>
  <w:style w:type="character" w:customStyle="1" w:styleId="apple-converted-space">
    <w:name w:val="apple-converted-space"/>
    <w:basedOn w:val="DefaultParagraphFont"/>
    <w:rsid w:val="0059147E"/>
  </w:style>
  <w:style w:type="paragraph" w:customStyle="1" w:styleId="Subtitle1">
    <w:name w:val="Subtitle1"/>
    <w:basedOn w:val="Title1"/>
    <w:qFormat/>
    <w:rsid w:val="0059147E"/>
    <w:pPr>
      <w:framePr w:hSpace="180" w:wrap="around" w:hAnchor="text" w:x="1821" w:y="2317"/>
      <w:spacing w:before="120" w:after="160"/>
      <w:jc w:val="left"/>
    </w:pPr>
    <w:rPr>
      <w:caps w:val="0"/>
      <w:sz w:val="32"/>
      <w:szCs w:val="32"/>
      <w:lang w:val="en-GB"/>
    </w:rPr>
  </w:style>
  <w:style w:type="character" w:styleId="Mention">
    <w:name w:val="Mention"/>
    <w:basedOn w:val="DefaultParagraphFont"/>
    <w:uiPriority w:val="99"/>
    <w:unhideWhenUsed/>
    <w:rsid w:val="0059147E"/>
    <w:rPr>
      <w:color w:val="2B579A"/>
      <w:shd w:val="clear" w:color="auto" w:fill="E1DFDD"/>
    </w:rPr>
  </w:style>
  <w:style w:type="paragraph" w:customStyle="1" w:styleId="Legend">
    <w:name w:val="Legend"/>
    <w:basedOn w:val="Normal"/>
    <w:rsid w:val="00E51B05"/>
    <w:pPr>
      <w:keepNext/>
      <w:tabs>
        <w:tab w:val="left" w:pos="540"/>
      </w:tabs>
      <w:spacing w:before="480"/>
    </w:pPr>
    <w:rPr>
      <w:rFonts w:asciiTheme="minorHAnsi" w:hAnsiTheme="minorHAnsi" w:cstheme="minorHAnsi"/>
      <w:b/>
      <w:bCs/>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S-R.74-2023/es" TargetMode="External"/><Relationship Id="rId18" Type="http://schemas.openxmlformats.org/officeDocument/2006/relationships/hyperlink" Target="https://www.itu.int/en/council/Documents/2024/036e-Table7.pdf" TargetMode="External"/><Relationship Id="rId26" Type="http://schemas.openxmlformats.org/officeDocument/2006/relationships/hyperlink" Target="https://www.itu.int/en/council/Documents/basic-texts-2023/RES-136-E.pdf" TargetMode="External"/><Relationship Id="rId39" Type="http://schemas.openxmlformats.org/officeDocument/2006/relationships/theme" Target="theme/theme1.xml"/><Relationship Id="rId21" Type="http://schemas.openxmlformats.org/officeDocument/2006/relationships/hyperlink" Target="https://www.unoosa.org/oosa/oosadoc/data/resolutions/2021/general_assembly_76th_session/ares763.html" TargetMode="External"/><Relationship Id="rId34" Type="http://schemas.openxmlformats.org/officeDocument/2006/relationships/hyperlink" Target="https://www.unoosa.org/oosa/oosadoc/data/documents/2022/aac.105/aac.1051264_0.html" TargetMode="External"/><Relationship Id="rId7" Type="http://schemas.openxmlformats.org/officeDocument/2006/relationships/endnotes" Target="endnotes.xml"/><Relationship Id="rId12" Type="http://schemas.openxmlformats.org/officeDocument/2006/relationships/hyperlink" Target="https://www.itu.int/itu-d/meetings/gsr-24/programme/schedule/session-details/?sessionid=21" TargetMode="External"/><Relationship Id="rId17" Type="http://schemas.openxmlformats.org/officeDocument/2006/relationships/hyperlink" Target="https://www.itu.int/en/council/Documents/2024/036e-Table6.pdf" TargetMode="External"/><Relationship Id="rId25" Type="http://schemas.openxmlformats.org/officeDocument/2006/relationships/hyperlink" Target="http://earlywarningsforall.org/" TargetMode="External"/><Relationship Id="rId33" Type="http://schemas.openxmlformats.org/officeDocument/2006/relationships/hyperlink" Target="https://www.unoosa.org/oosa/en/ourwork/un-space/reports_publications.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council/Documents/2024/036e-Table1.pdf" TargetMode="External"/><Relationship Id="rId20" Type="http://schemas.openxmlformats.org/officeDocument/2006/relationships/hyperlink" Target="https://www.itu.int/en/council/Documents/2024/036e-Table9.pdf" TargetMode="External"/><Relationship Id="rId29" Type="http://schemas.openxmlformats.org/officeDocument/2006/relationships/hyperlink" Target="https://www.itu.int/en/ITU-D/Emergency-Telecommunications/Pages/Events/2023/COP-28-EW4All.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d/meetings/gsr-24/programme/schedule/session-details/?sessionid=8" TargetMode="External"/><Relationship Id="rId24" Type="http://schemas.openxmlformats.org/officeDocument/2006/relationships/hyperlink" Target="https://www.itu.int/pub/R-RES-R.74/es" TargetMode="External"/><Relationship Id="rId32" Type="http://schemas.openxmlformats.org/officeDocument/2006/relationships/hyperlink" Target="https://www.un.org/sites/un2.un.org/files/our-common-agenda-policy-brief-outer-space-es.pdf"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00-CA-CIR-0272/es" TargetMode="External"/><Relationship Id="rId23" Type="http://schemas.openxmlformats.org/officeDocument/2006/relationships/hyperlink" Target="https://www.itu.int/pub/R-HDB-65-2023/es" TargetMode="External"/><Relationship Id="rId28" Type="http://schemas.openxmlformats.org/officeDocument/2006/relationships/hyperlink" Target="https://www.itu.int/en/ITU-D/Emergency-Telecommunications/Pages/Early-Warnings-for-All-Initiative.aspx" TargetMode="External"/><Relationship Id="rId36" Type="http://schemas.openxmlformats.org/officeDocument/2006/relationships/header" Target="header1.xml"/><Relationship Id="rId10" Type="http://schemas.openxmlformats.org/officeDocument/2006/relationships/hyperlink" Target="https://www.itu.int/net4/wsis/forum/2024/es/Agenda/Session/491" TargetMode="External"/><Relationship Id="rId19" Type="http://schemas.openxmlformats.org/officeDocument/2006/relationships/hyperlink" Target="https://www.itu.int/en/council/Documents/2024/036e-Table8.pdf" TargetMode="External"/><Relationship Id="rId31" Type="http://schemas.openxmlformats.org/officeDocument/2006/relationships/hyperlink" Target="https://www.unoosa.org/res/oosadoc/data/documents/2023/a/a7820_0_html/A_78_020E.pdf" TargetMode="External"/><Relationship Id="rId4" Type="http://schemas.openxmlformats.org/officeDocument/2006/relationships/settings" Target="settings.xml"/><Relationship Id="rId9" Type="http://schemas.openxmlformats.org/officeDocument/2006/relationships/hyperlink" Target="https://www.itu.int/md/S23-CL-C-0058/es" TargetMode="External"/><Relationship Id="rId14" Type="http://schemas.openxmlformats.org/officeDocument/2006/relationships/hyperlink" Target="https://www.itu.int/space-sustainability/" TargetMode="External"/><Relationship Id="rId22" Type="http://schemas.openxmlformats.org/officeDocument/2006/relationships/hyperlink" Target="https://www.itu.int/md/S24-CL-C-0055/es" TargetMode="External"/><Relationship Id="rId27" Type="http://schemas.openxmlformats.org/officeDocument/2006/relationships/hyperlink" Target="https://www.itu.int/dms_pub/itu-d/opb/tdc/D-TDC-WTDC-2022-PDF-E.pdf" TargetMode="External"/><Relationship Id="rId30" Type="http://schemas.openxmlformats.org/officeDocument/2006/relationships/hyperlink" Target="https://www.unoosa.org/oosa/en/ourwork/un-space/po.html" TargetMode="External"/><Relationship Id="rId35" Type="http://schemas.openxmlformats.org/officeDocument/2006/relationships/footer" Target="footer1.xml"/><Relationship Id="rId8" Type="http://schemas.openxmlformats.org/officeDocument/2006/relationships/hyperlink" Target="https://www.itu.int/en/council/Documents/basic-texts-2023/RES-218-E.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dms_pub/itu-d/opb/tdc/D-TDC-WTDC-2022PDF-S.pdf" TargetMode="External"/><Relationship Id="rId1" Type="http://schemas.openxmlformats.org/officeDocument/2006/relationships/hyperlink" Target="https://www.itu.int/en/council/Documents/basic-texts-2023/RES-136-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240DA-1C70-4556-80A8-E3168A94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22</Pages>
  <Words>7989</Words>
  <Characters>45134</Characters>
  <Application>Microsoft Office Word</Application>
  <DocSecurity>0</DocSecurity>
  <Lines>376</Lines>
  <Paragraphs>106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53017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Spanish</cp:lastModifiedBy>
  <cp:revision>14</cp:revision>
  <cp:lastPrinted>2006-03-24T09:51:00Z</cp:lastPrinted>
  <dcterms:created xsi:type="dcterms:W3CDTF">2024-05-13T12:07:00Z</dcterms:created>
  <dcterms:modified xsi:type="dcterms:W3CDTF">2024-05-14T09:08:00Z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