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E639CE" w:rsidRPr="00813E5E" w14:paraId="16C8DD02" w14:textId="77777777" w:rsidTr="00C538FC">
        <w:trPr>
          <w:cantSplit/>
          <w:trHeight w:val="23"/>
        </w:trPr>
        <w:tc>
          <w:tcPr>
            <w:tcW w:w="3969" w:type="dxa"/>
            <w:vMerge w:val="restart"/>
            <w:tcMar>
              <w:left w:w="0" w:type="dxa"/>
            </w:tcMar>
          </w:tcPr>
          <w:p w14:paraId="380780FF" w14:textId="091C2041" w:rsidR="00E639CE" w:rsidRPr="00E85629" w:rsidRDefault="00E639CE" w:rsidP="00E639CE">
            <w:pPr>
              <w:tabs>
                <w:tab w:val="left" w:pos="851"/>
              </w:tabs>
              <w:spacing w:before="0" w:line="240" w:lineRule="atLeast"/>
              <w:rPr>
                <w:b/>
              </w:rPr>
            </w:pPr>
            <w:bookmarkStart w:id="0" w:name="_Hlk133421839"/>
            <w:r w:rsidRPr="00545B94">
              <w:rPr>
                <w:b/>
                <w:bCs/>
                <w:lang w:val="es-ES"/>
              </w:rPr>
              <w:t>Punto del orden del día: ADM 1</w:t>
            </w:r>
          </w:p>
        </w:tc>
        <w:tc>
          <w:tcPr>
            <w:tcW w:w="5245" w:type="dxa"/>
          </w:tcPr>
          <w:p w14:paraId="12EC8577" w14:textId="0660C7B7" w:rsidR="00E639CE" w:rsidRPr="00E85629" w:rsidRDefault="00E639CE" w:rsidP="00E639CE">
            <w:pPr>
              <w:tabs>
                <w:tab w:val="left" w:pos="851"/>
              </w:tabs>
              <w:spacing w:before="0" w:line="240" w:lineRule="atLeast"/>
              <w:jc w:val="right"/>
              <w:rPr>
                <w:b/>
              </w:rPr>
            </w:pPr>
            <w:r w:rsidRPr="00545B94">
              <w:rPr>
                <w:b/>
                <w:bCs/>
                <w:lang w:val="es-ES"/>
              </w:rPr>
              <w:t>Documento C24/39-S</w:t>
            </w:r>
          </w:p>
        </w:tc>
      </w:tr>
      <w:tr w:rsidR="00E639CE" w:rsidRPr="00813E5E" w14:paraId="2F7BAD0F" w14:textId="77777777" w:rsidTr="00C538FC">
        <w:trPr>
          <w:cantSplit/>
        </w:trPr>
        <w:tc>
          <w:tcPr>
            <w:tcW w:w="3969" w:type="dxa"/>
            <w:vMerge/>
          </w:tcPr>
          <w:p w14:paraId="32D340BD" w14:textId="77777777" w:rsidR="00E639CE" w:rsidRPr="00813E5E" w:rsidRDefault="00E639CE" w:rsidP="00E639CE">
            <w:pPr>
              <w:tabs>
                <w:tab w:val="left" w:pos="851"/>
              </w:tabs>
              <w:spacing w:line="240" w:lineRule="atLeast"/>
              <w:rPr>
                <w:b/>
              </w:rPr>
            </w:pPr>
          </w:p>
        </w:tc>
        <w:tc>
          <w:tcPr>
            <w:tcW w:w="5245" w:type="dxa"/>
          </w:tcPr>
          <w:p w14:paraId="6D67502D" w14:textId="5A79F3DB" w:rsidR="00E639CE" w:rsidRPr="00E85629" w:rsidRDefault="00E639CE" w:rsidP="00E639CE">
            <w:pPr>
              <w:tabs>
                <w:tab w:val="left" w:pos="851"/>
              </w:tabs>
              <w:spacing w:before="0"/>
              <w:jc w:val="right"/>
              <w:rPr>
                <w:b/>
              </w:rPr>
            </w:pPr>
            <w:r w:rsidRPr="00545B94">
              <w:rPr>
                <w:b/>
                <w:bCs/>
                <w:lang w:val="es-ES"/>
              </w:rPr>
              <w:t>9 de abril de 2024</w:t>
            </w:r>
          </w:p>
        </w:tc>
      </w:tr>
      <w:tr w:rsidR="00E639CE" w:rsidRPr="00F24B71" w14:paraId="14ED61B8" w14:textId="77777777" w:rsidTr="00C538FC">
        <w:trPr>
          <w:cantSplit/>
          <w:trHeight w:val="23"/>
        </w:trPr>
        <w:tc>
          <w:tcPr>
            <w:tcW w:w="3969" w:type="dxa"/>
            <w:vMerge/>
          </w:tcPr>
          <w:p w14:paraId="36AAE2B4" w14:textId="77777777" w:rsidR="00E639CE" w:rsidRPr="00813E5E" w:rsidRDefault="00E639CE" w:rsidP="00E639CE">
            <w:pPr>
              <w:tabs>
                <w:tab w:val="left" w:pos="851"/>
              </w:tabs>
              <w:spacing w:line="240" w:lineRule="atLeast"/>
              <w:rPr>
                <w:b/>
              </w:rPr>
            </w:pPr>
          </w:p>
        </w:tc>
        <w:tc>
          <w:tcPr>
            <w:tcW w:w="5245" w:type="dxa"/>
          </w:tcPr>
          <w:p w14:paraId="54C7ED74" w14:textId="24C57BFE" w:rsidR="00E639CE" w:rsidRPr="00F24B71" w:rsidRDefault="00E639CE" w:rsidP="00E639CE">
            <w:pPr>
              <w:tabs>
                <w:tab w:val="left" w:pos="851"/>
              </w:tabs>
              <w:spacing w:before="0" w:line="240" w:lineRule="atLeast"/>
              <w:jc w:val="right"/>
              <w:rPr>
                <w:b/>
                <w:bCs/>
              </w:rPr>
            </w:pPr>
            <w:r w:rsidRPr="00545B94">
              <w:rPr>
                <w:b/>
                <w:bCs/>
                <w:lang w:val="es-ES"/>
              </w:rPr>
              <w:t>Original: inglés</w:t>
            </w:r>
          </w:p>
        </w:tc>
      </w:tr>
      <w:tr w:rsidR="00FE57F6" w:rsidRPr="00813E5E" w14:paraId="28C23F0D" w14:textId="77777777" w:rsidTr="00C538FC">
        <w:trPr>
          <w:cantSplit/>
          <w:trHeight w:val="23"/>
        </w:trPr>
        <w:tc>
          <w:tcPr>
            <w:tcW w:w="3969" w:type="dxa"/>
          </w:tcPr>
          <w:p w14:paraId="71CA9CDE" w14:textId="77777777" w:rsidR="00FE57F6" w:rsidRPr="00813E5E" w:rsidRDefault="00FE57F6" w:rsidP="00C538FC">
            <w:pPr>
              <w:tabs>
                <w:tab w:val="left" w:pos="851"/>
              </w:tabs>
              <w:spacing w:line="240" w:lineRule="atLeast"/>
              <w:rPr>
                <w:b/>
              </w:rPr>
            </w:pPr>
          </w:p>
        </w:tc>
        <w:tc>
          <w:tcPr>
            <w:tcW w:w="5245" w:type="dxa"/>
          </w:tcPr>
          <w:p w14:paraId="04F0E65D" w14:textId="77777777" w:rsidR="00FE57F6" w:rsidRDefault="00FE57F6" w:rsidP="00C538FC">
            <w:pPr>
              <w:tabs>
                <w:tab w:val="left" w:pos="851"/>
              </w:tabs>
              <w:spacing w:before="0" w:line="240" w:lineRule="atLeast"/>
              <w:jc w:val="right"/>
              <w:rPr>
                <w:b/>
              </w:rPr>
            </w:pPr>
          </w:p>
        </w:tc>
      </w:tr>
      <w:tr w:rsidR="00FE57F6" w:rsidRPr="00FE57F6" w14:paraId="0744CD5D" w14:textId="77777777" w:rsidTr="00C538FC">
        <w:trPr>
          <w:cantSplit/>
        </w:trPr>
        <w:tc>
          <w:tcPr>
            <w:tcW w:w="9214" w:type="dxa"/>
            <w:gridSpan w:val="2"/>
            <w:tcMar>
              <w:left w:w="0" w:type="dxa"/>
            </w:tcMar>
          </w:tcPr>
          <w:p w14:paraId="3EF99137" w14:textId="77777777" w:rsidR="00FE57F6" w:rsidRPr="004B5D49" w:rsidRDefault="00F24B71" w:rsidP="00C538FC">
            <w:pPr>
              <w:pStyle w:val="Source"/>
              <w:jc w:val="left"/>
              <w:rPr>
                <w:sz w:val="34"/>
                <w:szCs w:val="34"/>
                <w:lang w:val="es-ES"/>
              </w:rPr>
            </w:pPr>
            <w:r w:rsidRPr="00C538FC">
              <w:rPr>
                <w:rFonts w:cstheme="minorHAnsi"/>
                <w:sz w:val="34"/>
                <w:szCs w:val="34"/>
              </w:rPr>
              <w:t>Informe de</w:t>
            </w:r>
            <w:r w:rsidR="004B5D49">
              <w:rPr>
                <w:rFonts w:cstheme="minorHAnsi"/>
                <w:sz w:val="34"/>
                <w:szCs w:val="34"/>
              </w:rPr>
              <w:t xml:space="preserve"> </w:t>
            </w:r>
            <w:r w:rsidRPr="00C538FC">
              <w:rPr>
                <w:rFonts w:cstheme="minorHAnsi"/>
                <w:sz w:val="34"/>
                <w:szCs w:val="34"/>
              </w:rPr>
              <w:t>l</w:t>
            </w:r>
            <w:r w:rsidR="004B5D49">
              <w:rPr>
                <w:rFonts w:cstheme="minorHAnsi"/>
                <w:sz w:val="34"/>
                <w:szCs w:val="34"/>
              </w:rPr>
              <w:t>a</w:t>
            </w:r>
            <w:r w:rsidRPr="00C538FC">
              <w:rPr>
                <w:rFonts w:cstheme="minorHAnsi"/>
                <w:sz w:val="34"/>
                <w:szCs w:val="34"/>
              </w:rPr>
              <w:t xml:space="preserve"> Secretari</w:t>
            </w:r>
            <w:r w:rsidR="004B5D49">
              <w:rPr>
                <w:rFonts w:cstheme="minorHAnsi"/>
                <w:sz w:val="34"/>
                <w:szCs w:val="34"/>
              </w:rPr>
              <w:t>a</w:t>
            </w:r>
            <w:r w:rsidRPr="00C538FC">
              <w:rPr>
                <w:rFonts w:cstheme="minorHAnsi"/>
                <w:sz w:val="34"/>
                <w:szCs w:val="34"/>
              </w:rPr>
              <w:t xml:space="preserve"> General</w:t>
            </w:r>
          </w:p>
        </w:tc>
      </w:tr>
      <w:tr w:rsidR="00FE57F6" w:rsidRPr="00813E5E" w14:paraId="5E2B474A" w14:textId="77777777" w:rsidTr="00C538FC">
        <w:trPr>
          <w:cantSplit/>
        </w:trPr>
        <w:tc>
          <w:tcPr>
            <w:tcW w:w="9214" w:type="dxa"/>
            <w:gridSpan w:val="2"/>
            <w:tcMar>
              <w:left w:w="0" w:type="dxa"/>
            </w:tcMar>
          </w:tcPr>
          <w:p w14:paraId="75872F37" w14:textId="61239D37" w:rsidR="00FE57F6" w:rsidRPr="00E639CE" w:rsidRDefault="00E639CE" w:rsidP="00C538FC">
            <w:pPr>
              <w:pStyle w:val="Subtitle"/>
              <w:framePr w:hSpace="0" w:wrap="auto" w:hAnchor="text" w:xAlign="left" w:yAlign="inline"/>
              <w:rPr>
                <w:lang w:val="es-ES"/>
              </w:rPr>
            </w:pPr>
            <w:bookmarkStart w:id="1" w:name="_Hlk162974427"/>
            <w:r w:rsidRPr="00545B94">
              <w:rPr>
                <w:lang w:val="es-ES"/>
              </w:rPr>
              <w:t>NUEVAS SOLICITUDES DE EXONERACIÓN DE PAGO DE LA CUOTA DE AFILIACIÓN PARA LAS ORGANIZACIONES DE CARÁCTER INTERNACIONAL</w:t>
            </w:r>
            <w:bookmarkEnd w:id="1"/>
          </w:p>
        </w:tc>
      </w:tr>
      <w:tr w:rsidR="00FE57F6" w:rsidRPr="00813E5E"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48882A86" w:rsidR="00FE57F6" w:rsidRPr="00F24B71" w:rsidRDefault="00F24B71" w:rsidP="00C538FC">
            <w:pPr>
              <w:spacing w:before="160"/>
              <w:rPr>
                <w:b/>
                <w:bCs/>
                <w:sz w:val="26"/>
                <w:szCs w:val="26"/>
                <w:lang w:val="es-ES"/>
              </w:rPr>
            </w:pPr>
            <w:r w:rsidRPr="00F24B71">
              <w:rPr>
                <w:b/>
                <w:bCs/>
                <w:sz w:val="26"/>
                <w:szCs w:val="26"/>
                <w:lang w:val="es-ES"/>
              </w:rPr>
              <w:t>Objeto</w:t>
            </w:r>
          </w:p>
          <w:p w14:paraId="618C4414" w14:textId="6ABA1083" w:rsidR="00FE57F6" w:rsidRPr="00F24B71" w:rsidRDefault="00E639CE" w:rsidP="00C538FC">
            <w:pPr>
              <w:rPr>
                <w:lang w:val="es-ES"/>
              </w:rPr>
            </w:pPr>
            <w:r w:rsidRPr="00545B94">
              <w:rPr>
                <w:lang w:val="es-ES"/>
              </w:rPr>
              <w:t>Cada año, la UIT recibe solicitudes de organizaciones de carácter internacional relativas a la exoneración de pago de las cuotas de afiliación y de otras contribuciones financieras a la Unión en régimen de reciprocidad. La Secretaría examina estas nuevas solicitudes en base de los criterios establecidos por el Consejo.</w:t>
            </w:r>
          </w:p>
          <w:p w14:paraId="5D1C98A4" w14:textId="77777777" w:rsidR="00FE57F6" w:rsidRPr="00F24B71" w:rsidRDefault="00F24B71" w:rsidP="00C538FC">
            <w:pPr>
              <w:spacing w:before="160"/>
              <w:rPr>
                <w:b/>
                <w:bCs/>
                <w:sz w:val="26"/>
                <w:szCs w:val="26"/>
                <w:lang w:val="es-ES"/>
              </w:rPr>
            </w:pPr>
            <w:r w:rsidRPr="00F24B71">
              <w:rPr>
                <w:b/>
                <w:bCs/>
                <w:sz w:val="26"/>
                <w:szCs w:val="26"/>
                <w:lang w:val="es-ES"/>
              </w:rPr>
              <w:t xml:space="preserve">Acción solicitada </w:t>
            </w:r>
            <w:r w:rsidR="00677A97">
              <w:rPr>
                <w:b/>
                <w:bCs/>
                <w:sz w:val="26"/>
                <w:szCs w:val="26"/>
                <w:lang w:val="es-ES"/>
              </w:rPr>
              <w:t>al</w:t>
            </w:r>
            <w:r w:rsidRPr="00F24B71">
              <w:rPr>
                <w:b/>
                <w:bCs/>
                <w:sz w:val="26"/>
                <w:szCs w:val="26"/>
                <w:lang w:val="es-ES"/>
              </w:rPr>
              <w:t xml:space="preserve"> Consejo</w:t>
            </w:r>
          </w:p>
          <w:p w14:paraId="2D18C291" w14:textId="3821CD34" w:rsidR="00FE57F6" w:rsidRPr="00F24B71" w:rsidRDefault="00E639CE" w:rsidP="00C538FC">
            <w:pPr>
              <w:rPr>
                <w:lang w:val="es-ES"/>
              </w:rPr>
            </w:pPr>
            <w:r w:rsidRPr="00545B94">
              <w:rPr>
                <w:lang w:val="es-ES"/>
              </w:rPr>
              <w:t xml:space="preserve">Se invita al Consejo a </w:t>
            </w:r>
            <w:r w:rsidRPr="00545B94">
              <w:rPr>
                <w:b/>
                <w:bCs/>
                <w:lang w:val="es-ES"/>
              </w:rPr>
              <w:t xml:space="preserve">examinar </w:t>
            </w:r>
            <w:r w:rsidRPr="00545B94">
              <w:rPr>
                <w:lang w:val="es-ES"/>
              </w:rPr>
              <w:t>las recomendaciones de la Secretaria General en relación con las nuevas solicitudes de exoneración.</w:t>
            </w:r>
          </w:p>
          <w:p w14:paraId="29ECF93D" w14:textId="77777777" w:rsidR="00FE57F6" w:rsidRPr="00F24B71" w:rsidRDefault="00F24B71" w:rsidP="00C538FC">
            <w:pPr>
              <w:spacing w:before="160"/>
              <w:rPr>
                <w:b/>
                <w:bCs/>
                <w:sz w:val="26"/>
                <w:szCs w:val="26"/>
                <w:lang w:val="es-ES"/>
              </w:rPr>
            </w:pPr>
            <w:r w:rsidRPr="00F24B71">
              <w:rPr>
                <w:b/>
                <w:bCs/>
                <w:sz w:val="26"/>
                <w:szCs w:val="26"/>
                <w:lang w:val="es-ES"/>
              </w:rPr>
              <w:t>Vínculos pertinentes con el Plan Estratégico</w:t>
            </w:r>
          </w:p>
          <w:p w14:paraId="0322545C" w14:textId="16FA31AF" w:rsidR="00FE57F6" w:rsidRPr="00E639CE" w:rsidRDefault="00E639CE" w:rsidP="000834F0">
            <w:pPr>
              <w:rPr>
                <w:szCs w:val="24"/>
                <w:lang w:val="es-ES"/>
              </w:rPr>
            </w:pPr>
            <w:r w:rsidRPr="00545B94">
              <w:rPr>
                <w:lang w:val="es-ES"/>
              </w:rPr>
              <w:t>Asociaciones y cooperación internacional.</w:t>
            </w:r>
          </w:p>
          <w:p w14:paraId="570AED91" w14:textId="07018A54" w:rsidR="00FE57F6" w:rsidRDefault="00E639CE" w:rsidP="00C538FC">
            <w:pPr>
              <w:spacing w:before="160"/>
              <w:rPr>
                <w:b/>
                <w:bCs/>
                <w:sz w:val="26"/>
                <w:szCs w:val="26"/>
              </w:rPr>
            </w:pPr>
            <w:r>
              <w:rPr>
                <w:b/>
                <w:bCs/>
                <w:sz w:val="26"/>
                <w:szCs w:val="26"/>
              </w:rPr>
              <w:t>Consecuencias</w:t>
            </w:r>
            <w:r w:rsidR="00F24B71" w:rsidRPr="00F24B71">
              <w:rPr>
                <w:b/>
                <w:bCs/>
                <w:sz w:val="26"/>
                <w:szCs w:val="26"/>
              </w:rPr>
              <w:t xml:space="preserve"> financieras</w:t>
            </w:r>
          </w:p>
          <w:p w14:paraId="61245E34" w14:textId="3598C85E" w:rsidR="00E639CE" w:rsidRDefault="00E639CE" w:rsidP="00C538FC">
            <w:pPr>
              <w:spacing w:before="160"/>
              <w:rPr>
                <w:b/>
                <w:bCs/>
                <w:sz w:val="26"/>
                <w:szCs w:val="26"/>
              </w:rPr>
            </w:pPr>
            <w:r w:rsidRPr="00545B94">
              <w:rPr>
                <w:lang w:val="es-ES"/>
              </w:rPr>
              <w:t>Las exoneraciones de pago de la cuota de afiliación representan 115</w:t>
            </w:r>
            <w:r w:rsidR="00CA238C">
              <w:rPr>
                <w:lang w:val="es-ES"/>
              </w:rPr>
              <w:t> </w:t>
            </w:r>
            <w:r w:rsidRPr="00545B94">
              <w:rPr>
                <w:lang w:val="es-ES"/>
              </w:rPr>
              <w:t>000 CHF al año.</w:t>
            </w:r>
          </w:p>
          <w:p w14:paraId="5948AA98" w14:textId="77777777" w:rsidR="00FE57F6" w:rsidRPr="00813E5E" w:rsidRDefault="00FE57F6" w:rsidP="00C538FC">
            <w:pPr>
              <w:spacing w:before="160"/>
              <w:rPr>
                <w:caps/>
                <w:sz w:val="22"/>
              </w:rPr>
            </w:pPr>
            <w:r w:rsidRPr="00813E5E">
              <w:rPr>
                <w:sz w:val="22"/>
              </w:rPr>
              <w:t>____________</w:t>
            </w:r>
            <w:r>
              <w:rPr>
                <w:sz w:val="22"/>
              </w:rPr>
              <w:t>______</w:t>
            </w:r>
          </w:p>
          <w:p w14:paraId="53C56EAC" w14:textId="36158619" w:rsidR="00FE57F6" w:rsidRDefault="00F24B71" w:rsidP="00C538FC">
            <w:pPr>
              <w:spacing w:before="160"/>
              <w:rPr>
                <w:b/>
                <w:bCs/>
                <w:sz w:val="26"/>
                <w:szCs w:val="26"/>
              </w:rPr>
            </w:pPr>
            <w:r w:rsidRPr="00F24B71">
              <w:rPr>
                <w:b/>
                <w:bCs/>
                <w:sz w:val="26"/>
                <w:szCs w:val="26"/>
              </w:rPr>
              <w:t>Referencia</w:t>
            </w:r>
            <w:r w:rsidR="00E639CE">
              <w:rPr>
                <w:b/>
                <w:bCs/>
                <w:sz w:val="26"/>
                <w:szCs w:val="26"/>
              </w:rPr>
              <w:t>s</w:t>
            </w:r>
          </w:p>
          <w:p w14:paraId="58339413" w14:textId="5DB9CE12" w:rsidR="00FE57F6" w:rsidRDefault="00E639CE" w:rsidP="00C538FC">
            <w:pPr>
              <w:spacing w:after="160"/>
            </w:pPr>
            <w:hyperlink r:id="rId6" w:history="1">
              <w:r w:rsidRPr="00CA238C">
                <w:rPr>
                  <w:rStyle w:val="Hyperlink"/>
                  <w:i/>
                  <w:iCs/>
                </w:rPr>
                <w:t>C20</w:t>
              </w:r>
              <w:r w:rsidRPr="00CA238C">
                <w:rPr>
                  <w:rStyle w:val="Hyperlink"/>
                  <w:i/>
                  <w:iCs/>
                </w:rPr>
                <w:t>0</w:t>
              </w:r>
              <w:r w:rsidRPr="00CA238C">
                <w:rPr>
                  <w:rStyle w:val="Hyperlink"/>
                  <w:i/>
                  <w:iCs/>
                </w:rPr>
                <w:t>0/28(Rev.1)</w:t>
              </w:r>
              <w:r w:rsidRPr="00545B94">
                <w:rPr>
                  <w:i/>
                  <w:iCs/>
                  <w:u w:val="single"/>
                  <w:lang w:val="es-ES"/>
                </w:rPr>
                <w:t xml:space="preserve">, </w:t>
              </w:r>
              <w:r w:rsidRPr="00CA238C">
                <w:rPr>
                  <w:rStyle w:val="Hyperlink"/>
                  <w:i/>
                  <w:iCs/>
                </w:rPr>
                <w:t>Resolución 925 del Consej</w:t>
              </w:r>
              <w:r w:rsidRPr="00CA238C">
                <w:rPr>
                  <w:rStyle w:val="Hyperlink"/>
                </w:rPr>
                <w:t>o</w:t>
              </w:r>
              <w:r w:rsidRPr="00545B94">
                <w:rPr>
                  <w:i/>
                  <w:iCs/>
                  <w:u w:val="single"/>
                  <w:lang w:val="es-ES"/>
                </w:rPr>
                <w:t xml:space="preserve">, </w:t>
              </w:r>
              <w:r w:rsidRPr="00CA238C">
                <w:rPr>
                  <w:rStyle w:val="Hyperlink"/>
                  <w:i/>
                  <w:iCs/>
                </w:rPr>
                <w:t>Criterios de exoneración del Consejo (Rev.</w:t>
              </w:r>
              <w:r w:rsidR="00CA238C">
                <w:rPr>
                  <w:rStyle w:val="Hyperlink"/>
                  <w:i/>
                  <w:iCs/>
                </w:rPr>
                <w:t> </w:t>
              </w:r>
              <w:r w:rsidRPr="00CA238C">
                <w:rPr>
                  <w:rStyle w:val="Hyperlink"/>
                  <w:i/>
                  <w:iCs/>
                </w:rPr>
                <w:t>2017)</w:t>
              </w:r>
            </w:hyperlink>
          </w:p>
        </w:tc>
      </w:tr>
      <w:bookmarkEnd w:id="0"/>
    </w:tbl>
    <w:p w14:paraId="06FD7253" w14:textId="77777777" w:rsidR="00093EEB" w:rsidRDefault="00093EEB"/>
    <w:p w14:paraId="44179D23" w14:textId="77777777" w:rsidR="001559F5" w:rsidRDefault="001559F5">
      <w:pPr>
        <w:tabs>
          <w:tab w:val="clear" w:pos="567"/>
          <w:tab w:val="clear" w:pos="1134"/>
          <w:tab w:val="clear" w:pos="1701"/>
          <w:tab w:val="clear" w:pos="2268"/>
          <w:tab w:val="clear" w:pos="2835"/>
        </w:tabs>
        <w:overflowPunct/>
        <w:autoSpaceDE/>
        <w:autoSpaceDN/>
        <w:adjustRightInd/>
        <w:spacing w:before="0"/>
        <w:textAlignment w:val="auto"/>
      </w:pPr>
      <w:r>
        <w:br w:type="page"/>
      </w:r>
    </w:p>
    <w:p w14:paraId="1904E92D" w14:textId="77777777" w:rsidR="00E639CE" w:rsidRPr="00545B94" w:rsidRDefault="00E639CE" w:rsidP="00CA238C">
      <w:pPr>
        <w:pStyle w:val="Heading1"/>
        <w:rPr>
          <w:rFonts w:eastAsia="Calibri"/>
          <w:szCs w:val="24"/>
          <w:lang w:val="es-ES"/>
        </w:rPr>
      </w:pPr>
      <w:r w:rsidRPr="00545B94">
        <w:rPr>
          <w:lang w:val="es-ES"/>
        </w:rPr>
        <w:lastRenderedPageBreak/>
        <w:t>1</w:t>
      </w:r>
      <w:r w:rsidRPr="00545B94">
        <w:rPr>
          <w:lang w:val="es-ES"/>
        </w:rPr>
        <w:tab/>
        <w:t>Antecedentes</w:t>
      </w:r>
    </w:p>
    <w:p w14:paraId="6C72121A" w14:textId="34A28A99" w:rsidR="00E639CE" w:rsidRDefault="00E639CE" w:rsidP="00CA238C">
      <w:pPr>
        <w:rPr>
          <w:lang w:val="es-ES"/>
        </w:rPr>
      </w:pPr>
      <w:r w:rsidRPr="00545B94">
        <w:rPr>
          <w:lang w:val="es-ES"/>
        </w:rPr>
        <w:t>1.1</w:t>
      </w:r>
      <w:r w:rsidRPr="00545B94">
        <w:rPr>
          <w:lang w:val="es-ES"/>
        </w:rPr>
        <w:tab/>
        <w:t xml:space="preserve">Cada año, la UIT recibe solicitudes de organizaciones de carácter internacional relativas a la exoneración de pago de las cuotas de afiliación y de otras contribuciones financieras a la Unión. Estas solicitudes se examinan con arreglo al procedimiento establecido por el Consejo en su reunión de 2000 </w:t>
      </w:r>
      <w:hyperlink r:id="rId7" w:history="1">
        <w:r w:rsidRPr="00CA238C">
          <w:rPr>
            <w:rStyle w:val="Hyperlink"/>
          </w:rPr>
          <w:t>(C2000/28(Rev.1))</w:t>
        </w:r>
      </w:hyperlink>
      <w:r w:rsidRPr="00545B94">
        <w:rPr>
          <w:lang w:val="es-ES"/>
        </w:rPr>
        <w:t xml:space="preserve">y de conformidad con el número 476 del Convenio y la </w:t>
      </w:r>
      <w:hyperlink r:id="rId8" w:history="1">
        <w:r w:rsidRPr="00CA238C">
          <w:rPr>
            <w:rStyle w:val="Hyperlink"/>
          </w:rPr>
          <w:t>Resolución 925 del Consejo</w:t>
        </w:r>
        <w:r w:rsidRPr="00CA238C">
          <w:rPr>
            <w:rStyle w:val="Hyperlink"/>
            <w:lang w:val="es-ES"/>
          </w:rPr>
          <w:t>,</w:t>
        </w:r>
      </w:hyperlink>
      <w:r w:rsidRPr="00545B94">
        <w:rPr>
          <w:lang w:val="es-ES"/>
        </w:rPr>
        <w:t xml:space="preserve"> así como los criterios establecidos por el Consejo, revisados en 2017 (véase el punto 1.5 a continuación).</w:t>
      </w:r>
    </w:p>
    <w:p w14:paraId="6F2D5678" w14:textId="77777777" w:rsidR="00E639CE" w:rsidRDefault="00E639CE" w:rsidP="00815868">
      <w:pPr>
        <w:rPr>
          <w:lang w:val="es-ES"/>
        </w:rPr>
      </w:pPr>
      <w:r w:rsidRPr="00545B94">
        <w:rPr>
          <w:lang w:val="es-ES"/>
        </w:rPr>
        <w:t>1.2</w:t>
      </w:r>
      <w:r w:rsidRPr="00545B94">
        <w:rPr>
          <w:lang w:val="es-ES"/>
        </w:rPr>
        <w:tab/>
        <w:t>El Consejo concede la exoneración del pago de contribuciones a raíz del análisis de las Oficinas pertinentes y de una recomendación del Secretario General. Si son aprobadas, esas organizaciones pasan a ser Miembros de Sector o Asociados en virtud del número 231 del Convenio.</w:t>
      </w:r>
    </w:p>
    <w:p w14:paraId="395B3081" w14:textId="301A39FB" w:rsidR="00E639CE" w:rsidRPr="00545B94" w:rsidRDefault="00E639CE" w:rsidP="00815868">
      <w:pPr>
        <w:rPr>
          <w:rFonts w:eastAsia="Calibri" w:cs="Calibri"/>
          <w:lang w:val="es-ES"/>
        </w:rPr>
      </w:pPr>
      <w:r w:rsidRPr="00545B94">
        <w:rPr>
          <w:lang w:val="es-ES"/>
        </w:rPr>
        <w:t>1.3</w:t>
      </w:r>
      <w:r w:rsidRPr="00545B94">
        <w:rPr>
          <w:lang w:val="es-ES"/>
        </w:rPr>
        <w:tab/>
        <w:t>Actualmente hay 137 organizaciones de carácter internacional que gozan de exoneración. Se puede consultar la lista completa</w:t>
      </w:r>
      <w:r w:rsidRPr="00815868">
        <w:rPr>
          <w:rStyle w:val="Hyperlink"/>
        </w:rPr>
        <w:t xml:space="preserve"> </w:t>
      </w:r>
      <w:hyperlink r:id="rId9" w:history="1">
        <w:r w:rsidRPr="00815868">
          <w:rPr>
            <w:rStyle w:val="Hyperlink"/>
          </w:rPr>
          <w:t>aquí</w:t>
        </w:r>
      </w:hyperlink>
      <w:r w:rsidRPr="00545B94">
        <w:rPr>
          <w:lang w:val="es-ES"/>
        </w:rPr>
        <w:t>.</w:t>
      </w:r>
    </w:p>
    <w:p w14:paraId="7A60A8E4" w14:textId="77777777" w:rsidR="00E639CE" w:rsidRDefault="00E639CE" w:rsidP="00815868">
      <w:pPr>
        <w:rPr>
          <w:lang w:val="es-ES"/>
        </w:rPr>
      </w:pPr>
      <w:r w:rsidRPr="00545B94">
        <w:rPr>
          <w:lang w:val="es-ES"/>
        </w:rPr>
        <w:t>1.4</w:t>
      </w:r>
      <w:r w:rsidRPr="00545B94">
        <w:rPr>
          <w:lang w:val="es-ES"/>
        </w:rPr>
        <w:tab/>
        <w:t>En su Resolución 187 (Busán, 2014), la Conferencia de Plenipotenciarios de 2014 encargó al Consejo "que examinase la práctica y los criterios para exonerar a las entidades del pago de contribuciones y, de ser necesario, realizase los cambios para hacer más estrictos los criterios de admisibilidad a fin de aportar mayor claridad, coherencia y equidad entre los miembros que pagan y que no pagan, y reducir el número total de entidades exoneradas".</w:t>
      </w:r>
    </w:p>
    <w:p w14:paraId="693C1F79" w14:textId="30CDA1DA" w:rsidR="00E639CE" w:rsidRDefault="00E639CE" w:rsidP="00815868">
      <w:pPr>
        <w:rPr>
          <w:lang w:val="es-ES"/>
        </w:rPr>
      </w:pPr>
      <w:r w:rsidRPr="00545B94">
        <w:rPr>
          <w:lang w:val="es-ES"/>
        </w:rPr>
        <w:t>1.5</w:t>
      </w:r>
      <w:r w:rsidRPr="00545B94">
        <w:rPr>
          <w:lang w:val="es-ES"/>
        </w:rPr>
        <w:tab/>
        <w:t xml:space="preserve">En su reunión de 2017, el Consejo aprobó los criterios revisados, que se pueden consultar </w:t>
      </w:r>
      <w:hyperlink r:id="rId10" w:history="1">
        <w:r w:rsidR="00815868" w:rsidRPr="00815868">
          <w:rPr>
            <w:rStyle w:val="Hyperlink"/>
          </w:rPr>
          <w:t>aquí</w:t>
        </w:r>
      </w:hyperlink>
      <w:r w:rsidRPr="00545B94">
        <w:rPr>
          <w:lang w:val="es-ES"/>
        </w:rPr>
        <w:t>. Desde entonces, en cada reunión del Consejo se examinan las nuevas solicitudes con arreglo a estos criterios.</w:t>
      </w:r>
    </w:p>
    <w:p w14:paraId="42904D7B" w14:textId="77777777" w:rsidR="00E639CE" w:rsidRPr="00545B94" w:rsidRDefault="00E639CE" w:rsidP="00815868">
      <w:pPr>
        <w:rPr>
          <w:rFonts w:eastAsia="Calibri" w:cs="Calibri"/>
          <w:lang w:val="es-ES"/>
        </w:rPr>
      </w:pPr>
      <w:r w:rsidRPr="00545B94">
        <w:rPr>
          <w:lang w:val="es-ES"/>
        </w:rPr>
        <w:t>1.6</w:t>
      </w:r>
      <w:r w:rsidRPr="00545B94">
        <w:rPr>
          <w:lang w:val="es-ES"/>
        </w:rPr>
        <w:tab/>
        <w:t>En este documento solo se abordan las nuevas solicitudes de exoneración de pago de la cuota presentadas desde el último Consejo.</w:t>
      </w:r>
    </w:p>
    <w:p w14:paraId="34F9506F" w14:textId="77777777" w:rsidR="00E639CE" w:rsidRPr="00545B94" w:rsidRDefault="00E639CE" w:rsidP="00815868">
      <w:pPr>
        <w:pStyle w:val="Heading1"/>
        <w:rPr>
          <w:rFonts w:eastAsia="Calibri"/>
          <w:b w:val="0"/>
          <w:bCs/>
          <w:szCs w:val="24"/>
          <w:lang w:val="es-ES"/>
        </w:rPr>
      </w:pPr>
      <w:r w:rsidRPr="00545B94">
        <w:rPr>
          <w:bCs/>
          <w:lang w:val="es-ES"/>
        </w:rPr>
        <w:t>2</w:t>
      </w:r>
      <w:r w:rsidRPr="00545B94">
        <w:rPr>
          <w:lang w:val="es-ES"/>
        </w:rPr>
        <w:tab/>
      </w:r>
      <w:r w:rsidRPr="00545B94">
        <w:rPr>
          <w:bCs/>
          <w:lang w:val="es-ES"/>
        </w:rPr>
        <w:t>Nuevas solicitudes y recomendaciones</w:t>
      </w:r>
    </w:p>
    <w:p w14:paraId="5B8F899D" w14:textId="77777777" w:rsidR="00E639CE" w:rsidRPr="00545B94" w:rsidRDefault="00E639CE" w:rsidP="00815868">
      <w:pPr>
        <w:rPr>
          <w:rFonts w:asciiTheme="minorHAnsi" w:eastAsia="SimSun" w:hAnsiTheme="minorHAnsi" w:cs="Calibri"/>
          <w:lang w:val="es-ES"/>
        </w:rPr>
      </w:pPr>
      <w:r w:rsidRPr="00545B94">
        <w:rPr>
          <w:lang w:val="es-ES"/>
        </w:rPr>
        <w:t>2.1</w:t>
      </w:r>
    </w:p>
    <w:tbl>
      <w:tblPr>
        <w:tblW w:w="87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906"/>
        <w:gridCol w:w="1559"/>
        <w:gridCol w:w="3325"/>
      </w:tblGrid>
      <w:tr w:rsidR="00E639CE" w:rsidRPr="00545B94" w14:paraId="5D2C6CCF" w14:textId="77777777" w:rsidTr="000A004E">
        <w:trPr>
          <w:cantSplit/>
          <w:jc w:val="center"/>
        </w:trPr>
        <w:tc>
          <w:tcPr>
            <w:tcW w:w="3906" w:type="dxa"/>
          </w:tcPr>
          <w:p w14:paraId="2C9F3D54" w14:textId="77777777" w:rsidR="00E639CE" w:rsidRPr="00545B94" w:rsidRDefault="00E639CE" w:rsidP="00815868">
            <w:pPr>
              <w:pStyle w:val="Tablehead"/>
              <w:rPr>
                <w:rFonts w:asciiTheme="minorHAnsi" w:eastAsia="SimSun" w:hAnsiTheme="minorHAnsi" w:cs="Calibri"/>
                <w:szCs w:val="24"/>
                <w:lang w:val="es-ES"/>
              </w:rPr>
            </w:pPr>
            <w:r w:rsidRPr="00545B94">
              <w:rPr>
                <w:lang w:val="es-ES"/>
              </w:rPr>
              <w:t>Organización</w:t>
            </w:r>
          </w:p>
        </w:tc>
        <w:tc>
          <w:tcPr>
            <w:tcW w:w="1559" w:type="dxa"/>
          </w:tcPr>
          <w:p w14:paraId="74008B91" w14:textId="77777777" w:rsidR="00E639CE" w:rsidRPr="00545B94" w:rsidRDefault="00E639CE" w:rsidP="00815868">
            <w:pPr>
              <w:pStyle w:val="Tablehead"/>
              <w:rPr>
                <w:rFonts w:asciiTheme="minorHAnsi" w:eastAsia="SimSun" w:hAnsiTheme="minorHAnsi" w:cs="Calibri"/>
                <w:szCs w:val="24"/>
                <w:lang w:val="es-ES"/>
              </w:rPr>
            </w:pPr>
            <w:r w:rsidRPr="00545B94">
              <w:rPr>
                <w:lang w:val="es-ES"/>
              </w:rPr>
              <w:t>Sector</w:t>
            </w:r>
          </w:p>
        </w:tc>
        <w:tc>
          <w:tcPr>
            <w:tcW w:w="3325" w:type="dxa"/>
          </w:tcPr>
          <w:p w14:paraId="4ACE0897" w14:textId="792E55E9" w:rsidR="00E639CE" w:rsidRPr="00303C11" w:rsidRDefault="00E639CE" w:rsidP="00815868">
            <w:pPr>
              <w:pStyle w:val="Tablehead"/>
              <w:rPr>
                <w:rFonts w:asciiTheme="minorHAnsi" w:eastAsia="SimSun" w:hAnsiTheme="minorHAnsi" w:cstheme="minorBidi"/>
                <w:lang w:val="es-ES"/>
              </w:rPr>
            </w:pPr>
            <w:r w:rsidRPr="00545B94">
              <w:rPr>
                <w:lang w:val="es-ES"/>
              </w:rPr>
              <w:t>Recomendación</w:t>
            </w:r>
          </w:p>
        </w:tc>
      </w:tr>
      <w:tr w:rsidR="00E639CE" w:rsidRPr="00545B94" w14:paraId="6B5812D5" w14:textId="77777777" w:rsidTr="000A004E">
        <w:trPr>
          <w:cantSplit/>
          <w:trHeight w:val="805"/>
          <w:jc w:val="center"/>
        </w:trPr>
        <w:tc>
          <w:tcPr>
            <w:tcW w:w="3906" w:type="dxa"/>
            <w:vAlign w:val="center"/>
          </w:tcPr>
          <w:p w14:paraId="0C5726E1" w14:textId="77777777" w:rsidR="00E639CE" w:rsidRPr="00815868" w:rsidRDefault="00E639CE" w:rsidP="006C382A">
            <w:pPr>
              <w:pStyle w:val="Tabletext"/>
              <w:jc w:val="center"/>
              <w:rPr>
                <w:rFonts w:asciiTheme="minorHAnsi" w:eastAsia="SimSun" w:hAnsiTheme="minorHAnsi" w:cs="Calibri"/>
                <w:b/>
                <w:bCs/>
                <w:iCs/>
                <w:lang w:val="es-ES"/>
              </w:rPr>
            </w:pPr>
            <w:r w:rsidRPr="00815868">
              <w:rPr>
                <w:b/>
                <w:bCs/>
                <w:lang w:val="es-ES"/>
              </w:rPr>
              <w:t>Instituto Africano de Centros de Innovación Tecnológica (AfriLabs)</w:t>
            </w:r>
          </w:p>
        </w:tc>
        <w:tc>
          <w:tcPr>
            <w:tcW w:w="1559" w:type="dxa"/>
            <w:vAlign w:val="center"/>
          </w:tcPr>
          <w:p w14:paraId="067B4BE0" w14:textId="77777777" w:rsidR="00E639CE" w:rsidRPr="00545B94" w:rsidRDefault="00E639CE" w:rsidP="00815868">
            <w:pPr>
              <w:pStyle w:val="Tabletext"/>
              <w:jc w:val="center"/>
              <w:rPr>
                <w:rFonts w:asciiTheme="minorHAnsi" w:eastAsia="SimSun" w:hAnsiTheme="minorHAnsi" w:cs="Calibri"/>
                <w:szCs w:val="24"/>
                <w:lang w:val="es-ES"/>
              </w:rPr>
            </w:pPr>
            <w:r w:rsidRPr="00545B94">
              <w:rPr>
                <w:lang w:val="es-ES"/>
              </w:rPr>
              <w:t>UIT-D</w:t>
            </w:r>
          </w:p>
        </w:tc>
        <w:tc>
          <w:tcPr>
            <w:tcW w:w="3325" w:type="dxa"/>
            <w:vAlign w:val="center"/>
          </w:tcPr>
          <w:p w14:paraId="431A8473" w14:textId="77777777" w:rsidR="00E639CE" w:rsidRPr="00545B94" w:rsidRDefault="00E639CE" w:rsidP="00815868">
            <w:pPr>
              <w:pStyle w:val="Tabletext"/>
              <w:jc w:val="center"/>
              <w:rPr>
                <w:rFonts w:asciiTheme="minorHAnsi" w:eastAsia="SimSun" w:hAnsiTheme="minorHAnsi" w:cs="Calibri"/>
                <w:szCs w:val="24"/>
                <w:lang w:val="es-ES"/>
              </w:rPr>
            </w:pPr>
            <w:r w:rsidRPr="00545B94">
              <w:rPr>
                <w:lang w:val="es-ES"/>
              </w:rPr>
              <w:t>Sí</w:t>
            </w:r>
          </w:p>
        </w:tc>
      </w:tr>
    </w:tbl>
    <w:p w14:paraId="2CD7542A" w14:textId="112EE9A3" w:rsidR="00E639CE" w:rsidRPr="00545B94" w:rsidRDefault="00E639CE" w:rsidP="00815868">
      <w:pPr>
        <w:rPr>
          <w:rFonts w:eastAsia="SimSun"/>
          <w:lang w:val="es-ES"/>
        </w:rPr>
      </w:pPr>
      <w:r w:rsidRPr="00545B94">
        <w:rPr>
          <w:lang w:val="es-ES"/>
        </w:rPr>
        <w:t>AfriLabs, fundada en 2011, es una organización de red que da soporte a más de 400 centros de innovación en 52 países africanos. Su misión consiste en alentar a los empresarios con gran potencial con el fin de estimular el crecimiento económico y el desarrollo social en África. La secretaría de AfriLabs se encuentra ubicada en Abuya (Nigeria), y dispone de 419</w:t>
      </w:r>
      <w:r w:rsidR="00815868">
        <w:rPr>
          <w:lang w:val="es-ES"/>
        </w:rPr>
        <w:t> </w:t>
      </w:r>
      <w:r w:rsidRPr="00545B94">
        <w:rPr>
          <w:lang w:val="es-ES"/>
        </w:rPr>
        <w:t>centros miembros operativos en 52 países africanos. Como organización regional con centros miembros, la Secretaría considera que esta entidad cumple los criterios establecidos por el Consejo para la exoneración de pago de la cuota de afiliación.</w:t>
      </w:r>
    </w:p>
    <w:p w14:paraId="5BC4A08E" w14:textId="77777777" w:rsidR="00E639CE" w:rsidRPr="00545B94" w:rsidRDefault="00E639CE" w:rsidP="00303C11">
      <w:pPr>
        <w:keepNext/>
        <w:keepLines/>
        <w:rPr>
          <w:rFonts w:asciiTheme="minorHAnsi" w:eastAsia="SimSun" w:hAnsiTheme="minorHAnsi" w:cs="Calibri"/>
          <w:lang w:val="es-ES"/>
        </w:rPr>
      </w:pPr>
      <w:r w:rsidRPr="00545B94">
        <w:rPr>
          <w:lang w:val="es-ES"/>
        </w:rPr>
        <w:lastRenderedPageBreak/>
        <w:t>2.2</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906"/>
        <w:gridCol w:w="1559"/>
        <w:gridCol w:w="3750"/>
      </w:tblGrid>
      <w:tr w:rsidR="00E639CE" w:rsidRPr="00545B94" w14:paraId="490F11D1" w14:textId="77777777" w:rsidTr="000A004E">
        <w:trPr>
          <w:cantSplit/>
          <w:jc w:val="center"/>
        </w:trPr>
        <w:tc>
          <w:tcPr>
            <w:tcW w:w="3906" w:type="dxa"/>
          </w:tcPr>
          <w:p w14:paraId="21504480" w14:textId="77777777" w:rsidR="00E639CE" w:rsidRPr="00815868" w:rsidRDefault="00E639CE" w:rsidP="00303C11">
            <w:pPr>
              <w:pStyle w:val="Tablehead"/>
              <w:keepNext/>
              <w:keepLines/>
              <w:rPr>
                <w:lang w:val="es-ES"/>
              </w:rPr>
            </w:pPr>
            <w:r w:rsidRPr="00815868">
              <w:rPr>
                <w:lang w:val="es-ES"/>
              </w:rPr>
              <w:t>Organización</w:t>
            </w:r>
          </w:p>
        </w:tc>
        <w:tc>
          <w:tcPr>
            <w:tcW w:w="1559" w:type="dxa"/>
          </w:tcPr>
          <w:p w14:paraId="1F609EF8" w14:textId="77777777" w:rsidR="00E639CE" w:rsidRPr="00815868" w:rsidRDefault="00E639CE" w:rsidP="00303C11">
            <w:pPr>
              <w:pStyle w:val="Tablehead"/>
              <w:keepNext/>
              <w:keepLines/>
              <w:rPr>
                <w:lang w:val="es-ES"/>
              </w:rPr>
            </w:pPr>
            <w:r w:rsidRPr="00815868">
              <w:rPr>
                <w:lang w:val="es-ES"/>
              </w:rPr>
              <w:t>Sector</w:t>
            </w:r>
          </w:p>
        </w:tc>
        <w:tc>
          <w:tcPr>
            <w:tcW w:w="3750" w:type="dxa"/>
          </w:tcPr>
          <w:p w14:paraId="3FEB830B" w14:textId="59A3BA49" w:rsidR="00E639CE" w:rsidRPr="00815868" w:rsidRDefault="00E639CE" w:rsidP="00303C11">
            <w:pPr>
              <w:pStyle w:val="Tablehead"/>
              <w:keepNext/>
              <w:keepLines/>
              <w:rPr>
                <w:lang w:val="es-ES"/>
              </w:rPr>
            </w:pPr>
            <w:r w:rsidRPr="00815868">
              <w:rPr>
                <w:lang w:val="es-ES"/>
              </w:rPr>
              <w:t>Recomendación</w:t>
            </w:r>
          </w:p>
        </w:tc>
      </w:tr>
      <w:tr w:rsidR="00E639CE" w:rsidRPr="00545B94" w14:paraId="717DAFAF" w14:textId="77777777" w:rsidTr="000A004E">
        <w:trPr>
          <w:cantSplit/>
          <w:jc w:val="center"/>
        </w:trPr>
        <w:tc>
          <w:tcPr>
            <w:tcW w:w="3906" w:type="dxa"/>
            <w:vAlign w:val="center"/>
          </w:tcPr>
          <w:p w14:paraId="622B4A14" w14:textId="77777777" w:rsidR="00E639CE" w:rsidRPr="00545B94" w:rsidRDefault="00E639CE" w:rsidP="006C382A">
            <w:pPr>
              <w:pStyle w:val="Tabletext"/>
              <w:keepNext/>
              <w:keepLines/>
              <w:jc w:val="center"/>
              <w:rPr>
                <w:rFonts w:asciiTheme="minorHAnsi" w:eastAsia="SimSun" w:hAnsiTheme="minorHAnsi" w:cstheme="minorBidi"/>
                <w:b/>
                <w:bCs/>
                <w:color w:val="000000" w:themeColor="text1"/>
                <w:lang w:val="es-ES"/>
              </w:rPr>
            </w:pPr>
            <w:r w:rsidRPr="00545B94">
              <w:rPr>
                <w:b/>
                <w:bCs/>
                <w:lang w:val="es-ES"/>
              </w:rPr>
              <w:t>Coalición Medioambiental para las Normas (ECOS)</w:t>
            </w:r>
          </w:p>
        </w:tc>
        <w:tc>
          <w:tcPr>
            <w:tcW w:w="1559" w:type="dxa"/>
            <w:vAlign w:val="center"/>
          </w:tcPr>
          <w:p w14:paraId="31C5C239" w14:textId="77777777" w:rsidR="00E639CE" w:rsidRPr="00815868" w:rsidRDefault="00E639CE" w:rsidP="00303C11">
            <w:pPr>
              <w:pStyle w:val="Tabletext"/>
              <w:keepNext/>
              <w:keepLines/>
              <w:jc w:val="center"/>
              <w:rPr>
                <w:lang w:val="es-ES"/>
              </w:rPr>
            </w:pPr>
            <w:r w:rsidRPr="00545B94">
              <w:rPr>
                <w:lang w:val="es-ES"/>
              </w:rPr>
              <w:t>UIT-D</w:t>
            </w:r>
          </w:p>
        </w:tc>
        <w:tc>
          <w:tcPr>
            <w:tcW w:w="3750" w:type="dxa"/>
            <w:vAlign w:val="center"/>
          </w:tcPr>
          <w:p w14:paraId="0AB8E033" w14:textId="77777777" w:rsidR="00E639CE" w:rsidRPr="00815868" w:rsidRDefault="00E639CE" w:rsidP="00303C11">
            <w:pPr>
              <w:pStyle w:val="Tabletext"/>
              <w:keepNext/>
              <w:keepLines/>
              <w:jc w:val="center"/>
              <w:rPr>
                <w:lang w:val="es-ES"/>
              </w:rPr>
            </w:pPr>
            <w:r w:rsidRPr="00545B94">
              <w:rPr>
                <w:lang w:val="es-ES"/>
              </w:rPr>
              <w:t>Sí</w:t>
            </w:r>
          </w:p>
        </w:tc>
      </w:tr>
    </w:tbl>
    <w:p w14:paraId="7DC9BE63" w14:textId="77777777" w:rsidR="00E639CE" w:rsidRPr="00545B94" w:rsidRDefault="00E639CE" w:rsidP="00815868">
      <w:pPr>
        <w:keepNext/>
        <w:keepLines/>
        <w:tabs>
          <w:tab w:val="clear" w:pos="567"/>
          <w:tab w:val="clear" w:pos="1134"/>
          <w:tab w:val="clear" w:pos="1701"/>
          <w:tab w:val="clear" w:pos="2268"/>
          <w:tab w:val="clear" w:pos="2835"/>
        </w:tabs>
        <w:overflowPunct/>
        <w:autoSpaceDE/>
        <w:autoSpaceDN/>
        <w:adjustRightInd/>
        <w:textAlignment w:val="auto"/>
        <w:rPr>
          <w:rFonts w:asciiTheme="minorHAnsi" w:eastAsia="SimSun" w:hAnsiTheme="minorHAnsi" w:cstheme="minorBidi"/>
          <w:color w:val="000000" w:themeColor="text1"/>
          <w:lang w:val="es-ES"/>
        </w:rPr>
      </w:pPr>
      <w:r w:rsidRPr="00545B94">
        <w:rPr>
          <w:lang w:val="es-ES"/>
        </w:rPr>
        <w:t>Fundada en 2001, la Coalición Medioambiental para las Normas (ECOS) es una ONG internacional con una red de miembros y expertos que abogan por unas normas técnicas, unas políticas y unas leyes respetuosas con el medio ambiente. ECOS trabaja por un sistema de normalización más inclusivo, abierto y transparente a nivel internacional, europeo y nacional, al tiempo que asegura una utilización adecuada de las normas como soporte de las legislaciones y las políticas medioambientales. Esta organización es una entidad exenta del UIT-T. Como organización internacional con ONG miembros, la Secretaría considera que esta entidad cumple los criterios establecidos por el Consejo para la exoneración de pago de la cuota de afiliación.</w:t>
      </w:r>
    </w:p>
    <w:p w14:paraId="3F99D8DF" w14:textId="77777777" w:rsidR="00E639CE" w:rsidRPr="00545B94" w:rsidRDefault="00E639CE" w:rsidP="00815868">
      <w:pPr>
        <w:rPr>
          <w:rFonts w:asciiTheme="minorHAnsi" w:eastAsia="SimSun" w:hAnsiTheme="minorHAnsi" w:cs="Calibri"/>
          <w:lang w:val="es-ES"/>
        </w:rPr>
      </w:pPr>
      <w:r w:rsidRPr="00545B94">
        <w:rPr>
          <w:lang w:val="es-ES"/>
        </w:rPr>
        <w:t>2.3</w:t>
      </w:r>
      <w:bookmarkStart w:id="2" w:name="_Hlk106608884"/>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E639CE" w:rsidRPr="00545B94" w14:paraId="61C3B44C" w14:textId="77777777" w:rsidTr="000A004E">
        <w:trPr>
          <w:cantSplit/>
          <w:jc w:val="center"/>
        </w:trPr>
        <w:tc>
          <w:tcPr>
            <w:tcW w:w="4331" w:type="dxa"/>
          </w:tcPr>
          <w:p w14:paraId="0C21B510" w14:textId="77777777" w:rsidR="00E639CE" w:rsidRPr="00815868" w:rsidRDefault="00E639CE" w:rsidP="00815868">
            <w:pPr>
              <w:pStyle w:val="Tablehead"/>
              <w:rPr>
                <w:lang w:val="es-ES"/>
              </w:rPr>
            </w:pPr>
            <w:r w:rsidRPr="00815868">
              <w:rPr>
                <w:lang w:val="es-ES"/>
              </w:rPr>
              <w:t>Organización</w:t>
            </w:r>
          </w:p>
        </w:tc>
        <w:tc>
          <w:tcPr>
            <w:tcW w:w="1559" w:type="dxa"/>
          </w:tcPr>
          <w:p w14:paraId="042BD652" w14:textId="77777777" w:rsidR="00E639CE" w:rsidRPr="00815868" w:rsidRDefault="00E639CE" w:rsidP="00815868">
            <w:pPr>
              <w:pStyle w:val="Tablehead"/>
              <w:rPr>
                <w:lang w:val="es-ES"/>
              </w:rPr>
            </w:pPr>
            <w:r w:rsidRPr="00815868">
              <w:rPr>
                <w:lang w:val="es-ES"/>
              </w:rPr>
              <w:t>Sector</w:t>
            </w:r>
          </w:p>
        </w:tc>
        <w:tc>
          <w:tcPr>
            <w:tcW w:w="3325" w:type="dxa"/>
          </w:tcPr>
          <w:p w14:paraId="770DA6C4" w14:textId="091DDC93" w:rsidR="00E639CE" w:rsidRPr="00815868" w:rsidRDefault="00E639CE" w:rsidP="00815868">
            <w:pPr>
              <w:pStyle w:val="Tablehead"/>
              <w:rPr>
                <w:lang w:val="es-ES"/>
              </w:rPr>
            </w:pPr>
            <w:r w:rsidRPr="00815868">
              <w:rPr>
                <w:lang w:val="es-ES"/>
              </w:rPr>
              <w:t>Recomendación</w:t>
            </w:r>
          </w:p>
        </w:tc>
      </w:tr>
      <w:tr w:rsidR="00E639CE" w:rsidRPr="00545B94" w14:paraId="31F36EC1" w14:textId="77777777" w:rsidTr="000A004E">
        <w:trPr>
          <w:cantSplit/>
          <w:trHeight w:val="915"/>
          <w:jc w:val="center"/>
        </w:trPr>
        <w:tc>
          <w:tcPr>
            <w:tcW w:w="4331" w:type="dxa"/>
            <w:vAlign w:val="center"/>
          </w:tcPr>
          <w:p w14:paraId="2BE8B4A2" w14:textId="77777777" w:rsidR="00E639CE" w:rsidRPr="00545B94" w:rsidRDefault="00E639CE" w:rsidP="006C382A">
            <w:pPr>
              <w:pStyle w:val="Tabletext"/>
              <w:jc w:val="center"/>
              <w:rPr>
                <w:rFonts w:asciiTheme="minorHAnsi" w:eastAsia="SimSun" w:hAnsiTheme="minorHAnsi" w:cstheme="minorBidi"/>
                <w:b/>
                <w:bCs/>
                <w:lang w:val="es-ES"/>
              </w:rPr>
            </w:pPr>
            <w:r w:rsidRPr="00545B94">
              <w:rPr>
                <w:b/>
                <w:bCs/>
                <w:lang w:val="es-ES"/>
              </w:rPr>
              <w:t>Alianza Europea de Pymes Digitales</w:t>
            </w:r>
          </w:p>
        </w:tc>
        <w:tc>
          <w:tcPr>
            <w:tcW w:w="1559" w:type="dxa"/>
            <w:vAlign w:val="center"/>
          </w:tcPr>
          <w:p w14:paraId="19666958" w14:textId="77777777" w:rsidR="00E639CE" w:rsidRPr="00815868" w:rsidRDefault="00E639CE" w:rsidP="00815868">
            <w:pPr>
              <w:pStyle w:val="Tabletext"/>
              <w:jc w:val="center"/>
              <w:rPr>
                <w:lang w:val="es-ES"/>
              </w:rPr>
            </w:pPr>
            <w:r w:rsidRPr="00545B94">
              <w:rPr>
                <w:lang w:val="es-ES"/>
              </w:rPr>
              <w:t>UIT-T</w:t>
            </w:r>
          </w:p>
        </w:tc>
        <w:tc>
          <w:tcPr>
            <w:tcW w:w="3325" w:type="dxa"/>
            <w:vAlign w:val="center"/>
          </w:tcPr>
          <w:p w14:paraId="08E41B2E" w14:textId="77777777" w:rsidR="00E639CE" w:rsidRPr="00815868" w:rsidRDefault="00E639CE" w:rsidP="00815868">
            <w:pPr>
              <w:pStyle w:val="Tabletext"/>
              <w:jc w:val="center"/>
              <w:rPr>
                <w:lang w:val="es-ES"/>
              </w:rPr>
            </w:pPr>
            <w:r w:rsidRPr="00545B94">
              <w:rPr>
                <w:lang w:val="es-ES"/>
              </w:rPr>
              <w:t>Sí</w:t>
            </w:r>
          </w:p>
        </w:tc>
      </w:tr>
    </w:tbl>
    <w:bookmarkEnd w:id="2"/>
    <w:p w14:paraId="62ECC10C" w14:textId="016D2409" w:rsidR="00E639CE" w:rsidRPr="00545B94" w:rsidRDefault="00E639CE" w:rsidP="00815868">
      <w:pPr>
        <w:rPr>
          <w:rFonts w:asciiTheme="minorHAnsi" w:eastAsia="SimSun" w:hAnsiTheme="minorHAnsi" w:cstheme="minorBidi"/>
          <w:color w:val="000000" w:themeColor="text1"/>
          <w:lang w:val="es-ES"/>
        </w:rPr>
      </w:pPr>
      <w:r w:rsidRPr="00545B94">
        <w:rPr>
          <w:lang w:val="es-ES"/>
        </w:rPr>
        <w:t>La Alianza Europea de Pymes Digitales representa a más de 45</w:t>
      </w:r>
      <w:r w:rsidR="00815868">
        <w:rPr>
          <w:lang w:val="es-ES"/>
        </w:rPr>
        <w:t> </w:t>
      </w:r>
      <w:r w:rsidRPr="00545B94">
        <w:rPr>
          <w:lang w:val="es-ES"/>
        </w:rPr>
        <w:t>000 pequeñas y medianas empresas de TIC en Europa. La Alianza es una iniciativa de colaboración de 30 asociaciones de pymes nacionales y regionales de los Estados Miembros de la Unión Europea y los países vecinos. Su principal objetivo consiste en cultivar un entorno digital adecuado para las pymes, con un enfoque estratégico en la normalización. Al participar activamente en diversos órganos de la Comisión Europea y proyectos de normas de TIC financiados por la UE, la Alianza también da soporte a una amplia red de expertos de TIC procedentes de pymes de diferentes organismos de normalización. Como organización regional con una red de miembros, la Secretaría considera que esta entidad cumple los criterios establecidos por el Consejo para la exoneración de pago de la cuota de afiliación.</w:t>
      </w:r>
    </w:p>
    <w:p w14:paraId="2FB6C885" w14:textId="77777777" w:rsidR="00E639CE" w:rsidRPr="00545B94" w:rsidRDefault="00E639CE" w:rsidP="00303C11">
      <w:pPr>
        <w:rPr>
          <w:rFonts w:asciiTheme="minorHAnsi" w:eastAsia="SimSun" w:hAnsiTheme="minorHAnsi" w:cs="Calibri"/>
          <w:lang w:val="es-ES"/>
        </w:rPr>
      </w:pPr>
      <w:r w:rsidRPr="00545B94">
        <w:rPr>
          <w:lang w:val="es-ES"/>
        </w:rPr>
        <w:t>2.4</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E639CE" w:rsidRPr="00545B94" w14:paraId="74F18D72" w14:textId="77777777" w:rsidTr="000A004E">
        <w:trPr>
          <w:cantSplit/>
          <w:jc w:val="center"/>
        </w:trPr>
        <w:tc>
          <w:tcPr>
            <w:tcW w:w="4331" w:type="dxa"/>
          </w:tcPr>
          <w:p w14:paraId="12376405" w14:textId="77777777" w:rsidR="00E639CE" w:rsidRPr="00303C11" w:rsidRDefault="00E639CE" w:rsidP="00303C11">
            <w:pPr>
              <w:pStyle w:val="Tablehead"/>
              <w:rPr>
                <w:lang w:val="es-ES"/>
              </w:rPr>
            </w:pPr>
            <w:r w:rsidRPr="00303C11">
              <w:rPr>
                <w:lang w:val="es-ES"/>
              </w:rPr>
              <w:t>Organización</w:t>
            </w:r>
          </w:p>
        </w:tc>
        <w:tc>
          <w:tcPr>
            <w:tcW w:w="1559" w:type="dxa"/>
          </w:tcPr>
          <w:p w14:paraId="7204D527" w14:textId="77777777" w:rsidR="00E639CE" w:rsidRPr="00303C11" w:rsidRDefault="00E639CE" w:rsidP="00303C11">
            <w:pPr>
              <w:pStyle w:val="Tablehead"/>
              <w:rPr>
                <w:lang w:val="es-ES"/>
              </w:rPr>
            </w:pPr>
            <w:r w:rsidRPr="00303C11">
              <w:rPr>
                <w:lang w:val="es-ES"/>
              </w:rPr>
              <w:t>Sector</w:t>
            </w:r>
          </w:p>
        </w:tc>
        <w:tc>
          <w:tcPr>
            <w:tcW w:w="3325" w:type="dxa"/>
          </w:tcPr>
          <w:p w14:paraId="3B8EEB9C" w14:textId="19486380" w:rsidR="00E639CE" w:rsidRPr="00303C11" w:rsidRDefault="00E639CE" w:rsidP="00303C11">
            <w:pPr>
              <w:pStyle w:val="Tablehead"/>
              <w:rPr>
                <w:lang w:val="es-ES"/>
              </w:rPr>
            </w:pPr>
            <w:r w:rsidRPr="00303C11">
              <w:rPr>
                <w:lang w:val="es-ES"/>
              </w:rPr>
              <w:t>Recomendación</w:t>
            </w:r>
          </w:p>
        </w:tc>
      </w:tr>
      <w:tr w:rsidR="00E639CE" w:rsidRPr="00545B94" w14:paraId="4B582F00" w14:textId="77777777" w:rsidTr="000A004E">
        <w:trPr>
          <w:cantSplit/>
          <w:trHeight w:val="915"/>
          <w:jc w:val="center"/>
        </w:trPr>
        <w:tc>
          <w:tcPr>
            <w:tcW w:w="4331" w:type="dxa"/>
            <w:vAlign w:val="center"/>
          </w:tcPr>
          <w:p w14:paraId="71CC3D15" w14:textId="77777777" w:rsidR="00E639CE" w:rsidRPr="00545B94" w:rsidRDefault="00E639CE" w:rsidP="006C382A">
            <w:pPr>
              <w:pStyle w:val="Tabletext"/>
              <w:jc w:val="center"/>
              <w:rPr>
                <w:rFonts w:asciiTheme="minorHAnsi" w:eastAsia="SimSun" w:hAnsiTheme="minorHAnsi" w:cstheme="minorBidi"/>
                <w:b/>
                <w:bCs/>
                <w:lang w:val="es-ES"/>
              </w:rPr>
            </w:pPr>
            <w:r w:rsidRPr="00545B94">
              <w:rPr>
                <w:b/>
                <w:bCs/>
                <w:lang w:val="es-ES"/>
              </w:rPr>
              <w:t>House of Africa</w:t>
            </w:r>
          </w:p>
        </w:tc>
        <w:tc>
          <w:tcPr>
            <w:tcW w:w="1559" w:type="dxa"/>
            <w:vAlign w:val="center"/>
          </w:tcPr>
          <w:p w14:paraId="43503368" w14:textId="77777777" w:rsidR="00E639CE" w:rsidRPr="00303C11" w:rsidRDefault="00E639CE" w:rsidP="00303C11">
            <w:pPr>
              <w:pStyle w:val="Tabletext"/>
              <w:jc w:val="center"/>
              <w:rPr>
                <w:lang w:val="es-ES"/>
              </w:rPr>
            </w:pPr>
            <w:r w:rsidRPr="00545B94">
              <w:rPr>
                <w:lang w:val="es-ES"/>
              </w:rPr>
              <w:t>UIT-D</w:t>
            </w:r>
          </w:p>
        </w:tc>
        <w:tc>
          <w:tcPr>
            <w:tcW w:w="3325" w:type="dxa"/>
            <w:vAlign w:val="center"/>
          </w:tcPr>
          <w:p w14:paraId="76D10275" w14:textId="77777777" w:rsidR="00E639CE" w:rsidRPr="00303C11" w:rsidRDefault="00E639CE" w:rsidP="00303C11">
            <w:pPr>
              <w:pStyle w:val="Tabletext"/>
              <w:jc w:val="center"/>
              <w:rPr>
                <w:lang w:val="es-ES"/>
              </w:rPr>
            </w:pPr>
            <w:r w:rsidRPr="00545B94">
              <w:rPr>
                <w:lang w:val="es-ES"/>
              </w:rPr>
              <w:t>No</w:t>
            </w:r>
          </w:p>
        </w:tc>
      </w:tr>
    </w:tbl>
    <w:p w14:paraId="110FED71" w14:textId="77777777" w:rsidR="00E639CE" w:rsidRPr="00545B94" w:rsidRDefault="00E639CE" w:rsidP="00303C11">
      <w:pPr>
        <w:rPr>
          <w:rFonts w:asciiTheme="minorHAnsi" w:eastAsia="SimSun" w:hAnsiTheme="minorHAnsi" w:cstheme="minorBidi"/>
          <w:lang w:val="es-ES"/>
        </w:rPr>
      </w:pPr>
      <w:r w:rsidRPr="00545B94">
        <w:rPr>
          <w:lang w:val="es-ES"/>
        </w:rPr>
        <w:t xml:space="preserve">House of Africa, con sede en N’Djamena (Chad), es una organización panafricana creada en 2017. La organización se centra en el fomento de las TIC en África. El objetivo de House of Africa es fomentar el desarrollo en las esferas de las TIC y la gobernanza de Internet en África, contribuir a los Objetivos de Desarrollo Sostenible de las Naciones Unidas y apoyar el cumplimiento de la Agenda 2063 de la Unión Africana. La organización también proporciona una plataforma de colaboración para los jóvenes, las mujeres y los niños africanos, y está comprometida con la promoción de la educación en materia de derechos humanos. Sobre la base de la información de la que dispone, la Secretaría considera que esta entidad no </w:t>
      </w:r>
      <w:r w:rsidRPr="00545B94">
        <w:rPr>
          <w:lang w:val="es-ES"/>
        </w:rPr>
        <w:lastRenderedPageBreak/>
        <w:t>cumple los criterios de afiliación establecidos por el Consejo para la exoneración de pago de la cuota.</w:t>
      </w:r>
    </w:p>
    <w:p w14:paraId="2B14C4BF" w14:textId="77777777" w:rsidR="00E639CE" w:rsidRPr="00545B94" w:rsidRDefault="00E639CE" w:rsidP="00303C11">
      <w:pPr>
        <w:rPr>
          <w:rFonts w:asciiTheme="minorHAnsi" w:eastAsia="SimSun" w:hAnsiTheme="minorHAnsi" w:cstheme="minorBidi"/>
          <w:lang w:val="es-ES"/>
        </w:rPr>
      </w:pPr>
      <w:r w:rsidRPr="00545B94">
        <w:rPr>
          <w:lang w:val="es-ES"/>
        </w:rPr>
        <w:t>2.5</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E639CE" w:rsidRPr="00545B94" w14:paraId="7F28E8DC" w14:textId="77777777" w:rsidTr="000A004E">
        <w:trPr>
          <w:cantSplit/>
          <w:jc w:val="center"/>
        </w:trPr>
        <w:tc>
          <w:tcPr>
            <w:tcW w:w="4331" w:type="dxa"/>
          </w:tcPr>
          <w:p w14:paraId="56CC8BCF" w14:textId="77777777" w:rsidR="00E639CE" w:rsidRPr="00303C11" w:rsidRDefault="00E639CE" w:rsidP="00303C11">
            <w:pPr>
              <w:pStyle w:val="Tablehead"/>
              <w:rPr>
                <w:lang w:val="es-ES"/>
              </w:rPr>
            </w:pPr>
            <w:r w:rsidRPr="00303C11">
              <w:rPr>
                <w:lang w:val="es-ES"/>
              </w:rPr>
              <w:t>Organización</w:t>
            </w:r>
          </w:p>
        </w:tc>
        <w:tc>
          <w:tcPr>
            <w:tcW w:w="1559" w:type="dxa"/>
          </w:tcPr>
          <w:p w14:paraId="001C556D" w14:textId="77777777" w:rsidR="00E639CE" w:rsidRPr="00303C11" w:rsidRDefault="00E639CE" w:rsidP="00303C11">
            <w:pPr>
              <w:pStyle w:val="Tablehead"/>
              <w:rPr>
                <w:lang w:val="es-ES"/>
              </w:rPr>
            </w:pPr>
            <w:r w:rsidRPr="00303C11">
              <w:rPr>
                <w:lang w:val="es-ES"/>
              </w:rPr>
              <w:t>Sector</w:t>
            </w:r>
          </w:p>
        </w:tc>
        <w:tc>
          <w:tcPr>
            <w:tcW w:w="3325" w:type="dxa"/>
          </w:tcPr>
          <w:p w14:paraId="2F5C334D" w14:textId="02F0B0EF" w:rsidR="00E639CE" w:rsidRPr="00303C11" w:rsidRDefault="00E639CE" w:rsidP="00303C11">
            <w:pPr>
              <w:pStyle w:val="Tablehead"/>
              <w:rPr>
                <w:lang w:val="es-ES"/>
              </w:rPr>
            </w:pPr>
            <w:r w:rsidRPr="00303C11">
              <w:rPr>
                <w:lang w:val="es-ES"/>
              </w:rPr>
              <w:t>Recomendación</w:t>
            </w:r>
          </w:p>
        </w:tc>
      </w:tr>
      <w:tr w:rsidR="00E639CE" w:rsidRPr="00545B94" w14:paraId="7CDFD310" w14:textId="77777777" w:rsidTr="000A004E">
        <w:trPr>
          <w:cantSplit/>
          <w:jc w:val="center"/>
        </w:trPr>
        <w:tc>
          <w:tcPr>
            <w:tcW w:w="4331" w:type="dxa"/>
            <w:vAlign w:val="center"/>
          </w:tcPr>
          <w:p w14:paraId="5F7A4298" w14:textId="77777777" w:rsidR="00E639CE" w:rsidRPr="000D45E2" w:rsidRDefault="00E639CE" w:rsidP="006C382A">
            <w:pPr>
              <w:pStyle w:val="Tabletext"/>
              <w:jc w:val="center"/>
              <w:rPr>
                <w:rFonts w:asciiTheme="minorHAnsi" w:eastAsia="SimSun" w:hAnsiTheme="minorHAnsi" w:cstheme="minorHAnsi"/>
                <w:b/>
                <w:iCs/>
                <w:szCs w:val="24"/>
                <w:lang w:val="en-GB"/>
              </w:rPr>
            </w:pPr>
            <w:r w:rsidRPr="00303C11">
              <w:rPr>
                <w:b/>
                <w:bCs/>
                <w:lang w:val="es-ES"/>
              </w:rPr>
              <w:t>Human Rights and Forest Brain Africa (HURIFBA)</w:t>
            </w:r>
          </w:p>
        </w:tc>
        <w:tc>
          <w:tcPr>
            <w:tcW w:w="1559" w:type="dxa"/>
            <w:vAlign w:val="center"/>
          </w:tcPr>
          <w:p w14:paraId="7059B907" w14:textId="77777777" w:rsidR="00E639CE" w:rsidRPr="00303C11" w:rsidRDefault="00E639CE" w:rsidP="00303C11">
            <w:pPr>
              <w:pStyle w:val="Tabletext"/>
              <w:jc w:val="center"/>
              <w:rPr>
                <w:lang w:val="es-ES"/>
              </w:rPr>
            </w:pPr>
            <w:r w:rsidRPr="00545B94">
              <w:rPr>
                <w:lang w:val="es-ES"/>
              </w:rPr>
              <w:t>UIT-R</w:t>
            </w:r>
          </w:p>
        </w:tc>
        <w:tc>
          <w:tcPr>
            <w:tcW w:w="3325" w:type="dxa"/>
            <w:vAlign w:val="center"/>
          </w:tcPr>
          <w:p w14:paraId="3D1C2C64" w14:textId="77777777" w:rsidR="00E639CE" w:rsidRPr="00303C11" w:rsidRDefault="00E639CE" w:rsidP="00303C11">
            <w:pPr>
              <w:pStyle w:val="Tabletext"/>
              <w:jc w:val="center"/>
              <w:rPr>
                <w:lang w:val="es-ES"/>
              </w:rPr>
            </w:pPr>
            <w:r w:rsidRPr="00545B94">
              <w:rPr>
                <w:lang w:val="es-ES"/>
              </w:rPr>
              <w:t>No</w:t>
            </w:r>
          </w:p>
        </w:tc>
      </w:tr>
    </w:tbl>
    <w:p w14:paraId="31B10BBE" w14:textId="77777777" w:rsidR="00E639CE" w:rsidRPr="00545B94" w:rsidRDefault="00E639CE" w:rsidP="00193ADF">
      <w:pPr>
        <w:rPr>
          <w:rFonts w:asciiTheme="minorHAnsi" w:eastAsia="SimSun" w:hAnsiTheme="minorHAnsi" w:cstheme="minorBidi"/>
          <w:lang w:val="es-ES"/>
        </w:rPr>
      </w:pPr>
      <w:r w:rsidRPr="00545B94">
        <w:rPr>
          <w:lang w:val="es-ES"/>
        </w:rPr>
        <w:t>HURIFBA es una organización sin ánimo de lucro basada en Camerún. Su misión consiste en trabajar a favor del desarrollo integral de los pobres y mejorar sus condiciones de vida en los planos social, sanitario, económico y ambiental. HURIFBA participa activamente en la lucha contra problemas sociales como la desertificación, la pobreza y la promoción del desarrollo sostenible. La organización procura asociar a intelectuales, artistas e innovadores sociales en su estrategia y sus acciones, promoviendo una práctica socioeconómica regenerada y basada en la solidaridad. Sobre la base de la información de la que dispone, la Secretaría considera que esta entidad no cumple los criterios de afiliación establecidos por el Consejo para la exoneración de pago de la cuota.</w:t>
      </w:r>
    </w:p>
    <w:p w14:paraId="701C4679" w14:textId="77777777" w:rsidR="00E639CE" w:rsidRPr="00545B94" w:rsidRDefault="00E639CE" w:rsidP="00303C11">
      <w:pPr>
        <w:rPr>
          <w:rFonts w:asciiTheme="minorHAnsi" w:eastAsia="SimSun" w:hAnsiTheme="minorHAnsi" w:cs="Calibri"/>
          <w:lang w:val="es-ES"/>
        </w:rPr>
      </w:pPr>
      <w:r w:rsidRPr="00545B94">
        <w:rPr>
          <w:lang w:val="es-ES"/>
        </w:rPr>
        <w:t>2.6</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E639CE" w:rsidRPr="00545B94" w14:paraId="3EC8F13B" w14:textId="77777777" w:rsidTr="000A004E">
        <w:trPr>
          <w:cantSplit/>
          <w:jc w:val="center"/>
        </w:trPr>
        <w:tc>
          <w:tcPr>
            <w:tcW w:w="4331" w:type="dxa"/>
          </w:tcPr>
          <w:p w14:paraId="07C8709E" w14:textId="77777777" w:rsidR="00E639CE" w:rsidRPr="00303C11" w:rsidRDefault="00E639CE" w:rsidP="00303C11">
            <w:pPr>
              <w:pStyle w:val="Tablehead"/>
              <w:rPr>
                <w:lang w:val="es-ES"/>
              </w:rPr>
            </w:pPr>
            <w:r w:rsidRPr="00303C11">
              <w:rPr>
                <w:lang w:val="es-ES"/>
              </w:rPr>
              <w:t>Organización</w:t>
            </w:r>
          </w:p>
        </w:tc>
        <w:tc>
          <w:tcPr>
            <w:tcW w:w="1559" w:type="dxa"/>
          </w:tcPr>
          <w:p w14:paraId="2F951D2A" w14:textId="77777777" w:rsidR="00E639CE" w:rsidRPr="00303C11" w:rsidRDefault="00E639CE" w:rsidP="00303C11">
            <w:pPr>
              <w:pStyle w:val="Tablehead"/>
              <w:rPr>
                <w:lang w:val="es-ES"/>
              </w:rPr>
            </w:pPr>
            <w:r w:rsidRPr="00303C11">
              <w:rPr>
                <w:lang w:val="es-ES"/>
              </w:rPr>
              <w:t>Sector</w:t>
            </w:r>
          </w:p>
        </w:tc>
        <w:tc>
          <w:tcPr>
            <w:tcW w:w="3325" w:type="dxa"/>
          </w:tcPr>
          <w:p w14:paraId="5B9002D1" w14:textId="66C084C8" w:rsidR="00E639CE" w:rsidRPr="00303C11" w:rsidRDefault="00E639CE" w:rsidP="00303C11">
            <w:pPr>
              <w:pStyle w:val="Tablehead"/>
              <w:rPr>
                <w:lang w:val="es-ES"/>
              </w:rPr>
            </w:pPr>
            <w:r w:rsidRPr="00303C11">
              <w:rPr>
                <w:lang w:val="es-ES"/>
              </w:rPr>
              <w:t>Recomendación</w:t>
            </w:r>
          </w:p>
        </w:tc>
      </w:tr>
      <w:tr w:rsidR="00E639CE" w:rsidRPr="00545B94" w14:paraId="276A772C" w14:textId="77777777" w:rsidTr="000A004E">
        <w:trPr>
          <w:cantSplit/>
          <w:jc w:val="center"/>
        </w:trPr>
        <w:tc>
          <w:tcPr>
            <w:tcW w:w="4331" w:type="dxa"/>
            <w:vAlign w:val="center"/>
          </w:tcPr>
          <w:p w14:paraId="3DDB2E17" w14:textId="77777777" w:rsidR="00E639CE" w:rsidRPr="00545B94" w:rsidRDefault="00E639CE" w:rsidP="006C382A">
            <w:pPr>
              <w:pStyle w:val="Tabletext"/>
              <w:jc w:val="center"/>
              <w:rPr>
                <w:rFonts w:asciiTheme="minorHAnsi" w:eastAsia="SimSun" w:hAnsiTheme="minorHAnsi" w:cstheme="minorHAnsi"/>
                <w:b/>
                <w:iCs/>
                <w:szCs w:val="24"/>
                <w:lang w:val="es-ES"/>
              </w:rPr>
            </w:pPr>
            <w:r w:rsidRPr="00303C11">
              <w:rPr>
                <w:b/>
                <w:bCs/>
                <w:lang w:val="es-ES"/>
              </w:rPr>
              <w:t>Grupo Internacional de Estudios para los Países en</w:t>
            </w:r>
            <w:r w:rsidRPr="00545B94">
              <w:rPr>
                <w:b/>
                <w:bCs/>
                <w:lang w:val="es-ES"/>
              </w:rPr>
              <w:t xml:space="preserve"> Desarrollo Sin Litoral (ITTLLDC)</w:t>
            </w:r>
          </w:p>
        </w:tc>
        <w:tc>
          <w:tcPr>
            <w:tcW w:w="1559" w:type="dxa"/>
            <w:vAlign w:val="center"/>
          </w:tcPr>
          <w:p w14:paraId="1C83F10A" w14:textId="77777777" w:rsidR="00E639CE" w:rsidRPr="00303C11" w:rsidRDefault="00E639CE" w:rsidP="00303C11">
            <w:pPr>
              <w:pStyle w:val="Tabletext"/>
              <w:jc w:val="center"/>
              <w:rPr>
                <w:lang w:val="es-ES"/>
              </w:rPr>
            </w:pPr>
            <w:r w:rsidRPr="00545B94">
              <w:rPr>
                <w:lang w:val="es-ES"/>
              </w:rPr>
              <w:t>UIT-D</w:t>
            </w:r>
          </w:p>
        </w:tc>
        <w:tc>
          <w:tcPr>
            <w:tcW w:w="3325" w:type="dxa"/>
            <w:vAlign w:val="center"/>
          </w:tcPr>
          <w:p w14:paraId="0CC2C774" w14:textId="77777777" w:rsidR="00E639CE" w:rsidRPr="00303C11" w:rsidRDefault="00E639CE" w:rsidP="00303C11">
            <w:pPr>
              <w:pStyle w:val="Tabletext"/>
              <w:jc w:val="center"/>
              <w:rPr>
                <w:lang w:val="es-ES"/>
              </w:rPr>
            </w:pPr>
            <w:r w:rsidRPr="00545B94">
              <w:rPr>
                <w:lang w:val="es-ES"/>
              </w:rPr>
              <w:t>Sí</w:t>
            </w:r>
          </w:p>
        </w:tc>
      </w:tr>
    </w:tbl>
    <w:p w14:paraId="3A6A9825" w14:textId="77777777" w:rsidR="00E639CE" w:rsidRPr="00545B94" w:rsidRDefault="00E639CE" w:rsidP="00193ADF">
      <w:pPr>
        <w:rPr>
          <w:rFonts w:asciiTheme="minorHAnsi" w:eastAsia="SimSun" w:hAnsiTheme="minorHAnsi" w:cs="Calibri"/>
          <w:lang w:val="es-ES"/>
        </w:rPr>
      </w:pPr>
      <w:bookmarkStart w:id="3" w:name="_Hlk129002000"/>
      <w:r w:rsidRPr="00545B94">
        <w:rPr>
          <w:lang w:val="es-ES"/>
        </w:rPr>
        <w:t>El Grupo Internacional de Estudios para los Países en Desarrollo Sin Litoral (ITTLLDC) trabaja para hacer frente a las necesidades y desafíos específicos de los países en desarrollo sin litoral (PDSL). Su enfoque principal está en consonancia con la aplicación del Programa de Acción de Viena, en apoyo a iniciativas para mejorar el transporte, la infraestructura y la conectividad por aire de los PDSL. La organización lleva a cabo investigaciones y prepara notas de políticas sobre cuestiones socioeconómicas relativas a los PDSL, lo que fortalece su capacidad para ayudar a estos países a superar sus desafíos específicos. Como organización intergubernamental que representa a los países en desarrollo sin litoral, la Secretaría considera que esta entidad cumple los criterios establecidos por el Consejo para la exoneración de pago de la cuota de afiliación.</w:t>
      </w:r>
    </w:p>
    <w:p w14:paraId="265B9005" w14:textId="77777777" w:rsidR="00E639CE" w:rsidRPr="00545B94" w:rsidRDefault="00E639CE" w:rsidP="00193ADF">
      <w:pPr>
        <w:rPr>
          <w:rFonts w:asciiTheme="minorHAnsi" w:eastAsia="SimSun" w:hAnsiTheme="minorHAnsi" w:cs="Calibri"/>
          <w:lang w:val="es-ES"/>
        </w:rPr>
      </w:pPr>
      <w:r w:rsidRPr="00545B94">
        <w:rPr>
          <w:lang w:val="es-ES"/>
        </w:rPr>
        <w:t>2.7</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E639CE" w:rsidRPr="00545B94" w14:paraId="47E92E39" w14:textId="77777777" w:rsidTr="000A004E">
        <w:trPr>
          <w:cantSplit/>
          <w:jc w:val="center"/>
        </w:trPr>
        <w:tc>
          <w:tcPr>
            <w:tcW w:w="4331" w:type="dxa"/>
          </w:tcPr>
          <w:p w14:paraId="21B0DBB9" w14:textId="77777777" w:rsidR="00E639CE" w:rsidRPr="00303C11" w:rsidRDefault="00E639CE" w:rsidP="00303C11">
            <w:pPr>
              <w:pStyle w:val="Tablehead"/>
              <w:rPr>
                <w:lang w:val="es-ES"/>
              </w:rPr>
            </w:pPr>
            <w:r w:rsidRPr="00303C11">
              <w:rPr>
                <w:lang w:val="es-ES"/>
              </w:rPr>
              <w:t>Organización</w:t>
            </w:r>
          </w:p>
        </w:tc>
        <w:tc>
          <w:tcPr>
            <w:tcW w:w="1559" w:type="dxa"/>
          </w:tcPr>
          <w:p w14:paraId="18E9FBC3" w14:textId="77777777" w:rsidR="00E639CE" w:rsidRPr="00303C11" w:rsidRDefault="00E639CE" w:rsidP="00303C11">
            <w:pPr>
              <w:pStyle w:val="Tablehead"/>
              <w:rPr>
                <w:lang w:val="es-ES"/>
              </w:rPr>
            </w:pPr>
            <w:r w:rsidRPr="00303C11">
              <w:rPr>
                <w:lang w:val="es-ES"/>
              </w:rPr>
              <w:t>Sector</w:t>
            </w:r>
          </w:p>
        </w:tc>
        <w:tc>
          <w:tcPr>
            <w:tcW w:w="3325" w:type="dxa"/>
          </w:tcPr>
          <w:p w14:paraId="4532C62B" w14:textId="02B2E333" w:rsidR="00E639CE" w:rsidRPr="00303C11" w:rsidRDefault="00E639CE" w:rsidP="00303C11">
            <w:pPr>
              <w:pStyle w:val="Tablehead"/>
              <w:rPr>
                <w:lang w:val="es-ES"/>
              </w:rPr>
            </w:pPr>
            <w:r w:rsidRPr="00303C11">
              <w:rPr>
                <w:lang w:val="es-ES"/>
              </w:rPr>
              <w:t>Recomendación</w:t>
            </w:r>
          </w:p>
        </w:tc>
      </w:tr>
      <w:tr w:rsidR="00E639CE" w:rsidRPr="00545B94" w14:paraId="746EED99" w14:textId="77777777" w:rsidTr="000A004E">
        <w:trPr>
          <w:cantSplit/>
          <w:jc w:val="center"/>
        </w:trPr>
        <w:tc>
          <w:tcPr>
            <w:tcW w:w="4331" w:type="dxa"/>
            <w:vAlign w:val="center"/>
          </w:tcPr>
          <w:p w14:paraId="579F08F0" w14:textId="77777777" w:rsidR="00E639CE" w:rsidRPr="00303C11" w:rsidRDefault="00E639CE" w:rsidP="006C382A">
            <w:pPr>
              <w:pStyle w:val="Tabletext"/>
              <w:jc w:val="center"/>
              <w:rPr>
                <w:b/>
                <w:bCs/>
                <w:lang w:val="es-ES"/>
              </w:rPr>
            </w:pPr>
            <w:r w:rsidRPr="00545B94">
              <w:rPr>
                <w:b/>
                <w:bCs/>
                <w:lang w:val="es-ES"/>
              </w:rPr>
              <w:t>ROPTIC-UEMOA</w:t>
            </w:r>
          </w:p>
          <w:p w14:paraId="0B26BCED" w14:textId="77777777" w:rsidR="00E639CE" w:rsidRPr="00545B94" w:rsidRDefault="00E639CE" w:rsidP="006C382A">
            <w:pPr>
              <w:pStyle w:val="Tabletext"/>
              <w:jc w:val="center"/>
              <w:rPr>
                <w:rFonts w:asciiTheme="minorHAnsi" w:eastAsia="SimSun" w:hAnsiTheme="minorHAnsi" w:cstheme="minorHAnsi"/>
                <w:b/>
                <w:iCs/>
                <w:szCs w:val="24"/>
                <w:lang w:val="es-ES"/>
              </w:rPr>
            </w:pPr>
            <w:r w:rsidRPr="00545B94">
              <w:rPr>
                <w:b/>
                <w:bCs/>
                <w:lang w:val="es-ES"/>
              </w:rPr>
              <w:t>Agrupación de Organizaciones de Profesionales de las TIC de la Unión Económica y Monetaria de África Occidental (UEMOA)</w:t>
            </w:r>
          </w:p>
        </w:tc>
        <w:tc>
          <w:tcPr>
            <w:tcW w:w="1559" w:type="dxa"/>
            <w:vAlign w:val="center"/>
          </w:tcPr>
          <w:p w14:paraId="435C80AF" w14:textId="77777777" w:rsidR="00E639CE" w:rsidRPr="00303C11" w:rsidRDefault="00E639CE" w:rsidP="00303C11">
            <w:pPr>
              <w:pStyle w:val="Tabletext"/>
              <w:jc w:val="center"/>
              <w:rPr>
                <w:lang w:val="es-ES"/>
              </w:rPr>
            </w:pPr>
            <w:r w:rsidRPr="00545B94">
              <w:rPr>
                <w:lang w:val="es-ES"/>
              </w:rPr>
              <w:t>UIT-D</w:t>
            </w:r>
          </w:p>
        </w:tc>
        <w:tc>
          <w:tcPr>
            <w:tcW w:w="3325" w:type="dxa"/>
            <w:vAlign w:val="center"/>
          </w:tcPr>
          <w:p w14:paraId="4EC19B48" w14:textId="77777777" w:rsidR="00E639CE" w:rsidRPr="00303C11" w:rsidRDefault="00E639CE" w:rsidP="00303C11">
            <w:pPr>
              <w:pStyle w:val="Tabletext"/>
              <w:jc w:val="center"/>
              <w:rPr>
                <w:lang w:val="es-ES"/>
              </w:rPr>
            </w:pPr>
            <w:r w:rsidRPr="00545B94">
              <w:rPr>
                <w:lang w:val="es-ES"/>
              </w:rPr>
              <w:t>Sí</w:t>
            </w:r>
          </w:p>
        </w:tc>
      </w:tr>
    </w:tbl>
    <w:bookmarkEnd w:id="3"/>
    <w:p w14:paraId="5E9DFB9E" w14:textId="77777777" w:rsidR="00E639CE" w:rsidRPr="00545B94" w:rsidRDefault="00E639CE" w:rsidP="00193ADF">
      <w:pPr>
        <w:tabs>
          <w:tab w:val="clear" w:pos="567"/>
          <w:tab w:val="clear" w:pos="1134"/>
          <w:tab w:val="clear" w:pos="1701"/>
          <w:tab w:val="clear" w:pos="2268"/>
          <w:tab w:val="clear" w:pos="2835"/>
        </w:tabs>
        <w:overflowPunct/>
        <w:autoSpaceDE/>
        <w:autoSpaceDN/>
        <w:adjustRightInd/>
        <w:textAlignment w:val="auto"/>
        <w:rPr>
          <w:rFonts w:eastAsia="Calibri" w:cs="Calibri"/>
          <w:lang w:val="es-ES"/>
        </w:rPr>
      </w:pPr>
      <w:r w:rsidRPr="00545B94">
        <w:rPr>
          <w:lang w:val="es-ES"/>
        </w:rPr>
        <w:t xml:space="preserve">La Agrupación de Organizaciones de Profesionales de las TIC (ROP-TIC) es una agrupación interprofesional de profesionales digitales de la región de la UEMOA, compuesta por diferentes asociaciones y organizaciones de diversos países miembros. El objetivo principal de ROP-TIC consiste en organización la cooperación entre sus miembros e impulsar la digitalización de la región UEMOA por conducto de sus empresas de TIC. Para conseguirlo, </w:t>
      </w:r>
      <w:r w:rsidRPr="00545B94">
        <w:rPr>
          <w:lang w:val="es-ES"/>
        </w:rPr>
        <w:lastRenderedPageBreak/>
        <w:t>ROP-TIC determina objetivos específicos como convertirse en un centro de desarrollo de ideas y propuestas, formación, información y defensa de los intereses de sus miembros, fomentar la cultura digital y alentar las inversiones en las tecnologías digitales. ROP-TIC tiene su sede en Ouagadougou (Burkina Faso). Como asociación regional de organizaciones profesionales, la Secretaría considera que esta entidad cumple los criterios establecidos por el Consejo para la exoneración de pago de la cuota de afiliación.</w:t>
      </w:r>
    </w:p>
    <w:p w14:paraId="6DCAD21C" w14:textId="77777777" w:rsidR="00E639CE" w:rsidRPr="00545B94" w:rsidRDefault="00E639CE" w:rsidP="00193ADF">
      <w:pPr>
        <w:rPr>
          <w:rFonts w:asciiTheme="minorHAnsi" w:eastAsia="SimSun" w:hAnsiTheme="minorHAnsi" w:cs="Calibri"/>
          <w:lang w:val="es-ES"/>
        </w:rPr>
      </w:pPr>
      <w:r w:rsidRPr="00545B94">
        <w:rPr>
          <w:lang w:val="es-ES"/>
        </w:rPr>
        <w:t>2.8</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E639CE" w:rsidRPr="00545B94" w14:paraId="75835113" w14:textId="77777777" w:rsidTr="000A004E">
        <w:trPr>
          <w:cantSplit/>
          <w:jc w:val="center"/>
        </w:trPr>
        <w:tc>
          <w:tcPr>
            <w:tcW w:w="4331" w:type="dxa"/>
          </w:tcPr>
          <w:p w14:paraId="18EB63BA" w14:textId="77777777" w:rsidR="00E639CE" w:rsidRPr="00303C11" w:rsidRDefault="00E639CE" w:rsidP="00303C11">
            <w:pPr>
              <w:pStyle w:val="Tablehead"/>
              <w:rPr>
                <w:lang w:val="es-ES"/>
              </w:rPr>
            </w:pPr>
            <w:r w:rsidRPr="00303C11">
              <w:rPr>
                <w:lang w:val="es-ES"/>
              </w:rPr>
              <w:t>Organización</w:t>
            </w:r>
          </w:p>
        </w:tc>
        <w:tc>
          <w:tcPr>
            <w:tcW w:w="1559" w:type="dxa"/>
          </w:tcPr>
          <w:p w14:paraId="195D8B3F" w14:textId="77777777" w:rsidR="00E639CE" w:rsidRPr="00303C11" w:rsidRDefault="00E639CE" w:rsidP="00303C11">
            <w:pPr>
              <w:pStyle w:val="Tablehead"/>
              <w:rPr>
                <w:lang w:val="es-ES"/>
              </w:rPr>
            </w:pPr>
            <w:r w:rsidRPr="00303C11">
              <w:rPr>
                <w:lang w:val="es-ES"/>
              </w:rPr>
              <w:t>Sector</w:t>
            </w:r>
          </w:p>
        </w:tc>
        <w:tc>
          <w:tcPr>
            <w:tcW w:w="3325" w:type="dxa"/>
          </w:tcPr>
          <w:p w14:paraId="6E8B6A8B" w14:textId="23C2CD48" w:rsidR="00E639CE" w:rsidRPr="00303C11" w:rsidRDefault="00E639CE" w:rsidP="00303C11">
            <w:pPr>
              <w:pStyle w:val="Tablehead"/>
              <w:rPr>
                <w:lang w:val="es-ES"/>
              </w:rPr>
            </w:pPr>
            <w:r w:rsidRPr="00303C11">
              <w:rPr>
                <w:lang w:val="es-ES"/>
              </w:rPr>
              <w:t>Recomendación</w:t>
            </w:r>
          </w:p>
        </w:tc>
      </w:tr>
      <w:tr w:rsidR="00E639CE" w:rsidRPr="00545B94" w14:paraId="5D776D33" w14:textId="77777777" w:rsidTr="000A004E">
        <w:trPr>
          <w:cantSplit/>
          <w:jc w:val="center"/>
        </w:trPr>
        <w:tc>
          <w:tcPr>
            <w:tcW w:w="4331" w:type="dxa"/>
            <w:vAlign w:val="center"/>
          </w:tcPr>
          <w:p w14:paraId="49CA4C66" w14:textId="77777777" w:rsidR="00E639CE" w:rsidRPr="00545B94" w:rsidRDefault="00E639CE" w:rsidP="006C382A">
            <w:pPr>
              <w:pStyle w:val="Tabletext"/>
              <w:jc w:val="center"/>
              <w:rPr>
                <w:rFonts w:asciiTheme="minorHAnsi" w:eastAsia="SimSun" w:hAnsiTheme="minorHAnsi" w:cstheme="minorHAnsi"/>
                <w:b/>
                <w:iCs/>
                <w:szCs w:val="24"/>
                <w:lang w:val="es-ES"/>
              </w:rPr>
            </w:pPr>
            <w:r w:rsidRPr="00545B94">
              <w:rPr>
                <w:b/>
                <w:bCs/>
                <w:lang w:val="es-ES"/>
              </w:rPr>
              <w:t>SNESC - SOLIDARIDAD DIGITAL EN LA ESFERA DE LA EDUCACIÓN Y LA SALUD EN CASTRES</w:t>
            </w:r>
          </w:p>
        </w:tc>
        <w:tc>
          <w:tcPr>
            <w:tcW w:w="1559" w:type="dxa"/>
            <w:vAlign w:val="center"/>
          </w:tcPr>
          <w:p w14:paraId="70E1C0B0" w14:textId="77777777" w:rsidR="00E639CE" w:rsidRPr="00303C11" w:rsidRDefault="00E639CE" w:rsidP="00303C11">
            <w:pPr>
              <w:pStyle w:val="Tabletext"/>
              <w:jc w:val="center"/>
              <w:rPr>
                <w:lang w:val="es-ES"/>
              </w:rPr>
            </w:pPr>
            <w:r w:rsidRPr="00545B94">
              <w:rPr>
                <w:lang w:val="es-ES"/>
              </w:rPr>
              <w:t>UIT-D</w:t>
            </w:r>
          </w:p>
        </w:tc>
        <w:tc>
          <w:tcPr>
            <w:tcW w:w="3325" w:type="dxa"/>
            <w:vAlign w:val="center"/>
          </w:tcPr>
          <w:p w14:paraId="1FAA25C3" w14:textId="77777777" w:rsidR="00E639CE" w:rsidRPr="00303C11" w:rsidRDefault="00E639CE" w:rsidP="00303C11">
            <w:pPr>
              <w:pStyle w:val="Tabletext"/>
              <w:jc w:val="center"/>
              <w:rPr>
                <w:lang w:val="es-ES"/>
              </w:rPr>
            </w:pPr>
            <w:r w:rsidRPr="00545B94">
              <w:rPr>
                <w:lang w:val="es-ES"/>
              </w:rPr>
              <w:t>No</w:t>
            </w:r>
          </w:p>
        </w:tc>
      </w:tr>
    </w:tbl>
    <w:p w14:paraId="49A522AE" w14:textId="77777777" w:rsidR="00E639CE" w:rsidRPr="00545B94" w:rsidRDefault="00E639CE" w:rsidP="00193ADF">
      <w:pPr>
        <w:rPr>
          <w:rFonts w:asciiTheme="minorHAnsi" w:eastAsia="SimSun" w:hAnsiTheme="minorHAnsi" w:cstheme="minorBidi"/>
          <w:lang w:val="es-ES"/>
        </w:rPr>
      </w:pPr>
      <w:r w:rsidRPr="00545B94">
        <w:rPr>
          <w:lang w:val="es-ES"/>
        </w:rPr>
        <w:t>SNESC es una organización sin ánimo de lucro cuyo principal objetivo es fomentar el aprendizaje a distancia o el "aprendizaje electrónico". Su labor abarca el asesoramiento, la elaboración de contenidos educativos, la distribución de material educativo y el ofrecimiento de conocimientos especializados. Sobre la base de la información de la que dispone, la Secretaría considera que esta entidad no cumple los criterios de afiliación establecidos por el Consejo para la exoneración de pago de la cuota.</w:t>
      </w:r>
    </w:p>
    <w:p w14:paraId="5F304F4A" w14:textId="77777777" w:rsidR="00E639CE" w:rsidRPr="00545B94" w:rsidRDefault="00E639CE" w:rsidP="00193ADF">
      <w:pPr>
        <w:rPr>
          <w:rFonts w:eastAsia="SimSun"/>
          <w:sz w:val="23"/>
          <w:szCs w:val="23"/>
          <w:lang w:val="es-ES"/>
        </w:rPr>
      </w:pPr>
      <w:r w:rsidRPr="00545B94">
        <w:rPr>
          <w:lang w:val="es-ES"/>
        </w:rPr>
        <w:t>2.9</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E639CE" w:rsidRPr="00545B94" w14:paraId="250207C0" w14:textId="77777777" w:rsidTr="000A004E">
        <w:trPr>
          <w:cantSplit/>
          <w:jc w:val="center"/>
        </w:trPr>
        <w:tc>
          <w:tcPr>
            <w:tcW w:w="4331" w:type="dxa"/>
          </w:tcPr>
          <w:p w14:paraId="5B5EC12B" w14:textId="77777777" w:rsidR="00E639CE" w:rsidRPr="00303C11" w:rsidRDefault="00E639CE" w:rsidP="00303C11">
            <w:pPr>
              <w:pStyle w:val="Tablehead"/>
              <w:rPr>
                <w:lang w:val="es-ES"/>
              </w:rPr>
            </w:pPr>
            <w:r w:rsidRPr="00303C11">
              <w:rPr>
                <w:lang w:val="es-ES"/>
              </w:rPr>
              <w:t>Organización</w:t>
            </w:r>
          </w:p>
        </w:tc>
        <w:tc>
          <w:tcPr>
            <w:tcW w:w="1559" w:type="dxa"/>
          </w:tcPr>
          <w:p w14:paraId="5D256F0D" w14:textId="77777777" w:rsidR="00E639CE" w:rsidRPr="00303C11" w:rsidRDefault="00E639CE" w:rsidP="00303C11">
            <w:pPr>
              <w:pStyle w:val="Tablehead"/>
              <w:rPr>
                <w:lang w:val="es-ES"/>
              </w:rPr>
            </w:pPr>
            <w:r w:rsidRPr="00303C11">
              <w:rPr>
                <w:lang w:val="es-ES"/>
              </w:rPr>
              <w:t>Sector</w:t>
            </w:r>
          </w:p>
        </w:tc>
        <w:tc>
          <w:tcPr>
            <w:tcW w:w="3325" w:type="dxa"/>
          </w:tcPr>
          <w:p w14:paraId="3C9115E7" w14:textId="034A0E04" w:rsidR="00E639CE" w:rsidRPr="00303C11" w:rsidRDefault="00E639CE" w:rsidP="00303C11">
            <w:pPr>
              <w:pStyle w:val="Tablehead"/>
              <w:rPr>
                <w:lang w:val="es-ES"/>
              </w:rPr>
            </w:pPr>
            <w:r w:rsidRPr="00303C11">
              <w:rPr>
                <w:lang w:val="es-ES"/>
              </w:rPr>
              <w:t>Recomendación</w:t>
            </w:r>
          </w:p>
        </w:tc>
      </w:tr>
      <w:tr w:rsidR="00E639CE" w:rsidRPr="00545B94" w14:paraId="70DDC152" w14:textId="77777777" w:rsidTr="000A004E">
        <w:trPr>
          <w:cantSplit/>
          <w:jc w:val="center"/>
        </w:trPr>
        <w:tc>
          <w:tcPr>
            <w:tcW w:w="4331" w:type="dxa"/>
            <w:vAlign w:val="center"/>
          </w:tcPr>
          <w:p w14:paraId="59F027E4" w14:textId="77777777" w:rsidR="00E639CE" w:rsidRPr="00545B94" w:rsidRDefault="00E639CE" w:rsidP="006C382A">
            <w:pPr>
              <w:pStyle w:val="Tabletext"/>
              <w:jc w:val="center"/>
              <w:rPr>
                <w:rFonts w:asciiTheme="minorHAnsi" w:eastAsia="SimSun" w:hAnsiTheme="minorHAnsi" w:cstheme="minorHAnsi"/>
                <w:b/>
                <w:iCs/>
                <w:szCs w:val="24"/>
                <w:lang w:val="es-ES"/>
              </w:rPr>
            </w:pPr>
            <w:r w:rsidRPr="00545B94">
              <w:rPr>
                <w:b/>
                <w:bCs/>
                <w:lang w:val="es-ES"/>
              </w:rPr>
              <w:t>La Fundación Unconnected</w:t>
            </w:r>
          </w:p>
        </w:tc>
        <w:tc>
          <w:tcPr>
            <w:tcW w:w="1559" w:type="dxa"/>
            <w:vAlign w:val="center"/>
          </w:tcPr>
          <w:p w14:paraId="6D37392E" w14:textId="77777777" w:rsidR="00E639CE" w:rsidRPr="00303C11" w:rsidRDefault="00E639CE" w:rsidP="00303C11">
            <w:pPr>
              <w:pStyle w:val="Tabletext"/>
              <w:jc w:val="center"/>
              <w:rPr>
                <w:lang w:val="es-ES"/>
              </w:rPr>
            </w:pPr>
            <w:r w:rsidRPr="00545B94">
              <w:rPr>
                <w:lang w:val="es-ES"/>
              </w:rPr>
              <w:t>UIT-D</w:t>
            </w:r>
          </w:p>
        </w:tc>
        <w:tc>
          <w:tcPr>
            <w:tcW w:w="3325" w:type="dxa"/>
            <w:vAlign w:val="center"/>
          </w:tcPr>
          <w:p w14:paraId="7A99945E" w14:textId="77777777" w:rsidR="00E639CE" w:rsidRPr="00303C11" w:rsidRDefault="00E639CE" w:rsidP="00303C11">
            <w:pPr>
              <w:pStyle w:val="Tabletext"/>
              <w:jc w:val="center"/>
              <w:rPr>
                <w:lang w:val="es-ES"/>
              </w:rPr>
            </w:pPr>
            <w:r w:rsidRPr="00545B94">
              <w:rPr>
                <w:lang w:val="es-ES"/>
              </w:rPr>
              <w:t>No</w:t>
            </w:r>
          </w:p>
        </w:tc>
      </w:tr>
    </w:tbl>
    <w:p w14:paraId="064E6BA4" w14:textId="477DA18B" w:rsidR="00E639CE" w:rsidRPr="00545B94" w:rsidRDefault="00E639CE" w:rsidP="00193ADF">
      <w:pPr>
        <w:rPr>
          <w:rFonts w:asciiTheme="minorHAnsi" w:eastAsia="SimSun" w:hAnsiTheme="minorHAnsi" w:cstheme="minorBidi"/>
          <w:lang w:val="es-ES"/>
        </w:rPr>
      </w:pPr>
      <w:r w:rsidRPr="00545B94">
        <w:rPr>
          <w:lang w:val="es-ES"/>
        </w:rPr>
        <w:t>Unconnected.org, fundada en 2020 y con sede en Londres, es una organización filantrópica de recaudación de fondos comprometida con reducir la brecha digital. Tiene por objeto conectar a 1</w:t>
      </w:r>
      <w:r w:rsidR="00193ADF">
        <w:rPr>
          <w:lang w:val="es-ES"/>
        </w:rPr>
        <w:t> </w:t>
      </w:r>
      <w:r w:rsidRPr="00545B94">
        <w:rPr>
          <w:lang w:val="es-ES"/>
        </w:rPr>
        <w:t>000 millones de personas no conectadas a Internet, haciendo énfasis en las que siguen sin tener acceso a la red. Lleva a cabo proyectos internacionales en materia de educación, comercio, empleo, seguridad y salud, convencida de que el acceso a Internet puede reducir las desigualdades, impulsar el desarrollo y garantizar la sostenibilidad. Sobre la base de la información de la que dispone, la Secretaría considera que esta entidad no cumple los criterios de afiliación establecidos por el Consejo para la exoneración de pago de la cuota.</w:t>
      </w:r>
    </w:p>
    <w:p w14:paraId="09842801" w14:textId="77777777" w:rsidR="00E639CE" w:rsidRPr="00545B94" w:rsidRDefault="00E639CE" w:rsidP="00193ADF">
      <w:pPr>
        <w:rPr>
          <w:rFonts w:asciiTheme="minorHAnsi" w:eastAsia="SimSun" w:hAnsiTheme="minorHAnsi" w:cs="Calibri"/>
          <w:lang w:val="es-ES"/>
        </w:rPr>
      </w:pPr>
      <w:r w:rsidRPr="00545B94">
        <w:rPr>
          <w:lang w:val="es-ES"/>
        </w:rPr>
        <w:t>2.10</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E639CE" w:rsidRPr="00545B94" w14:paraId="7E8C4388" w14:textId="77777777" w:rsidTr="000A004E">
        <w:trPr>
          <w:cantSplit/>
          <w:jc w:val="center"/>
        </w:trPr>
        <w:tc>
          <w:tcPr>
            <w:tcW w:w="4331" w:type="dxa"/>
          </w:tcPr>
          <w:p w14:paraId="2DFF7566" w14:textId="77777777" w:rsidR="00E639CE" w:rsidRPr="00303C11" w:rsidRDefault="00E639CE" w:rsidP="00303C11">
            <w:pPr>
              <w:pStyle w:val="Tablehead"/>
              <w:keepNext/>
              <w:keepLines/>
              <w:rPr>
                <w:lang w:val="es-ES"/>
              </w:rPr>
            </w:pPr>
            <w:r w:rsidRPr="00303C11">
              <w:rPr>
                <w:lang w:val="es-ES"/>
              </w:rPr>
              <w:t>Organización</w:t>
            </w:r>
          </w:p>
        </w:tc>
        <w:tc>
          <w:tcPr>
            <w:tcW w:w="1559" w:type="dxa"/>
          </w:tcPr>
          <w:p w14:paraId="3C478506" w14:textId="77777777" w:rsidR="00E639CE" w:rsidRPr="00303C11" w:rsidRDefault="00E639CE" w:rsidP="00303C11">
            <w:pPr>
              <w:pStyle w:val="Tablehead"/>
              <w:keepNext/>
              <w:keepLines/>
              <w:rPr>
                <w:lang w:val="es-ES"/>
              </w:rPr>
            </w:pPr>
            <w:r w:rsidRPr="00303C11">
              <w:rPr>
                <w:lang w:val="es-ES"/>
              </w:rPr>
              <w:t>Sector</w:t>
            </w:r>
          </w:p>
        </w:tc>
        <w:tc>
          <w:tcPr>
            <w:tcW w:w="3325" w:type="dxa"/>
          </w:tcPr>
          <w:p w14:paraId="559CE1B8" w14:textId="4B08652D" w:rsidR="00E639CE" w:rsidRPr="00303C11" w:rsidRDefault="00E639CE" w:rsidP="00303C11">
            <w:pPr>
              <w:pStyle w:val="Tablehead"/>
              <w:keepNext/>
              <w:keepLines/>
              <w:rPr>
                <w:lang w:val="es-ES"/>
              </w:rPr>
            </w:pPr>
            <w:r w:rsidRPr="00303C11">
              <w:rPr>
                <w:lang w:val="es-ES"/>
              </w:rPr>
              <w:t>Recomendación</w:t>
            </w:r>
          </w:p>
        </w:tc>
      </w:tr>
      <w:tr w:rsidR="00E639CE" w:rsidRPr="00545B94" w14:paraId="27F067C4" w14:textId="77777777" w:rsidTr="000A004E">
        <w:trPr>
          <w:cantSplit/>
          <w:jc w:val="center"/>
        </w:trPr>
        <w:tc>
          <w:tcPr>
            <w:tcW w:w="4331" w:type="dxa"/>
            <w:vAlign w:val="center"/>
          </w:tcPr>
          <w:p w14:paraId="6607A3A0" w14:textId="77777777" w:rsidR="00E639CE" w:rsidRPr="00545B94" w:rsidRDefault="00E639CE" w:rsidP="006C382A">
            <w:pPr>
              <w:pStyle w:val="Tabletext"/>
              <w:keepNext/>
              <w:keepLines/>
              <w:jc w:val="center"/>
              <w:rPr>
                <w:rFonts w:asciiTheme="minorHAnsi" w:eastAsia="SimSun" w:hAnsiTheme="minorHAnsi" w:cstheme="minorHAnsi"/>
                <w:b/>
                <w:iCs/>
                <w:szCs w:val="24"/>
                <w:lang w:val="es-ES"/>
              </w:rPr>
            </w:pPr>
            <w:r w:rsidRPr="00545B94">
              <w:rPr>
                <w:b/>
                <w:bCs/>
                <w:lang w:val="es-ES"/>
              </w:rPr>
              <w:t>Organización Mundial de Ciudades Inteligentes y Sostenibles (WeGo)</w:t>
            </w:r>
          </w:p>
        </w:tc>
        <w:tc>
          <w:tcPr>
            <w:tcW w:w="1559" w:type="dxa"/>
            <w:vAlign w:val="center"/>
          </w:tcPr>
          <w:p w14:paraId="4E1D2EA1" w14:textId="77777777" w:rsidR="00E639CE" w:rsidRPr="00303C11" w:rsidRDefault="00E639CE" w:rsidP="00303C11">
            <w:pPr>
              <w:pStyle w:val="Tabletext"/>
              <w:keepNext/>
              <w:keepLines/>
              <w:jc w:val="center"/>
              <w:rPr>
                <w:lang w:val="es-ES"/>
              </w:rPr>
            </w:pPr>
            <w:r w:rsidRPr="00545B94">
              <w:rPr>
                <w:lang w:val="es-ES"/>
              </w:rPr>
              <w:t>UIT-T</w:t>
            </w:r>
          </w:p>
        </w:tc>
        <w:tc>
          <w:tcPr>
            <w:tcW w:w="3325" w:type="dxa"/>
            <w:vAlign w:val="center"/>
          </w:tcPr>
          <w:p w14:paraId="5092B9D8" w14:textId="77777777" w:rsidR="00E639CE" w:rsidRPr="00303C11" w:rsidRDefault="00E639CE" w:rsidP="00303C11">
            <w:pPr>
              <w:pStyle w:val="Tabletext"/>
              <w:keepNext/>
              <w:keepLines/>
              <w:jc w:val="center"/>
              <w:rPr>
                <w:lang w:val="es-ES"/>
              </w:rPr>
            </w:pPr>
            <w:r w:rsidRPr="00545B94">
              <w:rPr>
                <w:lang w:val="es-ES"/>
              </w:rPr>
              <w:t>Sí</w:t>
            </w:r>
          </w:p>
        </w:tc>
      </w:tr>
    </w:tbl>
    <w:p w14:paraId="4CC98AF1" w14:textId="77777777" w:rsidR="00E639CE" w:rsidRPr="00545B94" w:rsidRDefault="00E639CE" w:rsidP="00193ADF">
      <w:pPr>
        <w:rPr>
          <w:rFonts w:asciiTheme="minorHAnsi" w:eastAsia="SimSun" w:hAnsiTheme="minorHAnsi" w:cs="Calibri"/>
          <w:lang w:val="es-ES"/>
        </w:rPr>
      </w:pPr>
      <w:r w:rsidRPr="00545B94">
        <w:rPr>
          <w:lang w:val="es-ES"/>
        </w:rPr>
        <w:t xml:space="preserve">La Organización Mundial de Ciudades Inteligentes y Sostenibles (WeGo) es una asociación internacional con más de 200 miembros. Está constituida por gobiernos locales, proveedores de soluciones tecnológicas inteligentes y diversas instituciones. Fundada por 50 ciudades miembros en 2010, WeGo está comprometida a transformar las ciudades en ciudades inteligentes y sostenibles facilitando las alianzas entre los sectores público y privado. Actualmente, WeGo actúa como plataforma internacional para que sus miembros mejoren la calidad de vida, innoven en la prestación de servicios públicos y refuercen la competitividad regional. Como asociación internacional con gobiernos locales miembros, la </w:t>
      </w:r>
      <w:r w:rsidRPr="00545B94">
        <w:rPr>
          <w:lang w:val="es-ES"/>
        </w:rPr>
        <w:lastRenderedPageBreak/>
        <w:t>Secretaría considera que esta entidad cumple los criterios establecidos por el Consejo para la exoneración de pago de la cuota de afiliación.</w:t>
      </w:r>
    </w:p>
    <w:p w14:paraId="6AE416FD" w14:textId="77777777" w:rsidR="00E639CE" w:rsidRPr="00545B94" w:rsidRDefault="00E639CE" w:rsidP="00193ADF">
      <w:pPr>
        <w:rPr>
          <w:rFonts w:asciiTheme="minorHAnsi" w:eastAsia="SimSun" w:hAnsiTheme="minorHAnsi" w:cs="Calibri"/>
          <w:lang w:val="es-ES"/>
        </w:rPr>
      </w:pPr>
      <w:r w:rsidRPr="00545B94">
        <w:rPr>
          <w:lang w:val="es-ES"/>
        </w:rPr>
        <w:t>2.11</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E639CE" w:rsidRPr="00545B94" w14:paraId="71B62D4F" w14:textId="77777777" w:rsidTr="000A004E">
        <w:trPr>
          <w:cantSplit/>
          <w:jc w:val="center"/>
        </w:trPr>
        <w:tc>
          <w:tcPr>
            <w:tcW w:w="4331" w:type="dxa"/>
          </w:tcPr>
          <w:p w14:paraId="4B52E723" w14:textId="77777777" w:rsidR="00E639CE" w:rsidRPr="00303C11" w:rsidRDefault="00E639CE" w:rsidP="00303C11">
            <w:pPr>
              <w:pStyle w:val="Tablehead"/>
              <w:rPr>
                <w:lang w:val="es-ES"/>
              </w:rPr>
            </w:pPr>
            <w:r w:rsidRPr="00303C11">
              <w:rPr>
                <w:lang w:val="es-ES"/>
              </w:rPr>
              <w:t>Organización</w:t>
            </w:r>
          </w:p>
        </w:tc>
        <w:tc>
          <w:tcPr>
            <w:tcW w:w="1559" w:type="dxa"/>
          </w:tcPr>
          <w:p w14:paraId="467A140A" w14:textId="77777777" w:rsidR="00E639CE" w:rsidRPr="00303C11" w:rsidRDefault="00E639CE" w:rsidP="00303C11">
            <w:pPr>
              <w:pStyle w:val="Tablehead"/>
              <w:rPr>
                <w:lang w:val="es-ES"/>
              </w:rPr>
            </w:pPr>
            <w:r w:rsidRPr="00303C11">
              <w:rPr>
                <w:lang w:val="es-ES"/>
              </w:rPr>
              <w:t>Sector</w:t>
            </w:r>
          </w:p>
        </w:tc>
        <w:tc>
          <w:tcPr>
            <w:tcW w:w="3325" w:type="dxa"/>
          </w:tcPr>
          <w:p w14:paraId="545F93CE" w14:textId="77777777" w:rsidR="00E639CE" w:rsidRPr="00303C11" w:rsidRDefault="00E639CE" w:rsidP="00303C11">
            <w:pPr>
              <w:pStyle w:val="Tablehead"/>
              <w:rPr>
                <w:lang w:val="es-ES"/>
              </w:rPr>
            </w:pPr>
            <w:r w:rsidRPr="00303C11">
              <w:rPr>
                <w:lang w:val="es-ES"/>
              </w:rPr>
              <w:t>Recomendación</w:t>
            </w:r>
          </w:p>
        </w:tc>
      </w:tr>
      <w:tr w:rsidR="00E639CE" w:rsidRPr="00545B94" w14:paraId="1012F57D" w14:textId="77777777" w:rsidTr="000A004E">
        <w:trPr>
          <w:cantSplit/>
          <w:jc w:val="center"/>
        </w:trPr>
        <w:tc>
          <w:tcPr>
            <w:tcW w:w="4331" w:type="dxa"/>
            <w:vAlign w:val="center"/>
          </w:tcPr>
          <w:p w14:paraId="74F529FB" w14:textId="77777777" w:rsidR="00E639CE" w:rsidRPr="00545B94" w:rsidRDefault="00E639CE" w:rsidP="006C382A">
            <w:pPr>
              <w:pStyle w:val="Tabletext"/>
              <w:jc w:val="center"/>
              <w:rPr>
                <w:rFonts w:asciiTheme="minorHAnsi" w:eastAsia="SimSun" w:hAnsiTheme="minorHAnsi" w:cstheme="minorHAnsi"/>
                <w:b/>
                <w:iCs/>
                <w:szCs w:val="24"/>
                <w:lang w:val="es-ES"/>
              </w:rPr>
            </w:pPr>
            <w:r w:rsidRPr="00545B94">
              <w:rPr>
                <w:b/>
                <w:bCs/>
                <w:lang w:val="es-ES"/>
              </w:rPr>
              <w:t>WHSF - Fundación Mundial de Ayuda Humanitaria</w:t>
            </w:r>
          </w:p>
        </w:tc>
        <w:tc>
          <w:tcPr>
            <w:tcW w:w="1559" w:type="dxa"/>
            <w:vAlign w:val="center"/>
          </w:tcPr>
          <w:p w14:paraId="7C586CCE" w14:textId="1429F553" w:rsidR="00E639CE" w:rsidRPr="00303C11" w:rsidRDefault="00E639CE" w:rsidP="00303C11">
            <w:pPr>
              <w:pStyle w:val="Tabletext"/>
              <w:jc w:val="center"/>
              <w:rPr>
                <w:lang w:val="es-ES"/>
              </w:rPr>
            </w:pPr>
            <w:r w:rsidRPr="00303C11">
              <w:rPr>
                <w:lang w:val="es-ES"/>
              </w:rPr>
              <w:t>UIT-R</w:t>
            </w:r>
          </w:p>
          <w:p w14:paraId="675306F5" w14:textId="77777777" w:rsidR="00E639CE" w:rsidRPr="00303C11" w:rsidRDefault="00E639CE" w:rsidP="00303C11">
            <w:pPr>
              <w:pStyle w:val="Tabletext"/>
              <w:jc w:val="center"/>
              <w:rPr>
                <w:lang w:val="es-ES"/>
              </w:rPr>
            </w:pPr>
            <w:r w:rsidRPr="00303C11">
              <w:rPr>
                <w:lang w:val="es-ES"/>
              </w:rPr>
              <w:t>UIT-T</w:t>
            </w:r>
          </w:p>
          <w:p w14:paraId="773EC309" w14:textId="77777777" w:rsidR="00E639CE" w:rsidRPr="00303C11" w:rsidRDefault="00E639CE" w:rsidP="00303C11">
            <w:pPr>
              <w:pStyle w:val="Tabletext"/>
              <w:jc w:val="center"/>
              <w:rPr>
                <w:lang w:val="es-ES"/>
              </w:rPr>
            </w:pPr>
            <w:r w:rsidRPr="00303C11">
              <w:rPr>
                <w:lang w:val="es-ES"/>
              </w:rPr>
              <w:t>UIT-D</w:t>
            </w:r>
          </w:p>
        </w:tc>
        <w:tc>
          <w:tcPr>
            <w:tcW w:w="3325" w:type="dxa"/>
            <w:vAlign w:val="center"/>
          </w:tcPr>
          <w:p w14:paraId="3DCD2EE6" w14:textId="77777777" w:rsidR="00E639CE" w:rsidRDefault="00E639CE" w:rsidP="00303C11">
            <w:pPr>
              <w:pStyle w:val="Tabletext"/>
              <w:jc w:val="center"/>
              <w:rPr>
                <w:lang w:val="es-ES"/>
              </w:rPr>
            </w:pPr>
            <w:r w:rsidRPr="00545B94">
              <w:rPr>
                <w:lang w:val="es-ES"/>
              </w:rPr>
              <w:t>No</w:t>
            </w:r>
          </w:p>
          <w:p w14:paraId="038D0680" w14:textId="77777777" w:rsidR="00E639CE" w:rsidRPr="00303C11" w:rsidRDefault="00E639CE" w:rsidP="00303C11">
            <w:pPr>
              <w:pStyle w:val="Tabletext"/>
              <w:jc w:val="center"/>
              <w:rPr>
                <w:lang w:val="es-ES"/>
              </w:rPr>
            </w:pPr>
            <w:r w:rsidRPr="00545B94">
              <w:rPr>
                <w:lang w:val="es-ES"/>
              </w:rPr>
              <w:t>No</w:t>
            </w:r>
          </w:p>
          <w:p w14:paraId="543F00EA" w14:textId="77777777" w:rsidR="00E639CE" w:rsidRPr="00303C11" w:rsidRDefault="00E639CE" w:rsidP="00303C11">
            <w:pPr>
              <w:pStyle w:val="Tabletext"/>
              <w:jc w:val="center"/>
              <w:rPr>
                <w:lang w:val="es-ES"/>
              </w:rPr>
            </w:pPr>
            <w:r w:rsidRPr="00545B94">
              <w:rPr>
                <w:lang w:val="es-ES"/>
              </w:rPr>
              <w:t>No</w:t>
            </w:r>
          </w:p>
        </w:tc>
      </w:tr>
    </w:tbl>
    <w:p w14:paraId="42608624" w14:textId="77777777" w:rsidR="00E639CE" w:rsidRPr="00545B94" w:rsidRDefault="00E639CE" w:rsidP="00193ADF">
      <w:pPr>
        <w:rPr>
          <w:rFonts w:asciiTheme="minorHAnsi" w:eastAsia="SimSun" w:hAnsiTheme="minorHAnsi" w:cstheme="minorBidi"/>
          <w:lang w:val="es-ES"/>
        </w:rPr>
      </w:pPr>
      <w:r w:rsidRPr="00545B94">
        <w:rPr>
          <w:lang w:val="es-ES"/>
        </w:rPr>
        <w:t>La Fundación Mundial de Ayuda Humanitaria (WHSF) es una ONG cuya misión es prestar ayuda humanitaria mediante la mitigación de la pobreza, con énfasis en el mantenimiento de la dignidad humana, la mejora de las comunidades y el desarrollo de las personas para conseguir su pleno potencial. Basada en Nigeria y en los Estados Unidos de América, la organización tiene por objeto mitigar la pobreza mediante la educación y el desarrollo de competencias de las personas marginadas y sus comunidades. Sobre la base de la información de la que dispone, la Secretaría considera que esta entidad no cumple los criterios de afiliación establecidos por el Consejo para la exoneración de pago de la cuota.</w:t>
      </w:r>
    </w:p>
    <w:p w14:paraId="0C06E2BB" w14:textId="77777777" w:rsidR="00E639CE" w:rsidRPr="00545B94" w:rsidRDefault="00E639CE" w:rsidP="00193ADF">
      <w:pPr>
        <w:rPr>
          <w:rFonts w:asciiTheme="minorHAnsi" w:eastAsia="SimSun" w:hAnsiTheme="minorHAnsi" w:cstheme="minorBidi"/>
          <w:lang w:val="es-ES"/>
        </w:rPr>
      </w:pPr>
      <w:r w:rsidRPr="00545B94">
        <w:rPr>
          <w:lang w:val="es-ES"/>
        </w:rPr>
        <w:t>2.12</w:t>
      </w:r>
    </w:p>
    <w:tbl>
      <w:tblPr>
        <w:tblW w:w="92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331"/>
        <w:gridCol w:w="1559"/>
        <w:gridCol w:w="3325"/>
      </w:tblGrid>
      <w:tr w:rsidR="00E639CE" w:rsidRPr="00545B94" w14:paraId="406EBD2E" w14:textId="77777777" w:rsidTr="000A004E">
        <w:trPr>
          <w:cantSplit/>
          <w:jc w:val="center"/>
        </w:trPr>
        <w:tc>
          <w:tcPr>
            <w:tcW w:w="4331" w:type="dxa"/>
          </w:tcPr>
          <w:p w14:paraId="7F34D6A1" w14:textId="77777777" w:rsidR="00E639CE" w:rsidRPr="00303C11" w:rsidRDefault="00E639CE" w:rsidP="00303C11">
            <w:pPr>
              <w:pStyle w:val="Tablehead"/>
              <w:rPr>
                <w:lang w:val="es-ES"/>
              </w:rPr>
            </w:pPr>
            <w:r w:rsidRPr="00303C11">
              <w:rPr>
                <w:lang w:val="es-ES"/>
              </w:rPr>
              <w:t>Organización</w:t>
            </w:r>
          </w:p>
        </w:tc>
        <w:tc>
          <w:tcPr>
            <w:tcW w:w="1559" w:type="dxa"/>
          </w:tcPr>
          <w:p w14:paraId="291ACF42" w14:textId="77777777" w:rsidR="00E639CE" w:rsidRPr="00303C11" w:rsidRDefault="00E639CE" w:rsidP="00303C11">
            <w:pPr>
              <w:pStyle w:val="Tablehead"/>
              <w:rPr>
                <w:lang w:val="es-ES"/>
              </w:rPr>
            </w:pPr>
            <w:r w:rsidRPr="00303C11">
              <w:rPr>
                <w:lang w:val="es-ES"/>
              </w:rPr>
              <w:t>Sector</w:t>
            </w:r>
          </w:p>
        </w:tc>
        <w:tc>
          <w:tcPr>
            <w:tcW w:w="3325" w:type="dxa"/>
          </w:tcPr>
          <w:p w14:paraId="048DD8B1" w14:textId="77777777" w:rsidR="00E639CE" w:rsidRPr="00303C11" w:rsidRDefault="00E639CE" w:rsidP="00303C11">
            <w:pPr>
              <w:pStyle w:val="Tablehead"/>
              <w:rPr>
                <w:lang w:val="es-ES"/>
              </w:rPr>
            </w:pPr>
            <w:r w:rsidRPr="00303C11">
              <w:rPr>
                <w:lang w:val="es-ES"/>
              </w:rPr>
              <w:t>Recomendación</w:t>
            </w:r>
          </w:p>
          <w:p w14:paraId="50BEBD3D" w14:textId="77777777" w:rsidR="00E639CE" w:rsidRPr="00545B94" w:rsidRDefault="00E639CE" w:rsidP="000A004E">
            <w:pPr>
              <w:keepNext/>
              <w:keepLines/>
              <w:tabs>
                <w:tab w:val="left" w:pos="284"/>
                <w:tab w:val="left" w:pos="794"/>
                <w:tab w:val="left" w:pos="851"/>
                <w:tab w:val="left" w:pos="1191"/>
                <w:tab w:val="left" w:pos="1418"/>
                <w:tab w:val="left" w:pos="1588"/>
                <w:tab w:val="left" w:pos="1985"/>
                <w:tab w:val="left" w:pos="2552"/>
                <w:tab w:val="left" w:pos="3119"/>
                <w:tab w:val="left" w:pos="3402"/>
                <w:tab w:val="left" w:pos="3686"/>
                <w:tab w:val="left" w:pos="3969"/>
              </w:tabs>
              <w:spacing w:before="60" w:after="60"/>
              <w:jc w:val="center"/>
              <w:rPr>
                <w:rFonts w:asciiTheme="minorHAnsi" w:eastAsia="SimSun" w:hAnsiTheme="minorHAnsi" w:cstheme="minorHAnsi"/>
                <w:b/>
                <w:szCs w:val="24"/>
                <w:lang w:val="es-ES"/>
              </w:rPr>
            </w:pPr>
          </w:p>
        </w:tc>
      </w:tr>
      <w:tr w:rsidR="00E639CE" w:rsidRPr="00545B94" w14:paraId="49D78ACA" w14:textId="77777777" w:rsidTr="000A004E">
        <w:trPr>
          <w:cantSplit/>
          <w:jc w:val="center"/>
        </w:trPr>
        <w:tc>
          <w:tcPr>
            <w:tcW w:w="4331" w:type="dxa"/>
            <w:vAlign w:val="center"/>
          </w:tcPr>
          <w:p w14:paraId="735C5663" w14:textId="77777777" w:rsidR="00E639CE" w:rsidRPr="00545B94" w:rsidRDefault="00E639CE" w:rsidP="006C382A">
            <w:pPr>
              <w:pStyle w:val="Tabletext"/>
              <w:jc w:val="center"/>
              <w:rPr>
                <w:rFonts w:asciiTheme="minorHAnsi" w:eastAsia="SimSun" w:hAnsiTheme="minorHAnsi" w:cstheme="minorHAnsi"/>
                <w:b/>
                <w:iCs/>
                <w:szCs w:val="24"/>
                <w:lang w:val="es-ES"/>
              </w:rPr>
            </w:pPr>
            <w:r w:rsidRPr="00545B94">
              <w:rPr>
                <w:b/>
                <w:bCs/>
                <w:lang w:val="es-ES"/>
              </w:rPr>
              <w:t>Organización para la Cooperación Digital (DCO)</w:t>
            </w:r>
          </w:p>
        </w:tc>
        <w:tc>
          <w:tcPr>
            <w:tcW w:w="1559" w:type="dxa"/>
            <w:vAlign w:val="center"/>
          </w:tcPr>
          <w:p w14:paraId="386B1B83" w14:textId="77777777" w:rsidR="00E639CE" w:rsidRPr="00303C11" w:rsidRDefault="00E639CE" w:rsidP="00303C11">
            <w:pPr>
              <w:pStyle w:val="Tabletext"/>
              <w:jc w:val="center"/>
              <w:rPr>
                <w:lang w:val="es-ES"/>
              </w:rPr>
            </w:pPr>
            <w:r w:rsidRPr="00545B94">
              <w:rPr>
                <w:lang w:val="es-ES"/>
              </w:rPr>
              <w:t>UIT-T</w:t>
            </w:r>
          </w:p>
        </w:tc>
        <w:tc>
          <w:tcPr>
            <w:tcW w:w="3325" w:type="dxa"/>
            <w:vAlign w:val="center"/>
          </w:tcPr>
          <w:p w14:paraId="000B3AB3" w14:textId="77777777" w:rsidR="00E639CE" w:rsidRPr="00303C11" w:rsidRDefault="00E639CE" w:rsidP="00303C11">
            <w:pPr>
              <w:pStyle w:val="Tabletext"/>
              <w:jc w:val="center"/>
              <w:rPr>
                <w:lang w:val="es-ES"/>
              </w:rPr>
            </w:pPr>
            <w:r w:rsidRPr="00545B94">
              <w:rPr>
                <w:lang w:val="es-ES"/>
              </w:rPr>
              <w:t>Sí</w:t>
            </w:r>
          </w:p>
        </w:tc>
      </w:tr>
    </w:tbl>
    <w:p w14:paraId="749BE2CD" w14:textId="3FDE90F3" w:rsidR="00E639CE" w:rsidRDefault="00E639CE" w:rsidP="00193ADF">
      <w:pPr>
        <w:rPr>
          <w:lang w:val="es-ES"/>
        </w:rPr>
      </w:pPr>
      <w:r w:rsidRPr="00545B94">
        <w:rPr>
          <w:lang w:val="es-ES"/>
        </w:rPr>
        <w:t>La Organización para la Cooperación Digital (DCO) es una entidad internacional que procura promover la cooperación digital entre sus miembros y fomentar la función de las tecnologías y la digitalización en el desarrollo de las naciones. Tiene por objeto reforzar la economía digital, crear una sociedad digital que garantice un futuro de prosperidad, innovación y crecimiento sostenible, y crear un entorno digital que salvaguarde la seguridad digital mundial. DCO es un Miembro de Sector exento de pago del UIT-D. Como organización internacional con Estados Miembros, la Secretaría considera que esta entidad cumple los criterios establecidos por el Consejo para la exoneración de pago de la cuota de afiliación.</w:t>
      </w:r>
    </w:p>
    <w:p w14:paraId="586B9F6F" w14:textId="77777777" w:rsidR="006A01FC" w:rsidRPr="00545B94" w:rsidRDefault="006A01FC" w:rsidP="006A01FC">
      <w:pPr>
        <w:pStyle w:val="Reasons"/>
        <w:rPr>
          <w:rFonts w:eastAsia="SimSun"/>
          <w:lang w:val="es-ES"/>
        </w:rPr>
      </w:pPr>
    </w:p>
    <w:p w14:paraId="58F43063" w14:textId="1B58D17B" w:rsidR="00927F93" w:rsidRPr="000B0D00" w:rsidRDefault="00E639CE" w:rsidP="006A01FC">
      <w:pPr>
        <w:jc w:val="center"/>
      </w:pPr>
      <w:r w:rsidRPr="00545B94">
        <w:rPr>
          <w:lang w:val="es-ES"/>
        </w:rPr>
        <w:t>________________</w:t>
      </w:r>
    </w:p>
    <w:sectPr w:rsidR="00927F93" w:rsidRPr="000B0D00" w:rsidSect="00C538FC">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4669E" w14:textId="77777777" w:rsidR="004C16C7" w:rsidRDefault="004C16C7">
      <w:r>
        <w:separator/>
      </w:r>
    </w:p>
  </w:endnote>
  <w:endnote w:type="continuationSeparator" w:id="0">
    <w:p w14:paraId="5396436F" w14:textId="77777777" w:rsidR="004C16C7" w:rsidRDefault="004C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77777777" w:rsidR="003273A4" w:rsidRDefault="003273A4" w:rsidP="003273A4">
          <w:pPr>
            <w:pStyle w:val="Header"/>
            <w:jc w:val="left"/>
            <w:rPr>
              <w:noProof/>
            </w:rPr>
          </w:pPr>
          <w:r>
            <w:rPr>
              <w:noProof/>
            </w:rPr>
            <w:t>DPS #</w:t>
          </w:r>
        </w:p>
      </w:tc>
      <w:tc>
        <w:tcPr>
          <w:tcW w:w="8261" w:type="dxa"/>
        </w:tcPr>
        <w:p w14:paraId="31328314" w14:textId="00AC4F7E"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893A0A">
            <w:rPr>
              <w:bCs/>
            </w:rPr>
            <w:t>39</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77777777" w:rsidR="00760F1C" w:rsidRPr="003273A4" w:rsidRDefault="00760F1C" w:rsidP="003273A4">
    <w:pPr>
      <w:pStyle w:val="Foo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755F7C15"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893A0A">
            <w:rPr>
              <w:bCs/>
            </w:rPr>
            <w:t>39</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77777777" w:rsidR="00760F1C" w:rsidRPr="00F24B71" w:rsidRDefault="00760F1C" w:rsidP="00F24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09A9B" w14:textId="77777777" w:rsidR="004C16C7" w:rsidRDefault="004C16C7">
      <w:r>
        <w:t>____________________</w:t>
      </w:r>
    </w:p>
  </w:footnote>
  <w:footnote w:type="continuationSeparator" w:id="0">
    <w:p w14:paraId="11009CAD" w14:textId="77777777" w:rsidR="004C16C7" w:rsidRDefault="004C1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4"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4"/>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834F0"/>
    <w:rsid w:val="00093EEB"/>
    <w:rsid w:val="000B0D00"/>
    <w:rsid w:val="000B7C15"/>
    <w:rsid w:val="000D1D0F"/>
    <w:rsid w:val="000F5290"/>
    <w:rsid w:val="0010165C"/>
    <w:rsid w:val="00146BFB"/>
    <w:rsid w:val="001559F5"/>
    <w:rsid w:val="00193ADF"/>
    <w:rsid w:val="001F14A2"/>
    <w:rsid w:val="00232383"/>
    <w:rsid w:val="002801AA"/>
    <w:rsid w:val="002C4676"/>
    <w:rsid w:val="002C70B0"/>
    <w:rsid w:val="002F3CC4"/>
    <w:rsid w:val="00303C11"/>
    <w:rsid w:val="003273A4"/>
    <w:rsid w:val="00473962"/>
    <w:rsid w:val="004B5D49"/>
    <w:rsid w:val="004C16C7"/>
    <w:rsid w:val="00513630"/>
    <w:rsid w:val="00560125"/>
    <w:rsid w:val="00585553"/>
    <w:rsid w:val="005B34D9"/>
    <w:rsid w:val="005D0CCF"/>
    <w:rsid w:val="005F3BCB"/>
    <w:rsid w:val="005F410F"/>
    <w:rsid w:val="0060149A"/>
    <w:rsid w:val="00601924"/>
    <w:rsid w:val="006447EA"/>
    <w:rsid w:val="0064481D"/>
    <w:rsid w:val="0064731F"/>
    <w:rsid w:val="00664572"/>
    <w:rsid w:val="006710F6"/>
    <w:rsid w:val="00677A97"/>
    <w:rsid w:val="006A01FC"/>
    <w:rsid w:val="006C1B56"/>
    <w:rsid w:val="006C382A"/>
    <w:rsid w:val="006D4761"/>
    <w:rsid w:val="00705B83"/>
    <w:rsid w:val="00726872"/>
    <w:rsid w:val="00760F1C"/>
    <w:rsid w:val="007657F0"/>
    <w:rsid w:val="0077252D"/>
    <w:rsid w:val="007955DA"/>
    <w:rsid w:val="007E5DD3"/>
    <w:rsid w:val="007F350B"/>
    <w:rsid w:val="00815868"/>
    <w:rsid w:val="00820BE4"/>
    <w:rsid w:val="008451E8"/>
    <w:rsid w:val="00893A0A"/>
    <w:rsid w:val="00913B9C"/>
    <w:rsid w:val="00927F93"/>
    <w:rsid w:val="00956E77"/>
    <w:rsid w:val="009F4811"/>
    <w:rsid w:val="00AA390C"/>
    <w:rsid w:val="00B0200A"/>
    <w:rsid w:val="00B574DB"/>
    <w:rsid w:val="00B826C2"/>
    <w:rsid w:val="00B8298E"/>
    <w:rsid w:val="00BD0723"/>
    <w:rsid w:val="00BD2518"/>
    <w:rsid w:val="00BF1D1C"/>
    <w:rsid w:val="00C20C59"/>
    <w:rsid w:val="00C2727F"/>
    <w:rsid w:val="00C538FC"/>
    <w:rsid w:val="00C55B1F"/>
    <w:rsid w:val="00CA238C"/>
    <w:rsid w:val="00CB421D"/>
    <w:rsid w:val="00CF1A67"/>
    <w:rsid w:val="00D2750E"/>
    <w:rsid w:val="00D50A36"/>
    <w:rsid w:val="00D62446"/>
    <w:rsid w:val="00D76149"/>
    <w:rsid w:val="00DA4EA2"/>
    <w:rsid w:val="00DC3D3E"/>
    <w:rsid w:val="00DE2C90"/>
    <w:rsid w:val="00DE3B24"/>
    <w:rsid w:val="00E06947"/>
    <w:rsid w:val="00E34072"/>
    <w:rsid w:val="00E3592D"/>
    <w:rsid w:val="00E50D76"/>
    <w:rsid w:val="00E639CE"/>
    <w:rsid w:val="00E92DE8"/>
    <w:rsid w:val="00EB1212"/>
    <w:rsid w:val="00ED65AB"/>
    <w:rsid w:val="00F12850"/>
    <w:rsid w:val="00F24B71"/>
    <w:rsid w:val="00F33BF4"/>
    <w:rsid w:val="00F55E10"/>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A2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141/es"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tu.int/itudoc/gs/council/c00/docs/28rev1-es.html"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itudoc/gs/council/c00/docs/28rev1-es.html"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itu.int/hub/membership/itu-family/organizations/exempted-entities/exemption-criteria/" TargetMode="External"/><Relationship Id="rId4" Type="http://schemas.openxmlformats.org/officeDocument/2006/relationships/footnotes" Target="footnotes.xml"/><Relationship Id="rId9" Type="http://schemas.openxmlformats.org/officeDocument/2006/relationships/hyperlink" Target="https://www.itu.int/hub/membership/itu-family/organizations/exempted-entities/exemption-criteri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2011</Words>
  <Characters>11670</Characters>
  <Application>Microsoft Office Word</Application>
  <DocSecurity>0</DocSecurity>
  <Lines>97</Lines>
  <Paragraphs>27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13654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Spanish</cp:lastModifiedBy>
  <cp:revision>11</cp:revision>
  <cp:lastPrinted>2006-03-24T09:51:00Z</cp:lastPrinted>
  <dcterms:created xsi:type="dcterms:W3CDTF">2024-04-24T07:36:00Z</dcterms:created>
  <dcterms:modified xsi:type="dcterms:W3CDTF">2024-04-24T08:40:00Z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